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吕梁市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生态环境局</w:t>
      </w:r>
    </w:p>
    <w:p w14:paraId="16F5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吕梁市2025年环境信息依法披露企业名单</w:t>
      </w:r>
    </w:p>
    <w:p w14:paraId="54A6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的公示</w:t>
      </w:r>
    </w:p>
    <w:p w14:paraId="7BBF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5"/>
          <w:szCs w:val="15"/>
          <w:lang w:eastAsia="zh-CN"/>
        </w:rPr>
      </w:pPr>
    </w:p>
    <w:p w14:paraId="030B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按照山西省生态环境厅关于做好企业环境信息依法披露工作的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要求，我局结合企业实际对吕梁市2025年环境信息依法披露企业名单（224家）进行了调整，其中因全年停产等原因无法披露2025年环境信息的26家（移除），信息变更企业2家，无增补企业。现将移除、信息变更具体情况公示如下：</w:t>
      </w:r>
    </w:p>
    <w:p w14:paraId="7522D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1.吕梁市2025年企业环境信息依法披露企业移除名单情况</w:t>
      </w:r>
    </w:p>
    <w:tbl>
      <w:tblPr>
        <w:tblStyle w:val="12"/>
        <w:tblW w:w="142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459"/>
        <w:gridCol w:w="2283"/>
        <w:gridCol w:w="2094"/>
        <w:gridCol w:w="1593"/>
        <w:gridCol w:w="1378"/>
        <w:gridCol w:w="1503"/>
        <w:gridCol w:w="2259"/>
      </w:tblGrid>
      <w:tr w14:paraId="4D46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tblHeader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01F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F18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EC9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33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CA0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EDF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所属省</w:t>
            </w:r>
          </w:p>
          <w:p w14:paraId="4ED80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(市、自治区)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62A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499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移除原因</w:t>
            </w:r>
          </w:p>
        </w:tc>
      </w:tr>
      <w:tr w14:paraId="5FD7E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9A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A7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交城县众兴炉料厂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53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91141122783280407A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2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炼铁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B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D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E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9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关停</w:t>
            </w:r>
          </w:p>
        </w:tc>
      </w:tr>
      <w:tr w14:paraId="010D1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28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58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山西省交城县兴龙铸造有限公司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91141122X02645195Y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6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1D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闫广平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0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01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39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  <w:tr w14:paraId="4BE66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8E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D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山西宏特煤化工有限公司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91141122741079692Y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F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0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D2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  <w:tr w14:paraId="5FAD3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A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E6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方山县兴神耐火材料有限公司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B5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91141128681922835Y001X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6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耐火陶瓷制品及其他耐火材料制造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8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E0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8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C1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7301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7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6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文水县聚贤食品有限公司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2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91141121664452958K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22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牲畜屠宰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F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3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1F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14978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7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E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临县城乡环境卫生服务中心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12142326MB1K45153H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环境卫生管理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B0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A5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87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停用待封场</w:t>
            </w:r>
          </w:p>
        </w:tc>
      </w:tr>
      <w:tr w14:paraId="6C765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8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92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中国铝业股份有限公司孝义铝矿相王铝土矿区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04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91141181MA0GXD4B2R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CF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其他常用有色金属矿采选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B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7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23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33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169BF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53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9F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孝义市恒荣化工材料有限公司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3B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91141181MA0JYKQ42C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5E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无机盐制造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5F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81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FB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97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74F7D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9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B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孝义市金盛冶炼有限公司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5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911411817942179481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9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3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8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A5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1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4AAE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C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F6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孝义市银标炭黑有限责任公司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26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911411817795888478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B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4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FF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63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4B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454F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F4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9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山西金达气体有限公司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3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91141181MA0H0LDD99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9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无机酸制造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3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E4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4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16F7C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E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60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山西金达煤化工科技有限公司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4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9114118134686966XC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ED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赵五一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F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2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8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5BD50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1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C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瑞拓峰高新科技有限公司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E0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91141181MA0L3TYAXY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01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BC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69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9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24254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8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山西润孝食品有限公司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CF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911411811124318926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AB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肉制品及副产品加工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B6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郝桂琪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61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F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8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2A30A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3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3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金晖兆隆高新科技股份有限公司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C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91141181597398065A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6D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其他合成材料制造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25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樊武元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9D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2E05D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7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50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孝义市华正新材料科技有限公司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08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91141181346790118D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9B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有机化学原料制造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1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张锦洲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96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C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9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2EA7C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29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2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吕梁市鸿海精细化工有限公司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D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91141100590862611F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DC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其他基础化学原料制造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3C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EA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6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54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全年停产，设备已拆除</w:t>
            </w:r>
          </w:p>
        </w:tc>
      </w:tr>
      <w:tr w14:paraId="56B1F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F8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11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孝义新希望六和食品有限公司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05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911411815684736446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其他未列明畜牧业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B8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陶保军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5B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C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08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0874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F2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E4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孝义市热力公司城东热源厂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6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911411815663077306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0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AA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马红兵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8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A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51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5CA90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23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9B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山西华瑞康化工有限责任公司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C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91141181571052998E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3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FE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梁安斌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83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90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38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077C5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B5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0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山西贝能集团东正冶金化工有限公司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911411817751544946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4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无机酸制造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1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崔卫峰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A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67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F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1135B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96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山西孝义华庆铝业有限公司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94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91141181757275612L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1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铝冶炼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9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8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5CE6C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2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CC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孝义市泰兴铝镁有限公司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BD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91141181672315144F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9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D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7A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2C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6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3B67F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1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C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孝义市绿宝晶农副产品深加工有限公司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1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91141181785813537W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3E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车明军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3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6B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C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全年停产</w:t>
            </w:r>
          </w:p>
        </w:tc>
      </w:tr>
      <w:tr w14:paraId="7D1A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C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山西柳林电力有限责任公司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E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91140000110055707G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1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AF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7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3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吕梁市柳林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6D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淘汰关停</w:t>
            </w:r>
          </w:p>
        </w:tc>
      </w:tr>
      <w:tr w14:paraId="19308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35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6E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柳林县信合矿业有限责任公司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91141125MA0JY06WX6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5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耐火陶瓷制品及其他耐火材料制造 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C2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马鹏飞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C6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3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吕梁市柳林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51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</w:t>
            </w:r>
          </w:p>
        </w:tc>
      </w:tr>
    </w:tbl>
    <w:p w14:paraId="39F8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EBC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2.吕梁市2025年企业环境信息依法披露企业信息变更情况</w:t>
      </w:r>
    </w:p>
    <w:tbl>
      <w:tblPr>
        <w:tblStyle w:val="12"/>
        <w:tblW w:w="138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1347"/>
        <w:gridCol w:w="956"/>
        <w:gridCol w:w="1070"/>
        <w:gridCol w:w="789"/>
        <w:gridCol w:w="697"/>
        <w:gridCol w:w="674"/>
        <w:gridCol w:w="1286"/>
        <w:gridCol w:w="1368"/>
        <w:gridCol w:w="1034"/>
        <w:gridCol w:w="1096"/>
        <w:gridCol w:w="832"/>
        <w:gridCol w:w="862"/>
        <w:gridCol w:w="844"/>
        <w:gridCol w:w="691"/>
      </w:tblGrid>
      <w:tr w14:paraId="1D52D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Header/>
          <w:jc w:val="center"/>
        </w:trPr>
        <w:tc>
          <w:tcPr>
            <w:tcW w:w="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70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6F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7B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6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变更后</w:t>
            </w:r>
          </w:p>
        </w:tc>
      </w:tr>
      <w:tr w14:paraId="2C46F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Header/>
          <w:jc w:val="center"/>
        </w:trPr>
        <w:tc>
          <w:tcPr>
            <w:tcW w:w="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51CE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9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FA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26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B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</w:t>
            </w:r>
          </w:p>
          <w:p w14:paraId="7D2C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3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4192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D5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EA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A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F1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</w:t>
            </w:r>
          </w:p>
          <w:p w14:paraId="42D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FA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F4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E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</w:tr>
      <w:tr w14:paraId="577AE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1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1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交城县合力玻璃厂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C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91141122X02643210E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E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其他玻璃制品制造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4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D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2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企业名称及法人变更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山西省交城县合力玻璃厂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5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91141122X02643210E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50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其他玻璃制品制造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99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47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97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8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01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4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山西成诺物贸有限公司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6D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91141121670189500A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其他陶瓷制品制造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0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5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72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D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山西成诺科技发展有限公司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3C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91141121670189500A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FE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其他陶瓷制品制造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9C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0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26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1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1F31FF4">
      <w:pPr>
        <w:spacing w:line="620" w:lineRule="exact"/>
        <w:jc w:val="center"/>
        <w:rPr>
          <w:rFonts w:ascii="Times New Roman" w:hAnsi="Times New Roman" w:eastAsia="宋体" w:cs="Times New Roman"/>
          <w:sz w:val="28"/>
        </w:rPr>
      </w:pPr>
    </w:p>
    <w:p w14:paraId="05B1FFD2">
      <w:pPr>
        <w:rPr>
          <w:rFonts w:ascii="Times New Roman" w:hAnsi="Times New Roman" w:eastAsia="宋体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CCCD5">
    <w:pPr>
      <w:pStyle w:val="9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  <w:p w14:paraId="33069E61">
    <w:pPr>
      <w:pStyle w:val="9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1182"/>
    <w:rsid w:val="0013570B"/>
    <w:rsid w:val="0014619C"/>
    <w:rsid w:val="00164F81"/>
    <w:rsid w:val="001866CC"/>
    <w:rsid w:val="001C673A"/>
    <w:rsid w:val="001E46D5"/>
    <w:rsid w:val="00211225"/>
    <w:rsid w:val="00235198"/>
    <w:rsid w:val="002356BC"/>
    <w:rsid w:val="002C6375"/>
    <w:rsid w:val="00401D6E"/>
    <w:rsid w:val="0045797B"/>
    <w:rsid w:val="00464150"/>
    <w:rsid w:val="004B0CBD"/>
    <w:rsid w:val="0050738C"/>
    <w:rsid w:val="00524C7C"/>
    <w:rsid w:val="00597B3E"/>
    <w:rsid w:val="005A3DC3"/>
    <w:rsid w:val="0069356C"/>
    <w:rsid w:val="007C4387"/>
    <w:rsid w:val="00862540"/>
    <w:rsid w:val="00964911"/>
    <w:rsid w:val="00A35350"/>
    <w:rsid w:val="00A475E5"/>
    <w:rsid w:val="00A761CD"/>
    <w:rsid w:val="00A85373"/>
    <w:rsid w:val="00AF671F"/>
    <w:rsid w:val="00B05EEA"/>
    <w:rsid w:val="00B2079C"/>
    <w:rsid w:val="00B7609B"/>
    <w:rsid w:val="00BB4E94"/>
    <w:rsid w:val="00BE742F"/>
    <w:rsid w:val="00C07F10"/>
    <w:rsid w:val="00C33FCD"/>
    <w:rsid w:val="00CB5E78"/>
    <w:rsid w:val="00CD730E"/>
    <w:rsid w:val="00CD77D6"/>
    <w:rsid w:val="00CF35E4"/>
    <w:rsid w:val="00D3590F"/>
    <w:rsid w:val="00D35F06"/>
    <w:rsid w:val="00D37765"/>
    <w:rsid w:val="00D55428"/>
    <w:rsid w:val="00D8360F"/>
    <w:rsid w:val="00DA22E1"/>
    <w:rsid w:val="00DA666A"/>
    <w:rsid w:val="00EC15D6"/>
    <w:rsid w:val="00F32D43"/>
    <w:rsid w:val="00F73F89"/>
    <w:rsid w:val="04720418"/>
    <w:rsid w:val="0ABD5480"/>
    <w:rsid w:val="14017C49"/>
    <w:rsid w:val="2B4A100B"/>
    <w:rsid w:val="2BF967A1"/>
    <w:rsid w:val="333D55C0"/>
    <w:rsid w:val="36D67E8E"/>
    <w:rsid w:val="3CEC2EDD"/>
    <w:rsid w:val="3D1025D8"/>
    <w:rsid w:val="445B397F"/>
    <w:rsid w:val="4B3708F9"/>
    <w:rsid w:val="4F4063B1"/>
    <w:rsid w:val="55C02EE3"/>
    <w:rsid w:val="725A6657"/>
    <w:rsid w:val="74424EDF"/>
    <w:rsid w:val="7A2C0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7">
    <w:name w:val="annotation text"/>
    <w:basedOn w:val="1"/>
    <w:link w:val="38"/>
    <w:qFormat/>
    <w:uiPriority w:val="99"/>
    <w:pPr>
      <w:jc w:val="left"/>
    </w:pPr>
  </w:style>
  <w:style w:type="paragraph" w:styleId="8">
    <w:name w:val="Balloon Text"/>
    <w:basedOn w:val="1"/>
    <w:link w:val="34"/>
    <w:qFormat/>
    <w:uiPriority w:val="99"/>
    <w:rPr>
      <w:sz w:val="18"/>
      <w:szCs w:val="18"/>
    </w:rPr>
  </w:style>
  <w:style w:type="paragraph" w:styleId="9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39"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99"/>
    <w:rPr>
      <w:sz w:val="21"/>
      <w:szCs w:val="21"/>
    </w:rPr>
  </w:style>
  <w:style w:type="paragraph" w:customStyle="1" w:styleId="16">
    <w:name w:val="四级标题-lee"/>
    <w:basedOn w:val="5"/>
    <w:link w:val="17"/>
    <w:qFormat/>
    <w:uiPriority w:val="0"/>
    <w:pPr>
      <w:spacing w:before="0" w:after="0" w:line="360" w:lineRule="auto"/>
      <w:jc w:val="left"/>
    </w:pPr>
    <w:rPr>
      <w:rFonts w:ascii="Times New Roman" w:hAnsi="Times New Roman" w:eastAsia="仿宋_GB2312"/>
      <w:sz w:val="32"/>
    </w:rPr>
  </w:style>
  <w:style w:type="character" w:customStyle="1" w:styleId="17">
    <w:name w:val="四级标题-lee 字符"/>
    <w:basedOn w:val="18"/>
    <w:link w:val="16"/>
    <w:qFormat/>
    <w:uiPriority w:val="0"/>
    <w:rPr>
      <w:rFonts w:ascii="Times New Roman" w:hAnsi="Times New Roman" w:eastAsia="仿宋_GB2312" w:cs="宋体"/>
      <w:sz w:val="32"/>
      <w:szCs w:val="28"/>
    </w:rPr>
  </w:style>
  <w:style w:type="character" w:customStyle="1" w:styleId="18">
    <w:name w:val="标题 4 字符"/>
    <w:basedOn w:val="14"/>
    <w:link w:val="5"/>
    <w:qFormat/>
    <w:uiPriority w:val="9"/>
    <w:rPr>
      <w:rFonts w:ascii="等线 Light" w:hAnsi="等线 Light" w:eastAsia="等线 Light" w:cs="宋体"/>
      <w:b/>
      <w:bCs/>
      <w:sz w:val="28"/>
      <w:szCs w:val="28"/>
    </w:rPr>
  </w:style>
  <w:style w:type="paragraph" w:customStyle="1" w:styleId="19">
    <w:name w:val="一级标题-lee"/>
    <w:basedOn w:val="2"/>
    <w:link w:val="20"/>
    <w:qFormat/>
    <w:uiPriority w:val="0"/>
    <w:pPr>
      <w:spacing w:before="0" w:after="0" w:line="360" w:lineRule="auto"/>
      <w:jc w:val="left"/>
    </w:pPr>
    <w:rPr>
      <w:rFonts w:ascii="Times New Roman" w:hAnsi="Times New Roman" w:eastAsia="黑体"/>
      <w:sz w:val="32"/>
    </w:rPr>
  </w:style>
  <w:style w:type="character" w:customStyle="1" w:styleId="20">
    <w:name w:val="一级标题-lee 字符"/>
    <w:basedOn w:val="21"/>
    <w:link w:val="19"/>
    <w:qFormat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21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正文-lee"/>
    <w:basedOn w:val="16"/>
    <w:link w:val="23"/>
    <w:qFormat/>
    <w:uiPriority w:val="0"/>
    <w:pPr>
      <w:adjustRightInd w:val="0"/>
      <w:snapToGrid w:val="0"/>
      <w:ind w:firstLine="200" w:firstLineChars="200"/>
      <w:jc w:val="both"/>
      <w:outlineLvl w:val="9"/>
    </w:pPr>
    <w:rPr>
      <w:b w:val="0"/>
      <w:sz w:val="30"/>
    </w:rPr>
  </w:style>
  <w:style w:type="character" w:customStyle="1" w:styleId="23">
    <w:name w:val="正文-lee 字符"/>
    <w:basedOn w:val="17"/>
    <w:link w:val="22"/>
    <w:qFormat/>
    <w:uiPriority w:val="0"/>
    <w:rPr>
      <w:rFonts w:ascii="Times New Roman" w:hAnsi="Times New Roman" w:eastAsia="仿宋_GB2312" w:cs="宋体"/>
      <w:b w:val="0"/>
      <w:sz w:val="30"/>
      <w:szCs w:val="28"/>
    </w:rPr>
  </w:style>
  <w:style w:type="paragraph" w:customStyle="1" w:styleId="24">
    <w:name w:val="表和图题注-lee"/>
    <w:basedOn w:val="6"/>
    <w:link w:val="25"/>
    <w:qFormat/>
    <w:uiPriority w:val="0"/>
    <w:pPr>
      <w:adjustRightInd w:val="0"/>
      <w:snapToGrid w:val="0"/>
      <w:spacing w:beforeLines="50" w:afterLines="50"/>
      <w:jc w:val="center"/>
    </w:pPr>
    <w:rPr>
      <w:rFonts w:ascii="Times New Roman" w:hAnsi="Times New Roman" w:eastAsia="宋体"/>
      <w:sz w:val="28"/>
    </w:rPr>
  </w:style>
  <w:style w:type="character" w:customStyle="1" w:styleId="25">
    <w:name w:val="表和图题注-lee 字符"/>
    <w:basedOn w:val="14"/>
    <w:link w:val="24"/>
    <w:qFormat/>
    <w:uiPriority w:val="0"/>
    <w:rPr>
      <w:rFonts w:ascii="Times New Roman" w:hAnsi="Times New Roman" w:eastAsia="宋体" w:cs="宋体"/>
      <w:sz w:val="28"/>
      <w:szCs w:val="20"/>
    </w:rPr>
  </w:style>
  <w:style w:type="paragraph" w:customStyle="1" w:styleId="26">
    <w:name w:val="二级标题-lee"/>
    <w:basedOn w:val="3"/>
    <w:link w:val="27"/>
    <w:qFormat/>
    <w:uiPriority w:val="0"/>
    <w:pPr>
      <w:snapToGrid w:val="0"/>
      <w:spacing w:before="0" w:after="0" w:line="360" w:lineRule="auto"/>
      <w:jc w:val="left"/>
    </w:pPr>
    <w:rPr>
      <w:rFonts w:ascii="Times New Roman" w:hAnsi="Times New Roman" w:eastAsia="黑体"/>
      <w:b w:val="0"/>
    </w:rPr>
  </w:style>
  <w:style w:type="character" w:customStyle="1" w:styleId="27">
    <w:name w:val="二级标题-lee 字符"/>
    <w:basedOn w:val="28"/>
    <w:link w:val="26"/>
    <w:qFormat/>
    <w:uiPriority w:val="0"/>
    <w:rPr>
      <w:rFonts w:ascii="Times New Roman" w:hAnsi="Times New Roman" w:eastAsia="黑体" w:cs="宋体"/>
      <w:b w:val="0"/>
      <w:sz w:val="32"/>
      <w:szCs w:val="32"/>
    </w:rPr>
  </w:style>
  <w:style w:type="character" w:customStyle="1" w:styleId="28">
    <w:name w:val="标题 2 字符"/>
    <w:basedOn w:val="14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customStyle="1" w:styleId="29">
    <w:name w:val="三级标题-lee"/>
    <w:basedOn w:val="4"/>
    <w:link w:val="30"/>
    <w:qFormat/>
    <w:uiPriority w:val="0"/>
    <w:pPr>
      <w:adjustRightInd w:val="0"/>
      <w:snapToGrid w:val="0"/>
      <w:spacing w:before="0" w:after="0" w:line="360" w:lineRule="auto"/>
    </w:pPr>
    <w:rPr>
      <w:rFonts w:ascii="Times New Roman" w:hAnsi="Times New Roman" w:eastAsia="楷体_GB2312"/>
      <w:b w:val="0"/>
    </w:rPr>
  </w:style>
  <w:style w:type="character" w:customStyle="1" w:styleId="30">
    <w:name w:val="三级标题-lee 字符"/>
    <w:basedOn w:val="31"/>
    <w:link w:val="29"/>
    <w:qFormat/>
    <w:uiPriority w:val="0"/>
    <w:rPr>
      <w:rFonts w:ascii="Times New Roman" w:hAnsi="Times New Roman" w:eastAsia="楷体_GB2312"/>
      <w:b w:val="0"/>
      <w:sz w:val="32"/>
      <w:szCs w:val="32"/>
    </w:rPr>
  </w:style>
  <w:style w:type="character" w:customStyle="1" w:styleId="31">
    <w:name w:val="标题 3 字符"/>
    <w:basedOn w:val="14"/>
    <w:link w:val="4"/>
    <w:qFormat/>
    <w:uiPriority w:val="9"/>
    <w:rPr>
      <w:b/>
      <w:bCs/>
      <w:sz w:val="32"/>
      <w:szCs w:val="32"/>
    </w:rPr>
  </w:style>
  <w:style w:type="paragraph" w:customStyle="1" w:styleId="32">
    <w:name w:val="文档标题-lee"/>
    <w:basedOn w:val="1"/>
    <w:qFormat/>
    <w:uiPriority w:val="0"/>
    <w:pPr>
      <w:adjustRightInd w:val="0"/>
      <w:snapToGrid w:val="0"/>
      <w:spacing w:line="620" w:lineRule="exact"/>
      <w:jc w:val="center"/>
    </w:pPr>
    <w:rPr>
      <w:rFonts w:ascii="Times New Roman" w:hAnsi="Times New Roman" w:eastAsia="方正小标宋简体"/>
      <w:sz w:val="36"/>
      <w:szCs w:val="36"/>
    </w:rPr>
  </w:style>
  <w:style w:type="paragraph" w:styleId="33">
    <w:name w:val="List Paragraph"/>
    <w:basedOn w:val="1"/>
    <w:qFormat/>
    <w:uiPriority w:val="34"/>
    <w:pPr>
      <w:spacing w:line="360" w:lineRule="auto"/>
    </w:pPr>
  </w:style>
  <w:style w:type="character" w:customStyle="1" w:styleId="34">
    <w:name w:val="批注框文本 字符"/>
    <w:basedOn w:val="14"/>
    <w:link w:val="8"/>
    <w:qFormat/>
    <w:uiPriority w:val="99"/>
    <w:rPr>
      <w:sz w:val="18"/>
      <w:szCs w:val="18"/>
    </w:rPr>
  </w:style>
  <w:style w:type="character" w:customStyle="1" w:styleId="35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36">
    <w:name w:val="页脚 字符"/>
    <w:basedOn w:val="14"/>
    <w:link w:val="9"/>
    <w:qFormat/>
    <w:uiPriority w:val="99"/>
    <w:rPr>
      <w:sz w:val="18"/>
      <w:szCs w:val="18"/>
    </w:rPr>
  </w:style>
  <w:style w:type="paragraph" w:customStyle="1" w:styleId="37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38">
    <w:name w:val="批注文字 字符"/>
    <w:basedOn w:val="14"/>
    <w:link w:val="7"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1"/>
    <w:qFormat/>
    <w:uiPriority w:val="99"/>
    <w:rPr>
      <w:b/>
      <w:bCs/>
      <w:kern w:val="2"/>
      <w:sz w:val="21"/>
      <w:szCs w:val="22"/>
    </w:rPr>
  </w:style>
  <w:style w:type="paragraph" w:customStyle="1" w:styleId="40">
    <w:name w:val="修订2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等线" w:eastAsia="仿宋" w:cs="仿宋"/>
      <w:color w:val="000000"/>
      <w:sz w:val="24"/>
      <w:szCs w:val="24"/>
      <w:lang w:val="en-US" w:eastAsia="zh-CN" w:bidi="ar-SA"/>
    </w:rPr>
  </w:style>
  <w:style w:type="character" w:customStyle="1" w:styleId="42">
    <w:name w:val="font61"/>
    <w:basedOn w:val="14"/>
    <w:qFormat/>
    <w:uiPriority w:val="0"/>
    <w:rPr>
      <w:rFonts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43">
    <w:name w:val="font71"/>
    <w:basedOn w:val="14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44">
    <w:name w:val="font81"/>
    <w:basedOn w:val="14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45">
    <w:name w:val="font51"/>
    <w:basedOn w:val="14"/>
    <w:qFormat/>
    <w:uiPriority w:val="0"/>
    <w:rPr>
      <w:rFonts w:hint="default" w:ascii="Segoe UI" w:hAnsi="Segoe UI" w:eastAsia="Segoe UI" w:cs="Segoe UI"/>
      <w:color w:val="000000"/>
      <w:sz w:val="12"/>
      <w:szCs w:val="12"/>
      <w:u w:val="none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2"/>
    </w:rPr>
  </w:style>
  <w:style w:type="paragraph" w:customStyle="1" w:styleId="4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4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5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Cs w:val="21"/>
    </w:rPr>
  </w:style>
  <w:style w:type="paragraph" w:customStyle="1" w:styleId="5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Cs w:val="21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FF0000"/>
      <w:kern w:val="0"/>
      <w:szCs w:val="21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4">
    <w:name w:val="et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2F2F2"/>
      <w:spacing w:before="100" w:beforeAutospacing="1" w:after="100" w:afterAutospacing="1"/>
      <w:jc w:val="center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55">
    <w:name w:val="et3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F2F2F2"/>
      <w:spacing w:before="100" w:beforeAutospacing="1" w:after="100" w:afterAutospacing="1"/>
      <w:jc w:val="center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56">
    <w:name w:val="et4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57">
    <w:name w:val="et5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58">
    <w:name w:val="et6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75BD42"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59">
    <w:name w:val="et7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75BD42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60">
    <w:name w:val="et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61">
    <w:name w:val="et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62">
    <w:name w:val="et10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/>
      <w:color w:val="000000"/>
      <w:kern w:val="0"/>
      <w:szCs w:val="21"/>
    </w:rPr>
  </w:style>
  <w:style w:type="paragraph" w:customStyle="1" w:styleId="63">
    <w:name w:val="et1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/>
      <w:color w:val="000000"/>
      <w:kern w:val="0"/>
      <w:szCs w:val="21"/>
    </w:rPr>
  </w:style>
  <w:style w:type="paragraph" w:customStyle="1" w:styleId="64">
    <w:name w:val="et1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Cs w:val="21"/>
    </w:rPr>
  </w:style>
  <w:style w:type="paragraph" w:customStyle="1" w:styleId="65">
    <w:name w:val="et1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Cs w:val="21"/>
    </w:rPr>
  </w:style>
  <w:style w:type="paragraph" w:customStyle="1" w:styleId="66">
    <w:name w:val="et1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kern w:val="0"/>
      <w:szCs w:val="21"/>
    </w:rPr>
  </w:style>
  <w:style w:type="paragraph" w:customStyle="1" w:styleId="67">
    <w:name w:val="et15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/>
      <w:color w:val="FF0000"/>
      <w:kern w:val="0"/>
      <w:szCs w:val="21"/>
    </w:rPr>
  </w:style>
  <w:style w:type="paragraph" w:customStyle="1" w:styleId="68">
    <w:name w:val="et17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75BD42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69">
    <w:name w:val="et1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70">
    <w:name w:val="et1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71">
    <w:name w:val="et20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72">
    <w:name w:val="et2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2BA02"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Cs w:val="21"/>
    </w:rPr>
  </w:style>
  <w:style w:type="paragraph" w:customStyle="1" w:styleId="73">
    <w:name w:val="et2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2BA02"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74">
    <w:name w:val="et2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2BA02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75">
    <w:name w:val="et2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F2BA02"/>
      <w:spacing w:before="100" w:beforeAutospacing="1" w:after="100" w:afterAutospacing="1"/>
      <w:jc w:val="righ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76">
    <w:name w:val="et2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auto" w:fill="75BD42"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Cs w:val="21"/>
    </w:rPr>
  </w:style>
  <w:style w:type="character" w:customStyle="1" w:styleId="77">
    <w:name w:val="font3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78">
    <w:name w:val="font41"/>
    <w:basedOn w:val="14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79">
    <w:name w:val="font21"/>
    <w:basedOn w:val="14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80">
    <w:name w:val="font1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81">
    <w:name w:val="font01"/>
    <w:basedOn w:val="14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1375</Words>
  <Characters>1926</Characters>
  <Lines>673</Lines>
  <Paragraphs>434</Paragraphs>
  <TotalTime>2</TotalTime>
  <ScaleCrop>false</ScaleCrop>
  <LinksUpToDate>false</LinksUpToDate>
  <CharactersWithSpaces>1927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2025-09-27T07:54:00Z</dcterms:created>
  <dc:creator>MSoffice</dc:creator>
  <cp:lastModifiedBy>逃之夭夭</cp:lastModifiedBy>
  <dcterms:modified xsi:type="dcterms:W3CDTF">2026-03-13T04:01:05Z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f62c761c63c341bda39b5c4d7fb553d7_23</vt:lpwstr>
  </property>
  <property fmtid="{D5CDD505-2E9C-101B-9397-08002B2CF9AE}" pid="4" name="KSOTemplateDocerSaveRecord">
    <vt:lpwstr>eyJoZGlkIjoiZTIwYTkzNTJkOTIzNjc0ZmIwMTJhYmNlMzU4ZmM0ZWIiLCJ1c2VySWQiOiI0MzMxMDM0OTMifQ==</vt:lpwstr>
  </property>
</Properties>
</file>