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84"/>
          <w:szCs w:val="84"/>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72"/>
          <w:szCs w:val="72"/>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72"/>
          <w:szCs w:val="72"/>
        </w:rPr>
      </w:pPr>
      <w:r>
        <w:rPr>
          <w:rFonts w:hint="eastAsia" w:ascii="方正小标宋简体" w:eastAsia="方正小标宋简体"/>
          <w:color w:val="auto"/>
          <w:sz w:val="72"/>
          <w:szCs w:val="72"/>
        </w:rPr>
        <w:t>吕梁市</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72"/>
          <w:szCs w:val="72"/>
          <w:lang w:eastAsia="zh-CN"/>
        </w:rPr>
      </w:pPr>
      <w:r>
        <w:rPr>
          <w:rFonts w:hint="eastAsia" w:ascii="方正小标宋简体" w:eastAsia="方正小标宋简体"/>
          <w:color w:val="auto"/>
          <w:sz w:val="72"/>
          <w:szCs w:val="72"/>
        </w:rPr>
        <w:t>中等职业教育质量</w:t>
      </w:r>
      <w:r>
        <w:rPr>
          <w:rFonts w:hint="eastAsia" w:ascii="方正小标宋简体" w:eastAsia="方正小标宋简体"/>
          <w:color w:val="auto"/>
          <w:sz w:val="72"/>
          <w:szCs w:val="72"/>
          <w:lang w:eastAsia="zh-CN"/>
        </w:rPr>
        <w:t>年度</w:t>
      </w:r>
      <w:r>
        <w:rPr>
          <w:rFonts w:hint="eastAsia" w:ascii="方正小标宋简体" w:eastAsia="方正小标宋简体"/>
          <w:color w:val="auto"/>
          <w:sz w:val="72"/>
          <w:szCs w:val="72"/>
        </w:rPr>
        <w:t>报告</w:t>
      </w:r>
      <w:r>
        <w:rPr>
          <w:rFonts w:hint="eastAsia" w:ascii="方正小标宋简体" w:eastAsia="方正小标宋简体"/>
          <w:color w:val="auto"/>
          <w:sz w:val="72"/>
          <w:szCs w:val="72"/>
          <w:lang w:eastAsia="zh-CN"/>
        </w:rPr>
        <w:t>（</w:t>
      </w:r>
      <w:r>
        <w:rPr>
          <w:rFonts w:hint="eastAsia" w:ascii="方正小标宋简体" w:eastAsia="方正小标宋简体"/>
          <w:color w:val="auto"/>
          <w:sz w:val="72"/>
          <w:szCs w:val="72"/>
          <w:lang w:val="en-US" w:eastAsia="zh-CN"/>
        </w:rPr>
        <w:t>2023</w:t>
      </w:r>
      <w:r>
        <w:rPr>
          <w:rFonts w:hint="eastAsia" w:ascii="方正小标宋简体" w:eastAsia="方正小标宋简体"/>
          <w:color w:val="auto"/>
          <w:sz w:val="72"/>
          <w:szCs w:val="72"/>
          <w:lang w:eastAsia="zh-CN"/>
        </w:rPr>
        <w:t>）</w:t>
      </w:r>
    </w:p>
    <w:p>
      <w:pPr>
        <w:pageBreakBefore w:val="0"/>
        <w:widowControl w:val="0"/>
        <w:kinsoku/>
        <w:wordWrap/>
        <w:overflowPunct/>
        <w:topLinePunct w:val="0"/>
        <w:bidi w:val="0"/>
        <w:adjustRightInd/>
        <w:spacing w:line="500" w:lineRule="exact"/>
        <w:ind w:left="0"/>
        <w:jc w:val="center"/>
        <w:rPr>
          <w:rFonts w:ascii="方正小标宋简体" w:eastAsia="方正小标宋简体"/>
          <w:color w:val="auto"/>
          <w:sz w:val="15"/>
          <w:szCs w:val="15"/>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方正小标宋简体" w:eastAsia="方正小标宋简体"/>
          <w:color w:val="auto"/>
          <w:sz w:val="44"/>
          <w:szCs w:val="44"/>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rPr>
          <w:rFonts w:hint="eastAsia" w:asci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44"/>
          <w:szCs w:val="44"/>
          <w:lang w:eastAsia="zh-CN"/>
        </w:rPr>
      </w:pPr>
      <w:r>
        <w:rPr>
          <w:rFonts w:hint="eastAsia" w:ascii="方正小标宋简体" w:eastAsia="方正小标宋简体"/>
          <w:color w:val="auto"/>
          <w:sz w:val="44"/>
          <w:szCs w:val="44"/>
          <w:lang w:eastAsia="zh-CN"/>
        </w:rPr>
        <w:t>吕梁市教育局职教科</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方正小标宋简体" w:eastAsia="方正小标宋简体"/>
          <w:color w:val="auto"/>
          <w:sz w:val="44"/>
          <w:szCs w:val="44"/>
          <w:lang w:val="en-US" w:eastAsia="zh-CN"/>
        </w:rPr>
        <w:sectPr>
          <w:headerReference r:id="rId5" w:type="first"/>
          <w:headerReference r:id="rId3" w:type="default"/>
          <w:headerReference r:id="rId4" w:type="even"/>
          <w:pgSz w:w="11906" w:h="16838"/>
          <w:pgMar w:top="1417" w:right="1417" w:bottom="1417" w:left="1701" w:header="851" w:footer="992" w:gutter="0"/>
          <w:pgNumType w:fmt="numberInDash"/>
          <w:cols w:space="0" w:num="1"/>
          <w:titlePg/>
          <w:rtlGutter w:val="1"/>
          <w:docGrid w:linePitch="312" w:charSpace="0"/>
        </w:sectPr>
      </w:pPr>
      <w:r>
        <w:rPr>
          <w:rFonts w:hint="eastAsia" w:ascii="方正小标宋简体" w:eastAsia="方正小标宋简体"/>
          <w:color w:val="auto"/>
          <w:sz w:val="44"/>
          <w:szCs w:val="44"/>
          <w:lang w:val="en-US" w:eastAsia="zh-CN"/>
        </w:rPr>
        <w:t>2022年12月</w:t>
      </w:r>
    </w:p>
    <w:p>
      <w:pPr>
        <w:keepNext w:val="0"/>
        <w:keepLines w:val="0"/>
        <w:pageBreakBefore w:val="0"/>
        <w:widowControl w:val="0"/>
        <w:kinsoku/>
        <w:wordWrap/>
        <w:overflowPunct/>
        <w:topLinePunct w:val="0"/>
        <w:autoSpaceDE/>
        <w:autoSpaceDN/>
        <w:bidi w:val="0"/>
        <w:adjustRightInd/>
        <w:snapToGrid/>
        <w:spacing w:before="156" w:beforeLines="50" w:beforeAutospacing="0" w:after="156" w:afterLines="50" w:afterAutospacing="0" w:line="360" w:lineRule="auto"/>
        <w:ind w:left="0" w:leftChars="0" w:firstLine="0" w:firstLineChars="0"/>
        <w:jc w:val="center"/>
        <w:textAlignment w:val="auto"/>
        <w:rPr>
          <w:rFonts w:hint="eastAsia" w:ascii="方正小标宋简体" w:eastAsia="方正小标宋简体"/>
          <w:color w:val="auto"/>
          <w:sz w:val="44"/>
          <w:szCs w:val="44"/>
          <w:lang w:eastAsia="zh-CN"/>
        </w:rPr>
      </w:pPr>
      <w:r>
        <w:rPr>
          <w:rFonts w:hint="eastAsia" w:ascii="方正小标宋简体" w:eastAsia="方正小标宋简体"/>
          <w:color w:val="auto"/>
          <w:sz w:val="44"/>
          <w:szCs w:val="44"/>
          <w:lang w:eastAsia="zh-CN"/>
        </w:rPr>
        <w:t>目</w:t>
      </w:r>
      <w:r>
        <w:rPr>
          <w:rFonts w:hint="eastAsia" w:ascii="方正小标宋简体" w:eastAsia="方正小标宋简体"/>
          <w:color w:val="auto"/>
          <w:sz w:val="44"/>
          <w:szCs w:val="44"/>
          <w:lang w:val="en-US" w:eastAsia="zh-CN"/>
        </w:rPr>
        <w:t xml:space="preserve">  </w:t>
      </w:r>
      <w:r>
        <w:rPr>
          <w:rFonts w:hint="eastAsia" w:ascii="方正小标宋简体" w:eastAsia="方正小标宋简体"/>
          <w:color w:val="auto"/>
          <w:sz w:val="44"/>
          <w:szCs w:val="44"/>
          <w:lang w:eastAsia="zh-CN"/>
        </w:rPr>
        <w:t>录</w:t>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color w:val="auto"/>
          <w:sz w:val="24"/>
          <w:szCs w:val="24"/>
          <w:lang w:eastAsia="zh-CN"/>
        </w:rPr>
        <w:instrText xml:space="preserve">TOC \o "1-2" \h \u </w:instrText>
      </w:r>
      <w:r>
        <w:rPr>
          <w:rFonts w:hint="eastAsia" w:ascii="宋体" w:hAnsi="宋体" w:eastAsia="宋体" w:cs="宋体"/>
          <w:color w:val="auto"/>
          <w:sz w:val="24"/>
          <w:szCs w:val="24"/>
          <w:lang w:eastAsia="zh-CN"/>
        </w:rPr>
        <w:fldChar w:fldCharType="separate"/>
      </w: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_Toc8566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1．基本情况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_Toc8566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- 1 -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_Toc6368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1.1 规模和结构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_Toc6368 \h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_Toc27693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1.2 设施设备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_Toc27693 \h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_Toc12697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1.3 教师队伍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_Toc12697 \h </w:instrText>
      </w:r>
      <w:r>
        <w:rPr>
          <w:rFonts w:hint="eastAsia" w:ascii="宋体" w:hAnsi="宋体" w:eastAsia="宋体" w:cs="宋体"/>
          <w:sz w:val="24"/>
          <w:szCs w:val="24"/>
        </w:rPr>
        <w:fldChar w:fldCharType="separate"/>
      </w:r>
      <w:r>
        <w:rPr>
          <w:rFonts w:hint="eastAsia" w:ascii="宋体" w:hAnsi="宋体" w:eastAsia="宋体" w:cs="宋体"/>
          <w:sz w:val="24"/>
          <w:szCs w:val="24"/>
        </w:rPr>
        <w:t>- 3 -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_Toc8079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2．学生发展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_Toc8079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- 4 -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_Toc15703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2.1 学生素质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_Toc15703 \h </w:instrText>
      </w:r>
      <w:r>
        <w:rPr>
          <w:rFonts w:hint="eastAsia" w:ascii="宋体" w:hAnsi="宋体" w:eastAsia="宋体" w:cs="宋体"/>
          <w:sz w:val="24"/>
          <w:szCs w:val="24"/>
        </w:rPr>
        <w:fldChar w:fldCharType="separate"/>
      </w:r>
      <w:r>
        <w:rPr>
          <w:rFonts w:hint="eastAsia" w:ascii="宋体" w:hAnsi="宋体" w:eastAsia="宋体" w:cs="宋体"/>
          <w:sz w:val="24"/>
          <w:szCs w:val="24"/>
        </w:rPr>
        <w:t>- 4 -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_Toc23815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2.2 就业质量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_Toc23815 \h </w:instrText>
      </w:r>
      <w:r>
        <w:rPr>
          <w:rFonts w:hint="eastAsia" w:ascii="宋体" w:hAnsi="宋体" w:eastAsia="宋体" w:cs="宋体"/>
          <w:sz w:val="24"/>
          <w:szCs w:val="24"/>
        </w:rPr>
        <w:fldChar w:fldCharType="separate"/>
      </w:r>
      <w:r>
        <w:rPr>
          <w:rFonts w:hint="eastAsia" w:ascii="宋体" w:hAnsi="宋体" w:eastAsia="宋体" w:cs="宋体"/>
          <w:sz w:val="24"/>
          <w:szCs w:val="24"/>
        </w:rPr>
        <w:t>- 6 -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_Toc23485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2.3 毕业生就业工作措施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_Toc23485 \h </w:instrText>
      </w:r>
      <w:r>
        <w:rPr>
          <w:rFonts w:hint="eastAsia" w:ascii="宋体" w:hAnsi="宋体" w:eastAsia="宋体" w:cs="宋体"/>
          <w:sz w:val="24"/>
          <w:szCs w:val="24"/>
        </w:rPr>
        <w:fldChar w:fldCharType="separate"/>
      </w:r>
      <w:r>
        <w:rPr>
          <w:rFonts w:hint="eastAsia" w:ascii="宋体" w:hAnsi="宋体" w:eastAsia="宋体" w:cs="宋体"/>
          <w:sz w:val="24"/>
          <w:szCs w:val="24"/>
        </w:rPr>
        <w:t>- 6 -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_Toc9404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2.4 创新创业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_Toc9404 \h </w:instrText>
      </w:r>
      <w:r>
        <w:rPr>
          <w:rFonts w:hint="eastAsia" w:ascii="宋体" w:hAnsi="宋体" w:eastAsia="宋体" w:cs="宋体"/>
          <w:sz w:val="24"/>
          <w:szCs w:val="24"/>
        </w:rPr>
        <w:fldChar w:fldCharType="separate"/>
      </w:r>
      <w:r>
        <w:rPr>
          <w:rFonts w:hint="eastAsia" w:ascii="宋体" w:hAnsi="宋体" w:eastAsia="宋体" w:cs="宋体"/>
          <w:sz w:val="24"/>
          <w:szCs w:val="24"/>
        </w:rPr>
        <w:t>- 6 -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_Toc7947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2.5 技能大赛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_Toc7947 \h </w:instrText>
      </w:r>
      <w:r>
        <w:rPr>
          <w:rFonts w:hint="eastAsia" w:ascii="宋体" w:hAnsi="宋体" w:eastAsia="宋体" w:cs="宋体"/>
          <w:sz w:val="24"/>
          <w:szCs w:val="24"/>
        </w:rPr>
        <w:fldChar w:fldCharType="separate"/>
      </w:r>
      <w:r>
        <w:rPr>
          <w:rFonts w:hint="eastAsia" w:ascii="宋体" w:hAnsi="宋体" w:eastAsia="宋体" w:cs="宋体"/>
          <w:sz w:val="24"/>
          <w:szCs w:val="24"/>
        </w:rPr>
        <w:t>- 7 -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_Toc556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3．教学改革</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_Toc556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- 8 -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_Toc11475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3.1 专业布局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_Toc11475 \h </w:instrText>
      </w:r>
      <w:r>
        <w:rPr>
          <w:rFonts w:hint="eastAsia" w:ascii="宋体" w:hAnsi="宋体" w:eastAsia="宋体" w:cs="宋体"/>
          <w:sz w:val="24"/>
          <w:szCs w:val="24"/>
        </w:rPr>
        <w:fldChar w:fldCharType="separate"/>
      </w:r>
      <w:r>
        <w:rPr>
          <w:rFonts w:hint="eastAsia" w:ascii="宋体" w:hAnsi="宋体" w:eastAsia="宋体" w:cs="宋体"/>
          <w:sz w:val="24"/>
          <w:szCs w:val="24"/>
        </w:rPr>
        <w:t>- 8 -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_Toc4657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3.2 教材选用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_Toc4657 \h </w:instrText>
      </w:r>
      <w:r>
        <w:rPr>
          <w:rFonts w:hint="eastAsia" w:ascii="宋体" w:hAnsi="宋体" w:eastAsia="宋体" w:cs="宋体"/>
          <w:sz w:val="24"/>
          <w:szCs w:val="24"/>
        </w:rPr>
        <w:fldChar w:fldCharType="separate"/>
      </w:r>
      <w:r>
        <w:rPr>
          <w:rFonts w:hint="eastAsia" w:ascii="宋体" w:hAnsi="宋体" w:eastAsia="宋体" w:cs="宋体"/>
          <w:sz w:val="24"/>
          <w:szCs w:val="24"/>
        </w:rPr>
        <w:t>- 8 -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_Toc19917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3.3 教育教学改革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_Toc19917 \h </w:instrText>
      </w:r>
      <w:r>
        <w:rPr>
          <w:rFonts w:hint="eastAsia" w:ascii="宋体" w:hAnsi="宋体" w:eastAsia="宋体" w:cs="宋体"/>
          <w:sz w:val="24"/>
          <w:szCs w:val="24"/>
        </w:rPr>
        <w:fldChar w:fldCharType="separate"/>
      </w:r>
      <w:r>
        <w:rPr>
          <w:rFonts w:hint="eastAsia" w:ascii="宋体" w:hAnsi="宋体" w:eastAsia="宋体" w:cs="宋体"/>
          <w:sz w:val="24"/>
          <w:szCs w:val="24"/>
        </w:rPr>
        <w:t>- 9 -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_Toc17605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3.4 大力提高教师素质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_Toc17605 \h </w:instrText>
      </w:r>
      <w:r>
        <w:rPr>
          <w:rFonts w:hint="eastAsia" w:ascii="宋体" w:hAnsi="宋体" w:eastAsia="宋体" w:cs="宋体"/>
          <w:sz w:val="24"/>
          <w:szCs w:val="24"/>
        </w:rPr>
        <w:fldChar w:fldCharType="separate"/>
      </w:r>
      <w:r>
        <w:rPr>
          <w:rFonts w:hint="eastAsia" w:ascii="宋体" w:hAnsi="宋体" w:eastAsia="宋体" w:cs="宋体"/>
          <w:sz w:val="24"/>
          <w:szCs w:val="24"/>
        </w:rPr>
        <w:t>- 11 -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_Toc23462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4．政策保障</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_Toc23462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- 12 -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_Toc30739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4.1 经费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_Toc30739 \h </w:instrText>
      </w:r>
      <w:r>
        <w:rPr>
          <w:rFonts w:hint="eastAsia" w:ascii="宋体" w:hAnsi="宋体" w:eastAsia="宋体" w:cs="宋体"/>
          <w:sz w:val="24"/>
          <w:szCs w:val="24"/>
        </w:rPr>
        <w:fldChar w:fldCharType="separate"/>
      </w:r>
      <w:r>
        <w:rPr>
          <w:rFonts w:hint="eastAsia" w:ascii="宋体" w:hAnsi="宋体" w:eastAsia="宋体" w:cs="宋体"/>
          <w:sz w:val="24"/>
          <w:szCs w:val="24"/>
        </w:rPr>
        <w:t>- 12 -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_Toc16970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4.2 政策措施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_Toc16970 \h </w:instrText>
      </w:r>
      <w:r>
        <w:rPr>
          <w:rFonts w:hint="eastAsia" w:ascii="宋体" w:hAnsi="宋体" w:eastAsia="宋体" w:cs="宋体"/>
          <w:sz w:val="24"/>
          <w:szCs w:val="24"/>
        </w:rPr>
        <w:fldChar w:fldCharType="separate"/>
      </w:r>
      <w:r>
        <w:rPr>
          <w:rFonts w:hint="eastAsia" w:ascii="宋体" w:hAnsi="宋体" w:eastAsia="宋体" w:cs="宋体"/>
          <w:sz w:val="24"/>
          <w:szCs w:val="24"/>
        </w:rPr>
        <w:t>- 12 -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_Toc32031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5．校企合作</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_Toc32031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- 14 -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_Toc22632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5.1 校企合作开展情况和效果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_Toc22632 \h </w:instrText>
      </w:r>
      <w:r>
        <w:rPr>
          <w:rFonts w:hint="eastAsia" w:ascii="宋体" w:hAnsi="宋体" w:eastAsia="宋体" w:cs="宋体"/>
          <w:sz w:val="24"/>
          <w:szCs w:val="24"/>
        </w:rPr>
        <w:fldChar w:fldCharType="separate"/>
      </w:r>
      <w:r>
        <w:rPr>
          <w:rFonts w:hint="eastAsia" w:ascii="宋体" w:hAnsi="宋体" w:eastAsia="宋体" w:cs="宋体"/>
          <w:sz w:val="24"/>
          <w:szCs w:val="24"/>
        </w:rPr>
        <w:t>- 14 -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_Toc23207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5.2 学生实习情况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_Toc23207 \h </w:instrText>
      </w:r>
      <w:r>
        <w:rPr>
          <w:rFonts w:hint="eastAsia" w:ascii="宋体" w:hAnsi="宋体" w:eastAsia="宋体" w:cs="宋体"/>
          <w:sz w:val="24"/>
          <w:szCs w:val="24"/>
        </w:rPr>
        <w:fldChar w:fldCharType="separate"/>
      </w:r>
      <w:r>
        <w:rPr>
          <w:rFonts w:hint="eastAsia" w:ascii="宋体" w:hAnsi="宋体" w:eastAsia="宋体" w:cs="宋体"/>
          <w:sz w:val="24"/>
          <w:szCs w:val="24"/>
        </w:rPr>
        <w:t>- 16 -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_Toc12617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5.3 集团化办学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_Toc12617 \h </w:instrText>
      </w:r>
      <w:r>
        <w:rPr>
          <w:rFonts w:hint="eastAsia" w:ascii="宋体" w:hAnsi="宋体" w:eastAsia="宋体" w:cs="宋体"/>
          <w:sz w:val="24"/>
          <w:szCs w:val="24"/>
        </w:rPr>
        <w:fldChar w:fldCharType="separate"/>
      </w:r>
      <w:r>
        <w:rPr>
          <w:rFonts w:hint="eastAsia" w:ascii="宋体" w:hAnsi="宋体" w:eastAsia="宋体" w:cs="宋体"/>
          <w:sz w:val="24"/>
          <w:szCs w:val="24"/>
        </w:rPr>
        <w:t>- 16 -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_Toc2100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6．服务贡献</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_Toc2100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- 16 -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_Toc23089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6.1 技术技能人才培养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_Toc23089 \h </w:instrText>
      </w:r>
      <w:r>
        <w:rPr>
          <w:rFonts w:hint="eastAsia" w:ascii="宋体" w:hAnsi="宋体" w:eastAsia="宋体" w:cs="宋体"/>
          <w:sz w:val="24"/>
          <w:szCs w:val="24"/>
        </w:rPr>
        <w:fldChar w:fldCharType="separate"/>
      </w:r>
      <w:r>
        <w:rPr>
          <w:rFonts w:hint="eastAsia" w:ascii="宋体" w:hAnsi="宋体" w:eastAsia="宋体" w:cs="宋体"/>
          <w:sz w:val="24"/>
          <w:szCs w:val="24"/>
        </w:rPr>
        <w:t>- 16 -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_Toc27242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6.2 社会服务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_Toc27242 \h </w:instrText>
      </w:r>
      <w:r>
        <w:rPr>
          <w:rFonts w:hint="eastAsia" w:ascii="宋体" w:hAnsi="宋体" w:eastAsia="宋体" w:cs="宋体"/>
          <w:sz w:val="24"/>
          <w:szCs w:val="24"/>
        </w:rPr>
        <w:fldChar w:fldCharType="separate"/>
      </w:r>
      <w:r>
        <w:rPr>
          <w:rFonts w:hint="eastAsia" w:ascii="宋体" w:hAnsi="宋体" w:eastAsia="宋体" w:cs="宋体"/>
          <w:sz w:val="24"/>
          <w:szCs w:val="24"/>
        </w:rPr>
        <w:t>- 17 -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_Toc18398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7.特色创新</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_Toc18398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- 19 -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_Toc25367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7.1 孝义市职教中心正思立行崇孝尚义思政教育工作室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_Toc25367 \h </w:instrText>
      </w:r>
      <w:r>
        <w:rPr>
          <w:rFonts w:hint="eastAsia" w:ascii="宋体" w:hAnsi="宋体" w:eastAsia="宋体" w:cs="宋体"/>
          <w:sz w:val="24"/>
          <w:szCs w:val="24"/>
        </w:rPr>
        <w:fldChar w:fldCharType="separate"/>
      </w:r>
      <w:r>
        <w:rPr>
          <w:rFonts w:hint="eastAsia" w:ascii="宋体" w:hAnsi="宋体" w:eastAsia="宋体" w:cs="宋体"/>
          <w:sz w:val="24"/>
          <w:szCs w:val="24"/>
        </w:rPr>
        <w:t>- 19 -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_Toc7391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7.2 山西徐特立高级职业中学技能大赛引领教学改革，“岗课赛证”融合提升育人水平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_Toc7391 \h </w:instrText>
      </w:r>
      <w:r>
        <w:rPr>
          <w:rFonts w:hint="eastAsia" w:ascii="宋体" w:hAnsi="宋体" w:eastAsia="宋体" w:cs="宋体"/>
          <w:sz w:val="24"/>
          <w:szCs w:val="24"/>
        </w:rPr>
        <w:fldChar w:fldCharType="separate"/>
      </w:r>
      <w:r>
        <w:rPr>
          <w:rFonts w:hint="eastAsia" w:ascii="宋体" w:hAnsi="宋体" w:eastAsia="宋体" w:cs="宋体"/>
          <w:sz w:val="24"/>
          <w:szCs w:val="24"/>
        </w:rPr>
        <w:t>- 21 -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_Toc6811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7.3 汾阳市高级职业中学 “三个一”工程 铸魂育人新途径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_Toc6811 \h </w:instrText>
      </w:r>
      <w:r>
        <w:rPr>
          <w:rFonts w:hint="eastAsia" w:ascii="宋体" w:hAnsi="宋体" w:eastAsia="宋体" w:cs="宋体"/>
          <w:sz w:val="24"/>
          <w:szCs w:val="24"/>
        </w:rPr>
        <w:fldChar w:fldCharType="separate"/>
      </w:r>
      <w:r>
        <w:rPr>
          <w:rFonts w:hint="eastAsia" w:ascii="宋体" w:hAnsi="宋体" w:eastAsia="宋体" w:cs="宋体"/>
          <w:sz w:val="24"/>
          <w:szCs w:val="24"/>
        </w:rPr>
        <w:t>- 23 -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_Toc30688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8.学校党建工作</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_Toc30688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- 24 -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17"/>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eastAsia="zh-CN"/>
        </w:rPr>
        <w:fldChar w:fldCharType="begin"/>
      </w:r>
      <w:r>
        <w:rPr>
          <w:rFonts w:hint="eastAsia" w:ascii="宋体" w:hAnsi="宋体" w:eastAsia="宋体" w:cs="宋体"/>
          <w:b/>
          <w:bCs/>
          <w:sz w:val="24"/>
          <w:szCs w:val="24"/>
          <w:lang w:eastAsia="zh-CN"/>
        </w:rPr>
        <w:instrText xml:space="preserve"> HYPERLINK \l _Toc5523 </w:instrText>
      </w:r>
      <w:r>
        <w:rPr>
          <w:rFonts w:hint="eastAsia" w:ascii="宋体" w:hAnsi="宋体" w:eastAsia="宋体" w:cs="宋体"/>
          <w:b/>
          <w:bCs/>
          <w:sz w:val="24"/>
          <w:szCs w:val="24"/>
          <w:lang w:eastAsia="zh-CN"/>
        </w:rPr>
        <w:fldChar w:fldCharType="separate"/>
      </w:r>
      <w:r>
        <w:rPr>
          <w:rFonts w:hint="eastAsia" w:ascii="宋体" w:hAnsi="宋体" w:eastAsia="宋体" w:cs="宋体"/>
          <w:b/>
          <w:bCs/>
          <w:kern w:val="2"/>
          <w:sz w:val="24"/>
          <w:szCs w:val="24"/>
          <w:lang w:val="en-US" w:eastAsia="zh-CN" w:bidi="ar-SA"/>
        </w:rPr>
        <w:t>9．面临挑战</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_Toc5523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- 25 -</w:t>
      </w:r>
      <w:r>
        <w:rPr>
          <w:rFonts w:hint="eastAsia" w:ascii="宋体" w:hAnsi="宋体" w:eastAsia="宋体" w:cs="宋体"/>
          <w:b/>
          <w:bCs/>
          <w:sz w:val="24"/>
          <w:szCs w:val="24"/>
        </w:rPr>
        <w:fldChar w:fldCharType="end"/>
      </w:r>
      <w:r>
        <w:rPr>
          <w:rFonts w:hint="eastAsia" w:ascii="宋体" w:hAnsi="宋体" w:eastAsia="宋体" w:cs="宋体"/>
          <w:b/>
          <w:bCs/>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_Toc12576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9.1 主要问题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_Toc12576 \h </w:instrText>
      </w:r>
      <w:r>
        <w:rPr>
          <w:rFonts w:hint="eastAsia" w:ascii="宋体" w:hAnsi="宋体" w:eastAsia="宋体" w:cs="宋体"/>
          <w:sz w:val="24"/>
          <w:szCs w:val="24"/>
        </w:rPr>
        <w:fldChar w:fldCharType="separate"/>
      </w:r>
      <w:r>
        <w:rPr>
          <w:rFonts w:hint="eastAsia" w:ascii="宋体" w:hAnsi="宋体" w:eastAsia="宋体" w:cs="宋体"/>
          <w:sz w:val="24"/>
          <w:szCs w:val="24"/>
        </w:rPr>
        <w:t>- 25 -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20"/>
        <w:keepNext w:val="0"/>
        <w:keepLines w:val="0"/>
        <w:pageBreakBefore w:val="0"/>
        <w:widowControl w:val="0"/>
        <w:tabs>
          <w:tab w:val="right" w:leader="dot" w:pos="8788"/>
        </w:tabs>
        <w:kinsoku/>
        <w:wordWrap/>
        <w:overflowPunct/>
        <w:topLinePunct w:val="0"/>
        <w:autoSpaceDE/>
        <w:autoSpaceDN/>
        <w:bidi w:val="0"/>
        <w:adjustRightInd/>
        <w:spacing w:line="480" w:lineRule="exact"/>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_Toc249 </w:instrText>
      </w:r>
      <w:r>
        <w:rPr>
          <w:rFonts w:hint="eastAsia" w:ascii="宋体" w:hAnsi="宋体" w:eastAsia="宋体" w:cs="宋体"/>
          <w:sz w:val="24"/>
          <w:szCs w:val="24"/>
          <w:lang w:eastAsia="zh-CN"/>
        </w:rPr>
        <w:fldChar w:fldCharType="separate"/>
      </w:r>
      <w:r>
        <w:rPr>
          <w:rFonts w:hint="eastAsia" w:ascii="宋体" w:hAnsi="宋体" w:eastAsia="宋体" w:cs="宋体"/>
          <w:kern w:val="2"/>
          <w:sz w:val="24"/>
          <w:szCs w:val="24"/>
          <w:lang w:val="en-US" w:eastAsia="zh-CN" w:bidi="ar-SA"/>
        </w:rPr>
        <w:t>9.2 改进措施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 \h </w:instrText>
      </w:r>
      <w:r>
        <w:rPr>
          <w:rFonts w:hint="eastAsia" w:ascii="宋体" w:hAnsi="宋体" w:eastAsia="宋体" w:cs="宋体"/>
          <w:sz w:val="24"/>
          <w:szCs w:val="24"/>
        </w:rPr>
        <w:fldChar w:fldCharType="separate"/>
      </w:r>
      <w:r>
        <w:rPr>
          <w:rFonts w:hint="eastAsia" w:ascii="宋体" w:hAnsi="宋体" w:eastAsia="宋体" w:cs="宋体"/>
          <w:sz w:val="24"/>
          <w:szCs w:val="24"/>
        </w:rPr>
        <w:t>- 25 -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fldChar w:fldCharType="end"/>
      </w: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pStyle w:val="2"/>
        <w:rPr>
          <w:rFonts w:hint="eastAsia" w:ascii="宋体" w:hAnsi="宋体" w:eastAsia="宋体" w:cs="宋体"/>
          <w:color w:val="auto"/>
          <w:sz w:val="24"/>
          <w:szCs w:val="24"/>
          <w:lang w:eastAsia="zh-CN"/>
        </w:rPr>
      </w:pPr>
    </w:p>
    <w:p>
      <w:pPr>
        <w:tabs>
          <w:tab w:val="left" w:pos="719"/>
        </w:tabs>
        <w:spacing w:before="227"/>
        <w:ind w:left="0" w:right="235" w:firstLine="0"/>
        <w:jc w:val="center"/>
        <w:rPr>
          <w:b/>
          <w:sz w:val="32"/>
        </w:rPr>
      </w:pPr>
      <w:r>
        <w:rPr>
          <w:rFonts w:hint="eastAsia"/>
          <w:b/>
          <w:sz w:val="32"/>
          <w:lang w:val="en-US" w:eastAsia="zh-CN"/>
        </w:rPr>
        <w:t xml:space="preserve">图  表  </w:t>
      </w:r>
      <w:r>
        <w:rPr>
          <w:b/>
          <w:sz w:val="32"/>
        </w:rPr>
        <w:t>目</w:t>
      </w:r>
      <w:r>
        <w:rPr>
          <w:rFonts w:hint="eastAsia"/>
          <w:b/>
          <w:sz w:val="32"/>
          <w:lang w:val="en-US" w:eastAsia="zh-CN"/>
        </w:rPr>
        <w:t xml:space="preserve">  </w:t>
      </w:r>
      <w:r>
        <w:rPr>
          <w:b/>
          <w:sz w:val="32"/>
        </w:rPr>
        <w:t>录</w:t>
      </w:r>
    </w:p>
    <w:p>
      <w:pPr>
        <w:pStyle w:val="20"/>
        <w:tabs>
          <w:tab w:val="right" w:leader="dot" w:pos="8788"/>
        </w:tabs>
      </w:pPr>
      <w:r>
        <w:rPr>
          <w:rFonts w:hint="eastAsia" w:ascii="宋体" w:hAnsi="宋体" w:eastAsia="宋体" w:cs="宋体"/>
          <w:color w:val="auto"/>
          <w:sz w:val="24"/>
          <w:szCs w:val="24"/>
          <w:lang w:eastAsia="zh-CN"/>
        </w:rPr>
        <w:fldChar w:fldCharType="begin"/>
      </w:r>
      <w:r>
        <w:rPr>
          <w:rFonts w:hint="eastAsia" w:ascii="宋体" w:hAnsi="宋体" w:eastAsia="宋体" w:cs="宋体"/>
          <w:color w:val="auto"/>
          <w:sz w:val="24"/>
          <w:szCs w:val="24"/>
          <w:lang w:eastAsia="zh-CN"/>
        </w:rPr>
        <w:instrText xml:space="preserve">TOC \o "1-4" \h \u </w:instrText>
      </w:r>
      <w:r>
        <w:rPr>
          <w:rFonts w:hint="eastAsia" w:ascii="宋体" w:hAnsi="宋体" w:eastAsia="宋体" w:cs="宋体"/>
          <w:color w:val="auto"/>
          <w:sz w:val="24"/>
          <w:szCs w:val="24"/>
          <w:lang w:eastAsia="zh-CN"/>
        </w:rPr>
        <w:fldChar w:fldCharType="separate"/>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_Toc29391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图</w:t>
      </w:r>
      <w:r>
        <w:rPr>
          <w:rFonts w:hint="eastAsia" w:ascii="宋体" w:hAnsi="宋体" w:eastAsia="宋体" w:cs="宋体"/>
          <w:kern w:val="24"/>
          <w:sz w:val="24"/>
          <w:szCs w:val="24"/>
          <w:lang w:val="en-US" w:eastAsia="zh-CN" w:bidi="zh-CN"/>
        </w:rPr>
        <w:t>1</w:t>
      </w:r>
      <w:r>
        <w:rPr>
          <w:rFonts w:hint="eastAsia" w:ascii="宋体" w:hAnsi="宋体" w:eastAsia="宋体" w:cs="宋体"/>
          <w:kern w:val="24"/>
          <w:sz w:val="24"/>
          <w:szCs w:val="24"/>
          <w:lang w:val="zh-CN" w:bidi="zh-CN"/>
        </w:rPr>
        <w:t>-1  全市中职学校类型分布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_Toc29391 \h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_Toc32234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图</w:t>
      </w:r>
      <w:r>
        <w:rPr>
          <w:rFonts w:hint="eastAsia" w:ascii="宋体" w:hAnsi="宋体" w:eastAsia="宋体" w:cs="宋体"/>
          <w:kern w:val="24"/>
          <w:sz w:val="24"/>
          <w:szCs w:val="24"/>
          <w:lang w:val="en-US" w:eastAsia="zh-CN" w:bidi="zh-CN"/>
        </w:rPr>
        <w:t>1</w:t>
      </w:r>
      <w:r>
        <w:rPr>
          <w:rFonts w:hint="eastAsia" w:ascii="宋体" w:hAnsi="宋体" w:eastAsia="宋体" w:cs="宋体"/>
          <w:kern w:val="24"/>
          <w:sz w:val="24"/>
          <w:szCs w:val="24"/>
          <w:lang w:val="zh-CN" w:bidi="zh-CN"/>
        </w:rPr>
        <w:t>-</w:t>
      </w:r>
      <w:r>
        <w:rPr>
          <w:rFonts w:hint="eastAsia" w:ascii="宋体" w:hAnsi="宋体" w:eastAsia="宋体" w:cs="宋体"/>
          <w:kern w:val="24"/>
          <w:sz w:val="24"/>
          <w:szCs w:val="24"/>
          <w:lang w:val="en-US" w:bidi="zh-CN"/>
        </w:rPr>
        <w:t>2</w:t>
      </w:r>
      <w:r>
        <w:rPr>
          <w:rFonts w:hint="eastAsia" w:ascii="宋体" w:hAnsi="宋体" w:eastAsia="宋体" w:cs="宋体"/>
          <w:kern w:val="24"/>
          <w:sz w:val="24"/>
          <w:szCs w:val="24"/>
          <w:lang w:val="zh-CN" w:bidi="zh-CN"/>
        </w:rPr>
        <w:t xml:space="preserve">  全市中职学校办学主体分类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_Toc32234 \h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_Toc16503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表</w:t>
      </w:r>
      <w:r>
        <w:rPr>
          <w:rFonts w:hint="eastAsia" w:ascii="宋体" w:hAnsi="宋体" w:eastAsia="宋体" w:cs="宋体"/>
          <w:kern w:val="24"/>
          <w:sz w:val="24"/>
          <w:szCs w:val="24"/>
          <w:lang w:val="en-US" w:bidi="zh-CN"/>
        </w:rPr>
        <w:t xml:space="preserve">1-1  </w:t>
      </w:r>
      <w:r>
        <w:rPr>
          <w:rFonts w:hint="eastAsia" w:ascii="宋体" w:hAnsi="宋体" w:eastAsia="宋体" w:cs="宋体"/>
          <w:kern w:val="24"/>
          <w:sz w:val="24"/>
          <w:szCs w:val="24"/>
          <w:lang w:val="zh-CN" w:bidi="zh-CN"/>
        </w:rPr>
        <w:t>20</w:t>
      </w:r>
      <w:r>
        <w:rPr>
          <w:rFonts w:hint="eastAsia" w:ascii="宋体" w:hAnsi="宋体" w:eastAsia="宋体" w:cs="宋体"/>
          <w:kern w:val="24"/>
          <w:sz w:val="24"/>
          <w:szCs w:val="24"/>
          <w:lang w:val="en-US" w:eastAsia="zh-CN" w:bidi="zh-CN"/>
        </w:rPr>
        <w:t>21年、2022</w:t>
      </w:r>
      <w:r>
        <w:rPr>
          <w:rFonts w:hint="eastAsia" w:ascii="宋体" w:hAnsi="宋体" w:eastAsia="宋体" w:cs="宋体"/>
          <w:kern w:val="24"/>
          <w:sz w:val="24"/>
          <w:szCs w:val="24"/>
          <w:lang w:val="zh-CN" w:bidi="zh-CN"/>
        </w:rPr>
        <w:t>年学生基本情况比较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_Toc16503 \h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_Toc24131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表</w:t>
      </w:r>
      <w:r>
        <w:rPr>
          <w:rFonts w:hint="eastAsia" w:ascii="宋体" w:hAnsi="宋体" w:eastAsia="宋体" w:cs="宋体"/>
          <w:kern w:val="24"/>
          <w:sz w:val="24"/>
          <w:szCs w:val="24"/>
          <w:lang w:val="en-US" w:bidi="zh-CN"/>
        </w:rPr>
        <w:t xml:space="preserve">1-2  </w:t>
      </w:r>
      <w:r>
        <w:rPr>
          <w:rFonts w:hint="eastAsia" w:ascii="宋体" w:hAnsi="宋体" w:eastAsia="宋体" w:cs="宋体"/>
          <w:kern w:val="24"/>
          <w:sz w:val="24"/>
          <w:szCs w:val="24"/>
          <w:lang w:val="zh-CN" w:bidi="zh-CN"/>
        </w:rPr>
        <w:t>20</w:t>
      </w:r>
      <w:r>
        <w:rPr>
          <w:rFonts w:hint="eastAsia" w:ascii="宋体" w:hAnsi="宋体" w:eastAsia="宋体" w:cs="宋体"/>
          <w:kern w:val="24"/>
          <w:sz w:val="24"/>
          <w:szCs w:val="24"/>
          <w:lang w:val="en-US" w:eastAsia="zh-CN" w:bidi="zh-CN"/>
        </w:rPr>
        <w:t>21</w:t>
      </w:r>
      <w:r>
        <w:rPr>
          <w:rFonts w:hint="eastAsia" w:ascii="宋体" w:hAnsi="宋体" w:eastAsia="宋体" w:cs="宋体"/>
          <w:kern w:val="24"/>
          <w:sz w:val="24"/>
          <w:szCs w:val="24"/>
          <w:lang w:val="zh-CN" w:bidi="zh-CN"/>
        </w:rPr>
        <w:t>年、20</w:t>
      </w:r>
      <w:r>
        <w:rPr>
          <w:rFonts w:hint="eastAsia" w:ascii="宋体" w:hAnsi="宋体" w:eastAsia="宋体" w:cs="宋体"/>
          <w:kern w:val="24"/>
          <w:sz w:val="24"/>
          <w:szCs w:val="24"/>
          <w:lang w:val="en-US" w:eastAsia="zh-CN" w:bidi="zh-CN"/>
        </w:rPr>
        <w:t>22</w:t>
      </w:r>
      <w:r>
        <w:rPr>
          <w:rFonts w:hint="eastAsia" w:ascii="宋体" w:hAnsi="宋体" w:eastAsia="宋体" w:cs="宋体"/>
          <w:kern w:val="24"/>
          <w:sz w:val="24"/>
          <w:szCs w:val="24"/>
          <w:lang w:val="zh-CN" w:bidi="zh-CN"/>
        </w:rPr>
        <w:t>年设施设备情况对比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_Toc24131 \h </w:instrText>
      </w:r>
      <w:r>
        <w:rPr>
          <w:rFonts w:hint="eastAsia" w:ascii="宋体" w:hAnsi="宋体" w:eastAsia="宋体" w:cs="宋体"/>
          <w:sz w:val="24"/>
          <w:szCs w:val="24"/>
        </w:rPr>
        <w:fldChar w:fldCharType="separate"/>
      </w:r>
      <w:r>
        <w:rPr>
          <w:rFonts w:hint="eastAsia" w:ascii="宋体" w:hAnsi="宋体" w:eastAsia="宋体" w:cs="宋体"/>
          <w:sz w:val="24"/>
          <w:szCs w:val="24"/>
        </w:rPr>
        <w:t>- 3 -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_Toc31982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en-US" w:eastAsia="zh-CN" w:bidi="zh-CN"/>
        </w:rPr>
        <w:t>表1-3  2021年、2022</w:t>
      </w:r>
      <w:r>
        <w:rPr>
          <w:rFonts w:hint="eastAsia" w:ascii="宋体" w:hAnsi="宋体" w:eastAsia="宋体" w:cs="宋体"/>
          <w:kern w:val="24"/>
          <w:sz w:val="24"/>
          <w:szCs w:val="24"/>
          <w:lang w:val="zh-CN" w:bidi="zh-CN"/>
        </w:rPr>
        <w:t>年教师基本情况比较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_Toc31982 \h </w:instrText>
      </w:r>
      <w:r>
        <w:rPr>
          <w:rFonts w:hint="eastAsia" w:ascii="宋体" w:hAnsi="宋体" w:eastAsia="宋体" w:cs="宋体"/>
          <w:sz w:val="24"/>
          <w:szCs w:val="24"/>
        </w:rPr>
        <w:fldChar w:fldCharType="separate"/>
      </w:r>
      <w:r>
        <w:rPr>
          <w:rFonts w:hint="eastAsia" w:ascii="宋体" w:hAnsi="宋体" w:eastAsia="宋体" w:cs="宋体"/>
          <w:sz w:val="24"/>
          <w:szCs w:val="24"/>
        </w:rPr>
        <w:t>- 4 -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_Toc22870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图</w:t>
      </w:r>
      <w:r>
        <w:rPr>
          <w:rFonts w:hint="eastAsia" w:ascii="宋体" w:hAnsi="宋体" w:eastAsia="宋体" w:cs="宋体"/>
          <w:kern w:val="24"/>
          <w:sz w:val="24"/>
          <w:szCs w:val="24"/>
          <w:lang w:val="en-US" w:eastAsia="zh-CN" w:bidi="zh-CN"/>
        </w:rPr>
        <w:t>2</w:t>
      </w:r>
      <w:r>
        <w:rPr>
          <w:rFonts w:hint="eastAsia" w:ascii="宋体" w:hAnsi="宋体" w:eastAsia="宋体" w:cs="宋体"/>
          <w:kern w:val="24"/>
          <w:sz w:val="24"/>
          <w:szCs w:val="24"/>
          <w:lang w:val="zh-CN" w:bidi="zh-CN"/>
        </w:rPr>
        <w:t xml:space="preserve">-1  </w:t>
      </w:r>
      <w:r>
        <w:rPr>
          <w:rFonts w:hint="eastAsia" w:ascii="宋体" w:hAnsi="宋体" w:eastAsia="宋体" w:cs="宋体"/>
          <w:kern w:val="24"/>
          <w:sz w:val="24"/>
          <w:szCs w:val="24"/>
          <w:lang w:val="en-US" w:bidi="zh-CN"/>
        </w:rPr>
        <w:t>汾阳市高级职业中学学生</w:t>
      </w:r>
      <w:r>
        <w:rPr>
          <w:rFonts w:hint="eastAsia" w:ascii="宋体" w:hAnsi="宋体" w:eastAsia="宋体" w:cs="宋体"/>
          <w:kern w:val="24"/>
          <w:sz w:val="24"/>
          <w:szCs w:val="24"/>
          <w:lang w:val="en-US" w:eastAsia="zh-CN" w:bidi="zh-CN"/>
        </w:rPr>
        <w:t>参加吕梁市中华经典诵写讲活动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_Toc22870 \h </w:instrText>
      </w:r>
      <w:r>
        <w:rPr>
          <w:rFonts w:hint="eastAsia" w:ascii="宋体" w:hAnsi="宋体" w:eastAsia="宋体" w:cs="宋体"/>
          <w:sz w:val="24"/>
          <w:szCs w:val="24"/>
        </w:rPr>
        <w:fldChar w:fldCharType="separate"/>
      </w:r>
      <w:r>
        <w:rPr>
          <w:rFonts w:hint="eastAsia" w:ascii="宋体" w:hAnsi="宋体" w:eastAsia="宋体" w:cs="宋体"/>
          <w:sz w:val="24"/>
          <w:szCs w:val="24"/>
        </w:rPr>
        <w:t>- 4 -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_Toc15617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图</w:t>
      </w:r>
      <w:r>
        <w:rPr>
          <w:rFonts w:hint="eastAsia" w:ascii="宋体" w:hAnsi="宋体" w:eastAsia="宋体" w:cs="宋体"/>
          <w:kern w:val="24"/>
          <w:sz w:val="24"/>
          <w:szCs w:val="24"/>
          <w:lang w:val="en-US" w:eastAsia="zh-CN" w:bidi="zh-CN"/>
        </w:rPr>
        <w:t>2</w:t>
      </w:r>
      <w:r>
        <w:rPr>
          <w:rFonts w:hint="eastAsia" w:ascii="宋体" w:hAnsi="宋体" w:eastAsia="宋体" w:cs="宋体"/>
          <w:kern w:val="24"/>
          <w:sz w:val="24"/>
          <w:szCs w:val="24"/>
          <w:lang w:val="zh-CN" w:bidi="zh-CN"/>
        </w:rPr>
        <w:t>-</w:t>
      </w:r>
      <w:r>
        <w:rPr>
          <w:rFonts w:hint="eastAsia" w:ascii="宋体" w:hAnsi="宋体" w:eastAsia="宋体" w:cs="宋体"/>
          <w:kern w:val="24"/>
          <w:sz w:val="24"/>
          <w:szCs w:val="24"/>
          <w:lang w:val="en-US" w:bidi="zh-CN"/>
        </w:rPr>
        <w:t>2</w:t>
      </w:r>
      <w:r>
        <w:rPr>
          <w:rFonts w:hint="eastAsia" w:ascii="宋体" w:hAnsi="宋体" w:eastAsia="宋体" w:cs="宋体"/>
          <w:kern w:val="24"/>
          <w:sz w:val="24"/>
          <w:szCs w:val="24"/>
          <w:lang w:val="zh-CN" w:bidi="zh-CN"/>
        </w:rPr>
        <w:t xml:space="preserve">  </w:t>
      </w:r>
      <w:r>
        <w:rPr>
          <w:rFonts w:hint="eastAsia" w:ascii="宋体" w:hAnsi="宋体" w:eastAsia="宋体" w:cs="宋体"/>
          <w:kern w:val="24"/>
          <w:sz w:val="24"/>
          <w:szCs w:val="24"/>
          <w:lang w:val="en-US" w:bidi="zh-CN"/>
        </w:rPr>
        <w:t>山西徐特立高级职业中学职教活动周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_Toc15617 \h </w:instrText>
      </w:r>
      <w:r>
        <w:rPr>
          <w:rFonts w:hint="eastAsia" w:ascii="宋体" w:hAnsi="宋体" w:eastAsia="宋体" w:cs="宋体"/>
          <w:sz w:val="24"/>
          <w:szCs w:val="24"/>
        </w:rPr>
        <w:fldChar w:fldCharType="separate"/>
      </w:r>
      <w:r>
        <w:rPr>
          <w:rFonts w:hint="eastAsia" w:ascii="宋体" w:hAnsi="宋体" w:eastAsia="宋体" w:cs="宋体"/>
          <w:sz w:val="24"/>
          <w:szCs w:val="24"/>
        </w:rPr>
        <w:t>- 5 -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_Toc32030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en-US" w:eastAsia="zh-CN" w:bidi="zh-CN"/>
        </w:rPr>
        <w:t>表2-1  全市中职学校学生、家长满意度调查统计表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_Toc32030 \h </w:instrText>
      </w:r>
      <w:r>
        <w:rPr>
          <w:rFonts w:hint="eastAsia" w:ascii="宋体" w:hAnsi="宋体" w:eastAsia="宋体" w:cs="宋体"/>
          <w:sz w:val="24"/>
          <w:szCs w:val="24"/>
        </w:rPr>
        <w:fldChar w:fldCharType="separate"/>
      </w:r>
      <w:r>
        <w:rPr>
          <w:rFonts w:hint="eastAsia" w:ascii="宋体" w:hAnsi="宋体" w:eastAsia="宋体" w:cs="宋体"/>
          <w:sz w:val="24"/>
          <w:szCs w:val="24"/>
        </w:rPr>
        <w:t>- 6 -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_Toc22159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图</w:t>
      </w:r>
      <w:r>
        <w:rPr>
          <w:rFonts w:hint="eastAsia" w:ascii="宋体" w:hAnsi="宋体" w:eastAsia="宋体" w:cs="宋体"/>
          <w:kern w:val="24"/>
          <w:sz w:val="24"/>
          <w:szCs w:val="24"/>
          <w:lang w:val="en-US" w:eastAsia="zh-CN" w:bidi="zh-CN"/>
        </w:rPr>
        <w:t>2</w:t>
      </w:r>
      <w:r>
        <w:rPr>
          <w:rFonts w:hint="eastAsia" w:ascii="宋体" w:hAnsi="宋体" w:eastAsia="宋体" w:cs="宋体"/>
          <w:kern w:val="24"/>
          <w:sz w:val="24"/>
          <w:szCs w:val="24"/>
          <w:lang w:val="zh-CN" w:bidi="zh-CN"/>
        </w:rPr>
        <w:t>-</w:t>
      </w:r>
      <w:r>
        <w:rPr>
          <w:rFonts w:hint="eastAsia" w:ascii="宋体" w:hAnsi="宋体" w:eastAsia="宋体" w:cs="宋体"/>
          <w:kern w:val="24"/>
          <w:sz w:val="24"/>
          <w:szCs w:val="24"/>
          <w:lang w:val="en-US" w:bidi="zh-CN"/>
        </w:rPr>
        <w:t>3</w:t>
      </w:r>
      <w:r>
        <w:rPr>
          <w:rFonts w:hint="eastAsia" w:ascii="宋体" w:hAnsi="宋体" w:eastAsia="宋体" w:cs="宋体"/>
          <w:kern w:val="24"/>
          <w:sz w:val="24"/>
          <w:szCs w:val="24"/>
          <w:lang w:val="zh-CN" w:bidi="zh-CN"/>
        </w:rPr>
        <w:t xml:space="preserve">  </w:t>
      </w:r>
      <w:r>
        <w:rPr>
          <w:rFonts w:hint="eastAsia" w:ascii="宋体" w:hAnsi="宋体" w:eastAsia="宋体" w:cs="宋体"/>
          <w:kern w:val="24"/>
          <w:sz w:val="24"/>
          <w:szCs w:val="24"/>
          <w:lang w:val="en-US" w:bidi="zh-CN"/>
        </w:rPr>
        <w:t>吕梁市2022年中等职业学校技能大赛开幕式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_Toc22159 \h </w:instrText>
      </w:r>
      <w:r>
        <w:rPr>
          <w:rFonts w:hint="eastAsia" w:ascii="宋体" w:hAnsi="宋体" w:eastAsia="宋体" w:cs="宋体"/>
          <w:sz w:val="24"/>
          <w:szCs w:val="24"/>
        </w:rPr>
        <w:fldChar w:fldCharType="separate"/>
      </w:r>
      <w:r>
        <w:rPr>
          <w:rFonts w:hint="eastAsia" w:ascii="宋体" w:hAnsi="宋体" w:eastAsia="宋体" w:cs="宋体"/>
          <w:sz w:val="24"/>
          <w:szCs w:val="24"/>
        </w:rPr>
        <w:t>- 7 -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_Toc2387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zh-CN" w:bidi="zh-CN"/>
        </w:rPr>
        <w:t>图</w:t>
      </w:r>
      <w:r>
        <w:rPr>
          <w:rFonts w:hint="eastAsia" w:ascii="宋体" w:hAnsi="宋体" w:eastAsia="宋体" w:cs="宋体"/>
          <w:kern w:val="24"/>
          <w:sz w:val="24"/>
          <w:szCs w:val="24"/>
          <w:lang w:val="en-US" w:eastAsia="zh-CN" w:bidi="zh-CN"/>
        </w:rPr>
        <w:t>3</w:t>
      </w:r>
      <w:r>
        <w:rPr>
          <w:rFonts w:hint="eastAsia" w:ascii="宋体" w:hAnsi="宋体" w:eastAsia="宋体" w:cs="宋体"/>
          <w:kern w:val="24"/>
          <w:sz w:val="24"/>
          <w:szCs w:val="24"/>
          <w:lang w:val="zh-CN" w:bidi="zh-CN"/>
        </w:rPr>
        <w:t>-</w:t>
      </w:r>
      <w:r>
        <w:rPr>
          <w:rFonts w:hint="eastAsia" w:ascii="宋体" w:hAnsi="宋体" w:eastAsia="宋体" w:cs="宋体"/>
          <w:kern w:val="24"/>
          <w:sz w:val="24"/>
          <w:szCs w:val="24"/>
          <w:lang w:val="en-US" w:bidi="zh-CN"/>
        </w:rPr>
        <w:t>1</w:t>
      </w:r>
      <w:r>
        <w:rPr>
          <w:rFonts w:hint="eastAsia" w:ascii="宋体" w:hAnsi="宋体" w:eastAsia="宋体" w:cs="宋体"/>
          <w:kern w:val="24"/>
          <w:sz w:val="24"/>
          <w:szCs w:val="24"/>
          <w:lang w:val="zh-CN" w:bidi="zh-CN"/>
        </w:rPr>
        <w:t xml:space="preserve">  </w:t>
      </w:r>
      <w:r>
        <w:rPr>
          <w:rFonts w:hint="eastAsia" w:ascii="宋体" w:hAnsi="宋体" w:eastAsia="宋体" w:cs="宋体"/>
          <w:kern w:val="24"/>
          <w:sz w:val="24"/>
          <w:szCs w:val="24"/>
          <w:lang w:val="en-US" w:bidi="zh-CN"/>
        </w:rPr>
        <w:t>山西徐特立高级职业中学教师开展专业优化调研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_Toc2387 \h </w:instrText>
      </w:r>
      <w:r>
        <w:rPr>
          <w:rFonts w:hint="eastAsia" w:ascii="宋体" w:hAnsi="宋体" w:eastAsia="宋体" w:cs="宋体"/>
          <w:sz w:val="24"/>
          <w:szCs w:val="24"/>
        </w:rPr>
        <w:fldChar w:fldCharType="separate"/>
      </w:r>
      <w:r>
        <w:rPr>
          <w:rFonts w:hint="eastAsia" w:ascii="宋体" w:hAnsi="宋体" w:eastAsia="宋体" w:cs="宋体"/>
          <w:sz w:val="24"/>
          <w:szCs w:val="24"/>
        </w:rPr>
        <w:t>- 8 -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_Toc2975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en-US" w:eastAsia="zh-CN" w:bidi="zh-CN"/>
        </w:rPr>
        <w:t>图3-2 汾阳市高级职业中学策略补“六心”教学模式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_Toc2975 \h </w:instrText>
      </w:r>
      <w:r>
        <w:rPr>
          <w:rFonts w:hint="eastAsia" w:ascii="宋体" w:hAnsi="宋体" w:eastAsia="宋体" w:cs="宋体"/>
          <w:sz w:val="24"/>
          <w:szCs w:val="24"/>
        </w:rPr>
        <w:fldChar w:fldCharType="separate"/>
      </w:r>
      <w:r>
        <w:rPr>
          <w:rFonts w:hint="eastAsia" w:ascii="宋体" w:hAnsi="宋体" w:eastAsia="宋体" w:cs="宋体"/>
          <w:sz w:val="24"/>
          <w:szCs w:val="24"/>
        </w:rPr>
        <w:t>- 9 -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_Toc674 </w:instrText>
      </w:r>
      <w:r>
        <w:rPr>
          <w:rFonts w:hint="eastAsia" w:ascii="宋体" w:hAnsi="宋体" w:eastAsia="宋体" w:cs="宋体"/>
          <w:sz w:val="24"/>
          <w:szCs w:val="24"/>
          <w:lang w:eastAsia="zh-CN"/>
        </w:rPr>
        <w:fldChar w:fldCharType="separate"/>
      </w:r>
      <w:r>
        <w:rPr>
          <w:rFonts w:hint="eastAsia" w:ascii="宋体" w:hAnsi="宋体" w:eastAsia="宋体" w:cs="宋体"/>
          <w:kern w:val="24"/>
          <w:sz w:val="24"/>
          <w:szCs w:val="24"/>
          <w:lang w:val="en-US" w:eastAsia="zh-CN" w:bidi="zh-CN"/>
        </w:rPr>
        <w:t>图3-3 山西徐特立高级职业中学“四双”工程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_Toc674 \h </w:instrText>
      </w:r>
      <w:r>
        <w:rPr>
          <w:rFonts w:hint="eastAsia" w:ascii="宋体" w:hAnsi="宋体" w:eastAsia="宋体" w:cs="宋体"/>
          <w:sz w:val="24"/>
          <w:szCs w:val="24"/>
        </w:rPr>
        <w:fldChar w:fldCharType="separate"/>
      </w:r>
      <w:r>
        <w:rPr>
          <w:rFonts w:hint="eastAsia" w:ascii="宋体" w:hAnsi="宋体" w:eastAsia="宋体" w:cs="宋体"/>
          <w:sz w:val="24"/>
          <w:szCs w:val="24"/>
        </w:rPr>
        <w:t>- 11 -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_Toc15101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市政协薛爱平副主席围绕“推动市直中专学校发展改革发展”开展专题调研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_Toc15101 \h </w:instrText>
      </w:r>
      <w:r>
        <w:rPr>
          <w:rFonts w:hint="eastAsia" w:ascii="宋体" w:hAnsi="宋体" w:eastAsia="宋体" w:cs="宋体"/>
          <w:sz w:val="24"/>
          <w:szCs w:val="24"/>
        </w:rPr>
        <w:fldChar w:fldCharType="separate"/>
      </w:r>
      <w:r>
        <w:rPr>
          <w:rFonts w:hint="eastAsia" w:ascii="宋体" w:hAnsi="宋体" w:eastAsia="宋体" w:cs="宋体"/>
          <w:sz w:val="24"/>
          <w:szCs w:val="24"/>
        </w:rPr>
        <w:t>- 13 -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_Toc7492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  市委、市政府《关于办好人民满意教育的行动方案》首页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_Toc7492 \h </w:instrText>
      </w:r>
      <w:r>
        <w:rPr>
          <w:rFonts w:hint="eastAsia" w:ascii="宋体" w:hAnsi="宋体" w:eastAsia="宋体" w:cs="宋体"/>
          <w:sz w:val="24"/>
          <w:szCs w:val="24"/>
        </w:rPr>
        <w:fldChar w:fldCharType="separate"/>
      </w:r>
      <w:r>
        <w:rPr>
          <w:rFonts w:hint="eastAsia" w:ascii="宋体" w:hAnsi="宋体" w:eastAsia="宋体" w:cs="宋体"/>
          <w:sz w:val="24"/>
          <w:szCs w:val="24"/>
        </w:rPr>
        <w:t>- 13 -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_Toc1405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  《关于推进中等职业学校办学条件达标与资源整合工作的通知》首页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_Toc1405 \h </w:instrText>
      </w:r>
      <w:r>
        <w:rPr>
          <w:rFonts w:hint="eastAsia" w:ascii="宋体" w:hAnsi="宋体" w:eastAsia="宋体" w:cs="宋体"/>
          <w:sz w:val="24"/>
          <w:szCs w:val="24"/>
        </w:rPr>
        <w:fldChar w:fldCharType="separate"/>
      </w:r>
      <w:r>
        <w:rPr>
          <w:rFonts w:hint="eastAsia" w:ascii="宋体" w:hAnsi="宋体" w:eastAsia="宋体" w:cs="宋体"/>
          <w:sz w:val="24"/>
          <w:szCs w:val="24"/>
        </w:rPr>
        <w:t>- 14 -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_Toc32544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val="en-US" w:eastAsia="zh-CN"/>
        </w:rPr>
        <w:t>图5-1 汾阳市高级职业中学邀请企业技师讲专业理论课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_Toc32544 \h </w:instrText>
      </w:r>
      <w:r>
        <w:rPr>
          <w:rFonts w:hint="eastAsia" w:ascii="宋体" w:hAnsi="宋体" w:eastAsia="宋体" w:cs="宋体"/>
          <w:sz w:val="24"/>
          <w:szCs w:val="24"/>
        </w:rPr>
        <w:fldChar w:fldCharType="separate"/>
      </w:r>
      <w:r>
        <w:rPr>
          <w:rFonts w:hint="eastAsia" w:ascii="宋体" w:hAnsi="宋体" w:eastAsia="宋体" w:cs="宋体"/>
          <w:sz w:val="24"/>
          <w:szCs w:val="24"/>
        </w:rPr>
        <w:t>- 15 -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_Toc13071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1 孝义市职教中心专业指导服务社区幼儿园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_Toc13071 \h </w:instrText>
      </w:r>
      <w:r>
        <w:rPr>
          <w:rFonts w:hint="eastAsia" w:ascii="宋体" w:hAnsi="宋体" w:eastAsia="宋体" w:cs="宋体"/>
          <w:sz w:val="24"/>
          <w:szCs w:val="24"/>
        </w:rPr>
        <w:fldChar w:fldCharType="separate"/>
      </w:r>
      <w:r>
        <w:rPr>
          <w:rFonts w:hint="eastAsia" w:ascii="宋体" w:hAnsi="宋体" w:eastAsia="宋体" w:cs="宋体"/>
          <w:sz w:val="24"/>
          <w:szCs w:val="24"/>
        </w:rPr>
        <w:t>- 18 -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_Toc29497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2 汾阳市高级职业中学电子商务短视频直播培训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_Toc29497 \h </w:instrText>
      </w:r>
      <w:r>
        <w:rPr>
          <w:rFonts w:hint="eastAsia" w:ascii="宋体" w:hAnsi="宋体" w:eastAsia="宋体" w:cs="宋体"/>
          <w:sz w:val="24"/>
          <w:szCs w:val="24"/>
        </w:rPr>
        <w:fldChar w:fldCharType="separate"/>
      </w:r>
      <w:r>
        <w:rPr>
          <w:rFonts w:hint="eastAsia" w:ascii="宋体" w:hAnsi="宋体" w:eastAsia="宋体" w:cs="宋体"/>
          <w:sz w:val="24"/>
          <w:szCs w:val="24"/>
        </w:rPr>
        <w:t>- 19 -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_Toc27764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 xml:space="preserve">7-1 </w:t>
      </w:r>
      <w:r>
        <w:rPr>
          <w:rFonts w:hint="eastAsia" w:ascii="宋体" w:hAnsi="宋体" w:eastAsia="宋体" w:cs="宋体"/>
          <w:sz w:val="24"/>
          <w:szCs w:val="24"/>
          <w:lang w:eastAsia="zh-CN"/>
        </w:rPr>
        <w:t>思政工作室成立仪式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_Toc27764 \h </w:instrText>
      </w:r>
      <w:r>
        <w:rPr>
          <w:rFonts w:hint="eastAsia" w:ascii="宋体" w:hAnsi="宋体" w:eastAsia="宋体" w:cs="宋体"/>
          <w:sz w:val="24"/>
          <w:szCs w:val="24"/>
        </w:rPr>
        <w:fldChar w:fldCharType="separate"/>
      </w:r>
      <w:r>
        <w:rPr>
          <w:rFonts w:hint="eastAsia" w:ascii="宋体" w:hAnsi="宋体" w:eastAsia="宋体" w:cs="宋体"/>
          <w:sz w:val="24"/>
          <w:szCs w:val="24"/>
        </w:rPr>
        <w:t>- 20 -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_Toc3293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 xml:space="preserve">7-2 </w:t>
      </w:r>
      <w:r>
        <w:rPr>
          <w:rFonts w:hint="eastAsia" w:ascii="宋体" w:hAnsi="宋体" w:eastAsia="宋体" w:cs="宋体"/>
          <w:sz w:val="24"/>
          <w:szCs w:val="24"/>
          <w:lang w:eastAsia="zh-CN"/>
        </w:rPr>
        <w:t>工作室思政教育示范课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_Toc3293 \h </w:instrText>
      </w:r>
      <w:r>
        <w:rPr>
          <w:rFonts w:hint="eastAsia" w:ascii="宋体" w:hAnsi="宋体" w:eastAsia="宋体" w:cs="宋体"/>
          <w:sz w:val="24"/>
          <w:szCs w:val="24"/>
        </w:rPr>
        <w:fldChar w:fldCharType="separate"/>
      </w:r>
      <w:r>
        <w:rPr>
          <w:rFonts w:hint="eastAsia" w:ascii="宋体" w:hAnsi="宋体" w:eastAsia="宋体" w:cs="宋体"/>
          <w:sz w:val="24"/>
          <w:szCs w:val="24"/>
        </w:rPr>
        <w:t>- 21 -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_Toc1560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 xml:space="preserve">7-3 </w:t>
      </w:r>
      <w:r>
        <w:rPr>
          <w:rFonts w:hint="eastAsia" w:ascii="宋体" w:hAnsi="宋体" w:eastAsia="宋体" w:cs="宋体"/>
          <w:sz w:val="24"/>
          <w:szCs w:val="24"/>
          <w:lang w:eastAsia="zh-CN"/>
        </w:rPr>
        <w:t>1+X证书融入课程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_Toc1560 \h </w:instrText>
      </w:r>
      <w:r>
        <w:rPr>
          <w:rFonts w:hint="eastAsia" w:ascii="宋体" w:hAnsi="宋体" w:eastAsia="宋体" w:cs="宋体"/>
          <w:sz w:val="24"/>
          <w:szCs w:val="24"/>
        </w:rPr>
        <w:fldChar w:fldCharType="separate"/>
      </w:r>
      <w:r>
        <w:rPr>
          <w:rFonts w:hint="eastAsia" w:ascii="宋体" w:hAnsi="宋体" w:eastAsia="宋体" w:cs="宋体"/>
          <w:sz w:val="24"/>
          <w:szCs w:val="24"/>
        </w:rPr>
        <w:t>- 22 -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_Toc22064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7-4 汽车运用与维修专业理实一体实训基地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_Toc22064 \h </w:instrText>
      </w:r>
      <w:r>
        <w:rPr>
          <w:rFonts w:hint="eastAsia" w:ascii="宋体" w:hAnsi="宋体" w:eastAsia="宋体" w:cs="宋体"/>
          <w:sz w:val="24"/>
          <w:szCs w:val="24"/>
        </w:rPr>
        <w:fldChar w:fldCharType="separate"/>
      </w:r>
      <w:r>
        <w:rPr>
          <w:rFonts w:hint="eastAsia" w:ascii="宋体" w:hAnsi="宋体" w:eastAsia="宋体" w:cs="宋体"/>
          <w:sz w:val="24"/>
          <w:szCs w:val="24"/>
        </w:rPr>
        <w:t>- 22 -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sz w:val="24"/>
          <w:szCs w:val="24"/>
        </w:rPr>
      </w:pPr>
      <w:r>
        <w:rPr>
          <w:rFonts w:hint="eastAsia" w:ascii="宋体" w:hAnsi="宋体" w:eastAsia="宋体" w:cs="宋体"/>
          <w:color w:val="auto"/>
          <w:sz w:val="24"/>
          <w:szCs w:val="24"/>
          <w:lang w:eastAsia="zh-CN"/>
        </w:rPr>
        <w:fldChar w:fldCharType="begin"/>
      </w:r>
      <w:r>
        <w:rPr>
          <w:rFonts w:hint="eastAsia" w:ascii="宋体" w:hAnsi="宋体" w:eastAsia="宋体" w:cs="宋体"/>
          <w:sz w:val="24"/>
          <w:szCs w:val="24"/>
          <w:lang w:eastAsia="zh-CN"/>
        </w:rPr>
        <w:instrText xml:space="preserve"> HYPERLINK \l _Toc31776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7-5 建筑专业学生参加省技能大赛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_Toc31776 \h </w:instrText>
      </w:r>
      <w:r>
        <w:rPr>
          <w:rFonts w:hint="eastAsia" w:ascii="宋体" w:hAnsi="宋体" w:eastAsia="宋体" w:cs="宋体"/>
          <w:sz w:val="24"/>
          <w:szCs w:val="24"/>
        </w:rPr>
        <w:fldChar w:fldCharType="separate"/>
      </w:r>
      <w:r>
        <w:rPr>
          <w:rFonts w:hint="eastAsia" w:ascii="宋体" w:hAnsi="宋体" w:eastAsia="宋体" w:cs="宋体"/>
          <w:sz w:val="24"/>
          <w:szCs w:val="24"/>
        </w:rPr>
        <w:t>- 23 -</w:t>
      </w:r>
      <w:r>
        <w:rPr>
          <w:rFonts w:hint="eastAsia" w:ascii="宋体" w:hAnsi="宋体" w:eastAsia="宋体" w:cs="宋体"/>
          <w:sz w:val="24"/>
          <w:szCs w:val="24"/>
        </w:rPr>
        <w:fldChar w:fldCharType="end"/>
      </w:r>
      <w:r>
        <w:rPr>
          <w:rFonts w:hint="eastAsia" w:ascii="宋体" w:hAnsi="宋体" w:eastAsia="宋体" w:cs="宋体"/>
          <w:color w:val="auto"/>
          <w:sz w:val="24"/>
          <w:szCs w:val="24"/>
          <w:lang w:eastAsia="zh-CN"/>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Cs w:val="24"/>
          <w:lang w:eastAsia="zh-CN"/>
        </w:rPr>
        <w:fldChar w:fldCharType="end"/>
      </w:r>
      <w:r>
        <w:rPr>
          <w:rFonts w:hint="eastAsia" w:ascii="宋体" w:hAnsi="宋体" w:eastAsia="宋体" w:cs="宋体"/>
          <w:color w:val="auto"/>
          <w:sz w:val="24"/>
          <w:szCs w:val="24"/>
          <w:lang w:eastAsia="zh-CN"/>
        </w:rPr>
        <w:t>图</w:t>
      </w:r>
      <w:r>
        <w:rPr>
          <w:rFonts w:hint="eastAsia" w:ascii="宋体" w:hAnsi="宋体" w:eastAsia="宋体" w:cs="宋体"/>
          <w:color w:val="auto"/>
          <w:sz w:val="24"/>
          <w:szCs w:val="24"/>
          <w:lang w:val="en-US" w:eastAsia="zh-CN"/>
        </w:rPr>
        <w:t>7-6 汾阳市高级职业中学“三个一”工程智2102班英语诵读展示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_Toc31776 \h </w:instrText>
      </w:r>
      <w:r>
        <w:rPr>
          <w:rFonts w:hint="eastAsia" w:ascii="宋体" w:hAnsi="宋体" w:eastAsia="宋体" w:cs="宋体"/>
          <w:sz w:val="24"/>
          <w:szCs w:val="24"/>
        </w:rPr>
        <w:fldChar w:fldCharType="separate"/>
      </w:r>
      <w:r>
        <w:rPr>
          <w:rFonts w:hint="eastAsia" w:ascii="宋体" w:hAnsi="宋体" w:eastAsia="宋体" w:cs="宋体"/>
          <w:sz w:val="24"/>
          <w:szCs w:val="24"/>
        </w:rPr>
        <w:t>- 2</w:t>
      </w:r>
      <w:r>
        <w:rPr>
          <w:rFonts w:hint="eastAsia" w:ascii="宋体" w:hAnsi="宋体" w:cs="宋体"/>
          <w:sz w:val="24"/>
          <w:szCs w:val="24"/>
          <w:lang w:val="en-US" w:eastAsia="zh-CN"/>
        </w:rPr>
        <w:t>4</w:t>
      </w:r>
      <w:r>
        <w:rPr>
          <w:rFonts w:hint="eastAsia" w:ascii="宋体" w:hAnsi="宋体" w:eastAsia="宋体" w:cs="宋体"/>
          <w:sz w:val="24"/>
          <w:szCs w:val="24"/>
        </w:rPr>
        <w:t xml:space="preserve"> -</w:t>
      </w:r>
      <w:r>
        <w:rPr>
          <w:rFonts w:hint="eastAsia" w:ascii="宋体" w:hAnsi="宋体" w:eastAsia="宋体" w:cs="宋体"/>
          <w:sz w:val="24"/>
          <w:szCs w:val="24"/>
        </w:rPr>
        <w:fldChar w:fldCharType="end"/>
      </w:r>
    </w:p>
    <w:p>
      <w:pPr>
        <w:pStyle w:val="18"/>
        <w:keepNext w:val="0"/>
        <w:keepLines w:val="0"/>
        <w:pageBreakBefore w:val="0"/>
        <w:widowControl w:val="0"/>
        <w:tabs>
          <w:tab w:val="right" w:leader="dot" w:pos="8788"/>
        </w:tabs>
        <w:kinsoku/>
        <w:wordWrap/>
        <w:overflowPunct/>
        <w:topLinePunct w:val="0"/>
        <w:autoSpaceDE/>
        <w:autoSpaceDN/>
        <w:bidi w:val="0"/>
        <w:adjustRightInd/>
        <w:snapToGrid/>
        <w:spacing w:line="480" w:lineRule="exact"/>
        <w:ind w:left="0" w:leftChars="0" w:firstLine="0" w:firstLineChars="0"/>
        <w:jc w:val="distribute"/>
        <w:textAlignment w:val="auto"/>
        <w:rPr>
          <w:rFonts w:hint="eastAsia" w:ascii="宋体" w:hAnsi="宋体" w:eastAsia="宋体" w:cs="宋体"/>
          <w:color w:val="auto"/>
          <w:sz w:val="24"/>
          <w:szCs w:val="24"/>
          <w:lang w:eastAsia="zh-CN"/>
        </w:rPr>
        <w:sectPr>
          <w:footerReference r:id="rId8" w:type="first"/>
          <w:footerReference r:id="rId6" w:type="default"/>
          <w:footerReference r:id="rId7" w:type="even"/>
          <w:pgSz w:w="11906" w:h="16838"/>
          <w:pgMar w:top="1417" w:right="1417" w:bottom="1417" w:left="1701" w:header="851" w:footer="992" w:gutter="0"/>
          <w:pgNumType w:fmt="lowerRoman" w:start="1"/>
          <w:cols w:space="0" w:num="1"/>
          <w:titlePg/>
          <w:rtlGutter w:val="1"/>
          <w:docGrid w:linePitch="312" w:charSpace="0"/>
        </w:sectPr>
      </w:pPr>
    </w:p>
    <w:p>
      <w:pPr>
        <w:keepNext w:val="0"/>
        <w:keepLines w:val="0"/>
        <w:pageBreakBefore w:val="0"/>
        <w:widowControl w:val="0"/>
        <w:kinsoku/>
        <w:wordWrap/>
        <w:overflowPunct/>
        <w:topLinePunct w:val="0"/>
        <w:autoSpaceDE/>
        <w:autoSpaceDN/>
        <w:bidi w:val="0"/>
        <w:adjustRightInd/>
        <w:snapToGrid/>
        <w:spacing w:before="292" w:beforeLines="50" w:beforeAutospacing="0" w:after="290" w:afterLines="50" w:afterAutospacing="0" w:line="240" w:lineRule="auto"/>
        <w:jc w:val="center"/>
        <w:textAlignment w:val="auto"/>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吕梁市中等职业教育质量年度报告</w:t>
      </w: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lang w:val="en-US" w:eastAsia="zh-CN"/>
        </w:rPr>
        <w:t>202</w:t>
      </w:r>
      <w:r>
        <w:rPr>
          <w:rFonts w:hint="eastAsia" w:ascii="宋体" w:hAnsi="宋体" w:cs="宋体"/>
          <w:b/>
          <w:bCs/>
          <w:color w:val="auto"/>
          <w:sz w:val="32"/>
          <w:szCs w:val="32"/>
          <w:lang w:val="en-US" w:eastAsia="zh-CN"/>
        </w:rPr>
        <w:t>3</w:t>
      </w:r>
      <w:r>
        <w:rPr>
          <w:rFonts w:hint="eastAsia" w:ascii="宋体" w:hAnsi="宋体" w:eastAsia="宋体" w:cs="宋体"/>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2022年，吕梁市深入学习贯彻习近平总书记关于职业教育工作的重要指示重要讲话精神，学习宣传贯彻新修订的《中华人民共和国职业教育法》及全国全省职业教育大会精神，2022年省级</w:t>
      </w:r>
      <w:r>
        <w:rPr>
          <w:rFonts w:hint="eastAsia" w:ascii="宋体" w:hAnsi="宋体" w:cs="宋体"/>
          <w:color w:val="auto"/>
          <w:sz w:val="24"/>
          <w:szCs w:val="24"/>
          <w:lang w:val="en-US" w:eastAsia="zh-CN"/>
        </w:rPr>
        <w:t>职业院校</w:t>
      </w:r>
      <w:r>
        <w:rPr>
          <w:rFonts w:hint="eastAsia" w:ascii="宋体" w:hAnsi="宋体" w:eastAsia="宋体" w:cs="宋体"/>
          <w:color w:val="auto"/>
          <w:sz w:val="24"/>
          <w:szCs w:val="24"/>
          <w:lang w:val="en-US" w:eastAsia="zh-CN"/>
        </w:rPr>
        <w:t>技能大赛</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教学能力比赛、班主任能力比赛、“文明风采”活动获奖数量创历年新高，全市中等职业教育质量迈上新台阶。</w:t>
      </w:r>
      <w:r>
        <w:rPr>
          <w:rFonts w:hint="eastAsia" w:ascii="宋体" w:hAnsi="宋体" w:cs="宋体"/>
          <w:color w:val="auto"/>
          <w:sz w:val="24"/>
          <w:szCs w:val="24"/>
          <w:lang w:val="en-US" w:eastAsia="zh-CN"/>
        </w:rPr>
        <w:t>市委市政府</w:t>
      </w:r>
      <w:r>
        <w:rPr>
          <w:rFonts w:hint="eastAsia" w:ascii="宋体" w:hAnsi="宋体" w:eastAsia="宋体" w:cs="宋体"/>
          <w:color w:val="auto"/>
          <w:sz w:val="24"/>
          <w:szCs w:val="24"/>
          <w:lang w:val="en-US" w:eastAsia="zh-CN"/>
        </w:rPr>
        <w:t>继续加大市直中职学校改革力度，统筹推进区域内中等职业学校资源整合，推进中等职业学校达标建设。坚持立德树人根本任务，全市中职学校教育教学质量稳步提升，职业教育适应性逐步增强，服务区域经济社会发展能力持续提升。</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eastAsia="宋体" w:cs="宋体"/>
          <w:b/>
          <w:color w:val="auto"/>
          <w:kern w:val="2"/>
          <w:sz w:val="30"/>
          <w:szCs w:val="30"/>
          <w:lang w:val="en-US" w:eastAsia="zh-CN" w:bidi="ar-SA"/>
        </w:rPr>
      </w:pPr>
      <w:bookmarkStart w:id="0" w:name="_Toc72"/>
      <w:bookmarkStart w:id="1" w:name="_Toc2449"/>
      <w:bookmarkStart w:id="2" w:name="_Toc8566"/>
      <w:r>
        <w:rPr>
          <w:rFonts w:hint="eastAsia" w:ascii="宋体" w:hAnsi="宋体" w:eastAsia="宋体" w:cs="宋体"/>
          <w:b/>
          <w:color w:val="auto"/>
          <w:kern w:val="2"/>
          <w:sz w:val="30"/>
          <w:szCs w:val="30"/>
          <w:lang w:val="en-US" w:eastAsia="zh-CN" w:bidi="ar-SA"/>
        </w:rPr>
        <w:t>1．基本情况</w:t>
      </w:r>
      <w:bookmarkEnd w:id="0"/>
      <w:bookmarkEnd w:id="1"/>
      <w:bookmarkEnd w:id="2"/>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3" w:name="_Toc6368"/>
      <w:bookmarkStart w:id="4" w:name="_Toc569"/>
      <w:bookmarkStart w:id="5" w:name="_Toc16050"/>
      <w:r>
        <w:rPr>
          <w:rFonts w:hint="eastAsia" w:ascii="宋体" w:hAnsi="宋体" w:eastAsia="宋体" w:cs="宋体"/>
          <w:b/>
          <w:color w:val="auto"/>
          <w:kern w:val="2"/>
          <w:sz w:val="28"/>
          <w:szCs w:val="28"/>
          <w:lang w:val="en-US" w:eastAsia="zh-CN" w:bidi="ar-SA"/>
        </w:rPr>
        <w:t>1.1 规模和结构</w:t>
      </w:r>
      <w:bookmarkEnd w:id="3"/>
      <w:bookmarkEnd w:id="4"/>
      <w:bookmarkEnd w:id="5"/>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全</w:t>
      </w:r>
      <w:r>
        <w:rPr>
          <w:rFonts w:hint="eastAsia" w:ascii="宋体" w:hAnsi="宋体" w:eastAsia="宋体" w:cs="宋体"/>
          <w:color w:val="auto"/>
          <w:sz w:val="24"/>
          <w:szCs w:val="24"/>
          <w:lang w:eastAsia="zh-CN"/>
        </w:rPr>
        <w:t>市</w:t>
      </w:r>
      <w:r>
        <w:rPr>
          <w:rFonts w:hint="eastAsia" w:ascii="宋体" w:hAnsi="宋体" w:eastAsia="宋体" w:cs="宋体"/>
          <w:color w:val="auto"/>
          <w:sz w:val="24"/>
          <w:szCs w:val="24"/>
          <w:lang w:val="en-US" w:eastAsia="zh-CN"/>
        </w:rPr>
        <w:t>现</w:t>
      </w:r>
      <w:r>
        <w:rPr>
          <w:rFonts w:hint="eastAsia" w:ascii="宋体" w:hAnsi="宋体" w:eastAsia="宋体" w:cs="宋体"/>
          <w:color w:val="auto"/>
          <w:sz w:val="24"/>
          <w:szCs w:val="24"/>
          <w:lang w:eastAsia="zh-CN"/>
        </w:rPr>
        <w:t>有中职学校3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eastAsia="zh-CN"/>
        </w:rPr>
        <w:t>所，其中中专10所</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职业高中</w:t>
      </w:r>
      <w:r>
        <w:rPr>
          <w:rFonts w:hint="eastAsia" w:ascii="宋体" w:hAnsi="宋体" w:cs="宋体"/>
          <w:color w:val="auto"/>
          <w:sz w:val="24"/>
          <w:szCs w:val="24"/>
          <w:lang w:val="en-US" w:eastAsia="zh-CN"/>
        </w:rPr>
        <w:t>24</w:t>
      </w:r>
      <w:r>
        <w:rPr>
          <w:rFonts w:hint="eastAsia" w:ascii="宋体" w:hAnsi="宋体" w:eastAsia="宋体" w:cs="宋体"/>
          <w:color w:val="auto"/>
          <w:sz w:val="24"/>
          <w:szCs w:val="24"/>
          <w:lang w:eastAsia="zh-CN"/>
        </w:rPr>
        <w:t>所</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特殊教育学校2所</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公办学校27所</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民办学校</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eastAsia="zh-CN"/>
        </w:rPr>
        <w:t>所。</w:t>
      </w:r>
      <w:r>
        <w:rPr>
          <w:rFonts w:hint="eastAsia" w:ascii="宋体" w:hAnsi="宋体" w:eastAsia="宋体" w:cs="宋体"/>
          <w:color w:val="auto"/>
          <w:sz w:val="24"/>
          <w:szCs w:val="24"/>
          <w:lang w:val="en-US" w:eastAsia="zh-CN"/>
        </w:rPr>
        <w:t>202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，全</w:t>
      </w:r>
      <w:r>
        <w:rPr>
          <w:rFonts w:hint="eastAsia" w:ascii="宋体" w:hAnsi="宋体" w:eastAsia="宋体" w:cs="宋体"/>
          <w:color w:val="auto"/>
          <w:sz w:val="24"/>
          <w:szCs w:val="24"/>
          <w:lang w:val="en-US" w:eastAsia="zh-CN"/>
        </w:rPr>
        <w:t>市新增民办职业中学</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所。</w:t>
      </w:r>
      <w:r>
        <w:rPr>
          <w:rFonts w:hint="eastAsia" w:ascii="宋体" w:hAnsi="宋体" w:cs="宋体"/>
          <w:color w:val="auto"/>
          <w:sz w:val="24"/>
          <w:szCs w:val="24"/>
          <w:lang w:val="en-US" w:eastAsia="zh-CN"/>
        </w:rPr>
        <w:t>全市中职</w:t>
      </w:r>
      <w:r>
        <w:rPr>
          <w:rFonts w:hint="eastAsia" w:ascii="宋体" w:hAnsi="宋体" w:eastAsia="宋体" w:cs="宋体"/>
          <w:color w:val="auto"/>
          <w:sz w:val="24"/>
          <w:szCs w:val="24"/>
          <w:lang w:val="en-US" w:eastAsia="zh-CN"/>
        </w:rPr>
        <w:t>学校主要</w:t>
      </w:r>
      <w:r>
        <w:rPr>
          <w:rFonts w:hint="eastAsia" w:ascii="宋体" w:hAnsi="宋体" w:eastAsia="宋体" w:cs="宋体"/>
          <w:color w:val="auto"/>
          <w:sz w:val="24"/>
          <w:szCs w:val="24"/>
          <w:lang w:eastAsia="zh-CN"/>
        </w:rPr>
        <w:t>开设机电技术应用、计算机应用、护理、</w:t>
      </w:r>
      <w:r>
        <w:rPr>
          <w:rFonts w:hint="eastAsia" w:ascii="宋体" w:hAnsi="宋体" w:eastAsia="宋体" w:cs="宋体"/>
          <w:color w:val="auto"/>
          <w:sz w:val="24"/>
          <w:szCs w:val="24"/>
          <w:lang w:val="en-US" w:eastAsia="zh-CN"/>
        </w:rPr>
        <w:t>会计、</w:t>
      </w:r>
      <w:r>
        <w:rPr>
          <w:rFonts w:hint="eastAsia" w:ascii="宋体" w:hAnsi="宋体" w:eastAsia="宋体" w:cs="宋体"/>
          <w:color w:val="auto"/>
          <w:sz w:val="24"/>
          <w:szCs w:val="24"/>
          <w:lang w:eastAsia="zh-CN"/>
        </w:rPr>
        <w:t>汽车运用与维修、旅游服务与管理、酒店服务与管理、电子商务、会计电算化、中餐烹饪等重点骨干</w:t>
      </w:r>
      <w:r>
        <w:rPr>
          <w:rFonts w:hint="eastAsia" w:ascii="宋体" w:hAnsi="宋体" w:eastAsia="宋体" w:cs="宋体"/>
          <w:color w:val="auto"/>
          <w:sz w:val="24"/>
          <w:szCs w:val="24"/>
          <w:lang w:val="en-US" w:eastAsia="zh-CN"/>
        </w:rPr>
        <w:t>专业</w:t>
      </w:r>
      <w:r>
        <w:rPr>
          <w:rFonts w:hint="eastAsia" w:ascii="宋体" w:hAnsi="宋体" w:eastAsia="宋体" w:cs="宋体"/>
          <w:color w:val="auto"/>
          <w:sz w:val="24"/>
          <w:szCs w:val="24"/>
          <w:lang w:eastAsia="zh-CN"/>
        </w:rPr>
        <w:t>。</w:t>
      </w:r>
    </w:p>
    <w:p>
      <w:pPr>
        <w:pStyle w:val="23"/>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firstLine="0" w:firstLineChars="0"/>
        <w:jc w:val="center"/>
        <w:textAlignment w:val="auto"/>
        <w:rPr>
          <w:rFonts w:hint="eastAsia" w:ascii="仿宋_GB2312" w:eastAsia="仿宋_GB2312"/>
          <w:b w:val="0"/>
          <w:bCs w:val="0"/>
          <w:color w:val="auto"/>
          <w:sz w:val="32"/>
          <w:szCs w:val="32"/>
          <w:lang w:eastAsia="zh-CN"/>
        </w:rPr>
      </w:pPr>
      <w:r>
        <w:rPr>
          <w:rFonts w:hint="eastAsia" w:ascii="仿宋_GB2312" w:eastAsia="仿宋_GB2312"/>
          <w:b w:val="0"/>
          <w:bCs w:val="0"/>
          <w:color w:val="auto"/>
          <w:sz w:val="32"/>
          <w:szCs w:val="32"/>
          <w:lang w:eastAsia="zh-CN"/>
        </w:rPr>
        <w:drawing>
          <wp:inline distT="0" distB="0" distL="114300" distR="114300">
            <wp:extent cx="4615180" cy="3474720"/>
            <wp:effectExtent l="12700" t="12700" r="20320" b="17780"/>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zh-CN" w:eastAsia="zh-CN" w:bidi="zh-CN"/>
        </w:rPr>
      </w:pPr>
      <w:bookmarkStart w:id="6" w:name="_Toc29391"/>
      <w:r>
        <w:rPr>
          <w:rFonts w:hint="eastAsia" w:ascii="宋体" w:hAnsi="宋体" w:eastAsia="宋体" w:cs="黑体"/>
          <w:b/>
          <w:color w:val="auto"/>
          <w:kern w:val="24"/>
          <w:sz w:val="21"/>
          <w:szCs w:val="21"/>
          <w:lang w:val="zh-CN" w:bidi="zh-CN"/>
        </w:rPr>
        <w:t>图</w:t>
      </w:r>
      <w:r>
        <w:rPr>
          <w:rFonts w:hint="eastAsia" w:ascii="宋体" w:hAnsi="宋体" w:eastAsia="宋体" w:cs="黑体"/>
          <w:b/>
          <w:color w:val="auto"/>
          <w:kern w:val="24"/>
          <w:sz w:val="21"/>
          <w:szCs w:val="21"/>
          <w:lang w:val="en-US" w:eastAsia="zh-CN" w:bidi="zh-CN"/>
        </w:rPr>
        <w:t>1</w:t>
      </w:r>
      <w:r>
        <w:rPr>
          <w:rFonts w:hint="eastAsia" w:ascii="宋体" w:hAnsi="宋体" w:eastAsia="宋体" w:cs="黑体"/>
          <w:b/>
          <w:color w:val="auto"/>
          <w:kern w:val="24"/>
          <w:sz w:val="21"/>
          <w:szCs w:val="21"/>
          <w:lang w:val="zh-CN" w:bidi="zh-CN"/>
        </w:rPr>
        <w:t>-1  全市中职学校类型分布</w:t>
      </w:r>
      <w:bookmarkEnd w:id="6"/>
    </w:p>
    <w:p>
      <w:pPr>
        <w:pStyle w:val="23"/>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firstLine="640" w:firstLineChars="200"/>
        <w:jc w:val="both"/>
        <w:textAlignment w:val="auto"/>
        <w:rPr>
          <w:rFonts w:hint="eastAsia" w:ascii="仿宋_GB2312" w:eastAsia="仿宋_GB2312"/>
          <w:b w:val="0"/>
          <w:bCs w:val="0"/>
          <w:color w:val="auto"/>
          <w:sz w:val="32"/>
          <w:szCs w:val="32"/>
          <w:lang w:eastAsia="zh-CN"/>
        </w:rPr>
      </w:pPr>
    </w:p>
    <w:p>
      <w:pPr>
        <w:pStyle w:val="23"/>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firstLine="0" w:firstLineChars="0"/>
        <w:jc w:val="center"/>
        <w:textAlignment w:val="auto"/>
        <w:rPr>
          <w:rFonts w:hint="eastAsia" w:ascii="仿宋_GB2312" w:eastAsia="仿宋_GB2312"/>
          <w:b w:val="0"/>
          <w:bCs w:val="0"/>
          <w:color w:val="auto"/>
          <w:sz w:val="32"/>
          <w:szCs w:val="32"/>
          <w:lang w:eastAsia="zh-CN"/>
        </w:rPr>
      </w:pPr>
      <w:r>
        <w:rPr>
          <w:rFonts w:hint="eastAsia" w:ascii="仿宋_GB2312" w:eastAsia="仿宋_GB2312"/>
          <w:b w:val="0"/>
          <w:bCs w:val="0"/>
          <w:color w:val="auto"/>
          <w:sz w:val="32"/>
          <w:szCs w:val="32"/>
          <w:lang w:eastAsia="zh-CN"/>
        </w:rPr>
        <w:drawing>
          <wp:inline distT="0" distB="0" distL="114300" distR="114300">
            <wp:extent cx="4763770" cy="3626485"/>
            <wp:effectExtent l="12700" t="12700" r="24130" b="18415"/>
            <wp:docPr id="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zh-CN" w:eastAsia="zh-CN" w:bidi="zh-CN"/>
        </w:rPr>
      </w:pPr>
      <w:bookmarkStart w:id="7" w:name="_Toc32234"/>
      <w:r>
        <w:rPr>
          <w:rFonts w:hint="eastAsia" w:ascii="宋体" w:hAnsi="宋体" w:eastAsia="宋体" w:cs="黑体"/>
          <w:b/>
          <w:color w:val="auto"/>
          <w:kern w:val="24"/>
          <w:sz w:val="21"/>
          <w:szCs w:val="21"/>
          <w:lang w:val="zh-CN" w:bidi="zh-CN"/>
        </w:rPr>
        <w:t>图</w:t>
      </w:r>
      <w:r>
        <w:rPr>
          <w:rFonts w:hint="eastAsia" w:ascii="宋体" w:hAnsi="宋体" w:eastAsia="宋体" w:cs="黑体"/>
          <w:b/>
          <w:color w:val="auto"/>
          <w:kern w:val="24"/>
          <w:sz w:val="21"/>
          <w:szCs w:val="21"/>
          <w:lang w:val="en-US" w:eastAsia="zh-CN" w:bidi="zh-CN"/>
        </w:rPr>
        <w:t>1</w:t>
      </w:r>
      <w:r>
        <w:rPr>
          <w:rFonts w:hint="eastAsia" w:ascii="宋体" w:hAnsi="宋体" w:eastAsia="宋体" w:cs="黑体"/>
          <w:b/>
          <w:color w:val="auto"/>
          <w:kern w:val="24"/>
          <w:sz w:val="21"/>
          <w:szCs w:val="21"/>
          <w:lang w:val="zh-CN" w:bidi="zh-CN"/>
        </w:rPr>
        <w:t>-</w:t>
      </w:r>
      <w:r>
        <w:rPr>
          <w:rFonts w:hint="eastAsia" w:ascii="宋体" w:hAnsi="宋体" w:eastAsia="宋体" w:cs="黑体"/>
          <w:b/>
          <w:color w:val="auto"/>
          <w:kern w:val="24"/>
          <w:sz w:val="21"/>
          <w:szCs w:val="21"/>
          <w:lang w:val="en-US" w:bidi="zh-CN"/>
        </w:rPr>
        <w:t>2</w:t>
      </w:r>
      <w:r>
        <w:rPr>
          <w:rFonts w:hint="eastAsia" w:ascii="宋体" w:hAnsi="宋体" w:eastAsia="宋体" w:cs="黑体"/>
          <w:b/>
          <w:color w:val="auto"/>
          <w:kern w:val="24"/>
          <w:sz w:val="21"/>
          <w:szCs w:val="21"/>
          <w:lang w:val="zh-CN" w:bidi="zh-CN"/>
        </w:rPr>
        <w:t xml:space="preserve">  全市中职学校办学主体分类</w:t>
      </w:r>
      <w:bookmarkEnd w:id="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20</w:t>
      </w:r>
      <w:r>
        <w:rPr>
          <w:rFonts w:hint="eastAsia" w:ascii="宋体" w:hAnsi="宋体" w:cs="宋体"/>
          <w:color w:val="auto"/>
          <w:sz w:val="24"/>
          <w:szCs w:val="24"/>
          <w:lang w:val="en-US" w:eastAsia="zh-CN"/>
        </w:rPr>
        <w:t>21</w:t>
      </w:r>
      <w:r>
        <w:rPr>
          <w:rFonts w:hint="eastAsia" w:ascii="宋体" w:hAnsi="宋体" w:cs="宋体"/>
          <w:color w:val="auto"/>
          <w:sz w:val="24"/>
          <w:szCs w:val="24"/>
          <w:lang w:eastAsia="zh-CN"/>
        </w:rPr>
        <w:t>年，全市中职在校生约</w:t>
      </w:r>
      <w:r>
        <w:rPr>
          <w:rFonts w:hint="eastAsia" w:ascii="宋体" w:hAnsi="宋体" w:cs="宋体"/>
          <w:color w:val="auto"/>
          <w:sz w:val="24"/>
          <w:szCs w:val="24"/>
          <w:lang w:val="en-US" w:eastAsia="zh-CN"/>
        </w:rPr>
        <w:t>2.53</w:t>
      </w:r>
      <w:r>
        <w:rPr>
          <w:rFonts w:hint="eastAsia" w:ascii="宋体" w:hAnsi="宋体" w:cs="宋体"/>
          <w:color w:val="auto"/>
          <w:sz w:val="24"/>
          <w:szCs w:val="24"/>
          <w:lang w:eastAsia="zh-CN"/>
        </w:rPr>
        <w:t>万人，高中阶段在校生</w:t>
      </w:r>
      <w:r>
        <w:rPr>
          <w:rFonts w:hint="eastAsia" w:ascii="宋体" w:hAnsi="宋体" w:cs="宋体"/>
          <w:color w:val="auto"/>
          <w:sz w:val="24"/>
          <w:szCs w:val="24"/>
          <w:lang w:val="en-US" w:eastAsia="zh-CN"/>
        </w:rPr>
        <w:t>约7.7万</w:t>
      </w:r>
      <w:r>
        <w:rPr>
          <w:rFonts w:hint="eastAsia" w:ascii="宋体" w:hAnsi="宋体" w:cs="宋体"/>
          <w:color w:val="auto"/>
          <w:sz w:val="24"/>
          <w:szCs w:val="24"/>
          <w:lang w:eastAsia="zh-CN"/>
        </w:rPr>
        <w:t>人；普通高中招生</w:t>
      </w:r>
      <w:r>
        <w:rPr>
          <w:rFonts w:hint="eastAsia" w:ascii="宋体" w:hAnsi="宋体" w:cs="宋体"/>
          <w:color w:val="auto"/>
          <w:sz w:val="24"/>
          <w:szCs w:val="24"/>
          <w:lang w:val="en-US" w:eastAsia="zh-CN"/>
        </w:rPr>
        <w:t>2.73万人</w:t>
      </w:r>
      <w:r>
        <w:rPr>
          <w:rFonts w:hint="eastAsia" w:ascii="宋体" w:hAnsi="宋体" w:cs="宋体"/>
          <w:color w:val="auto"/>
          <w:sz w:val="24"/>
          <w:szCs w:val="24"/>
          <w:lang w:eastAsia="zh-CN"/>
        </w:rPr>
        <w:t>，中职学校招生</w:t>
      </w:r>
      <w:r>
        <w:rPr>
          <w:rFonts w:hint="eastAsia" w:ascii="宋体" w:hAnsi="宋体" w:cs="宋体"/>
          <w:color w:val="auto"/>
          <w:sz w:val="24"/>
          <w:szCs w:val="24"/>
          <w:lang w:val="en-US" w:eastAsia="zh-CN"/>
        </w:rPr>
        <w:t>1.02</w:t>
      </w:r>
      <w:r>
        <w:rPr>
          <w:rFonts w:hint="eastAsia" w:ascii="宋体" w:hAnsi="宋体" w:cs="宋体"/>
          <w:color w:val="auto"/>
          <w:sz w:val="24"/>
          <w:szCs w:val="24"/>
          <w:lang w:eastAsia="zh-CN"/>
        </w:rPr>
        <w:t>人，普职招生比例约为</w:t>
      </w:r>
      <w:r>
        <w:rPr>
          <w:rFonts w:hint="eastAsia" w:ascii="宋体" w:hAnsi="宋体" w:cs="宋体"/>
          <w:color w:val="auto"/>
          <w:sz w:val="24"/>
          <w:szCs w:val="24"/>
          <w:lang w:val="en-US" w:eastAsia="zh-CN"/>
        </w:rPr>
        <w:t>2.7:1</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20</w:t>
      </w:r>
      <w:r>
        <w:rPr>
          <w:rFonts w:hint="eastAsia" w:ascii="宋体" w:hAnsi="宋体" w:cs="宋体"/>
          <w:color w:val="auto"/>
          <w:sz w:val="24"/>
          <w:szCs w:val="24"/>
          <w:lang w:val="en-US" w:eastAsia="zh-CN"/>
        </w:rPr>
        <w:t>22</w:t>
      </w:r>
      <w:r>
        <w:rPr>
          <w:rFonts w:hint="eastAsia" w:ascii="宋体" w:hAnsi="宋体" w:cs="宋体"/>
          <w:color w:val="auto"/>
          <w:sz w:val="24"/>
          <w:szCs w:val="24"/>
          <w:lang w:eastAsia="zh-CN"/>
        </w:rPr>
        <w:t>年，全市中职在校生约</w:t>
      </w:r>
      <w:r>
        <w:rPr>
          <w:rFonts w:hint="eastAsia" w:ascii="宋体" w:hAnsi="宋体" w:cs="宋体"/>
          <w:color w:val="auto"/>
          <w:sz w:val="24"/>
          <w:szCs w:val="24"/>
          <w:lang w:val="en-US" w:eastAsia="zh-CN"/>
        </w:rPr>
        <w:t>2.68</w:t>
      </w:r>
      <w:r>
        <w:rPr>
          <w:rFonts w:hint="eastAsia" w:ascii="宋体" w:hAnsi="宋体" w:cs="宋体"/>
          <w:color w:val="auto"/>
          <w:sz w:val="24"/>
          <w:szCs w:val="24"/>
          <w:lang w:eastAsia="zh-CN"/>
        </w:rPr>
        <w:t>万人，高中阶段在校生</w:t>
      </w:r>
      <w:r>
        <w:rPr>
          <w:rFonts w:hint="eastAsia" w:ascii="宋体" w:hAnsi="宋体" w:cs="宋体"/>
          <w:color w:val="auto"/>
          <w:sz w:val="24"/>
          <w:szCs w:val="24"/>
          <w:lang w:val="en-US" w:eastAsia="zh-CN"/>
        </w:rPr>
        <w:t>7.79</w:t>
      </w:r>
      <w:r>
        <w:rPr>
          <w:rFonts w:hint="eastAsia" w:ascii="宋体" w:hAnsi="宋体" w:cs="宋体"/>
          <w:color w:val="auto"/>
          <w:sz w:val="24"/>
          <w:szCs w:val="24"/>
          <w:lang w:eastAsia="zh-CN"/>
        </w:rPr>
        <w:t>万人；普通高中招生</w:t>
      </w:r>
      <w:r>
        <w:rPr>
          <w:rFonts w:hint="eastAsia" w:ascii="宋体" w:hAnsi="宋体" w:cs="宋体"/>
          <w:color w:val="auto"/>
          <w:sz w:val="24"/>
          <w:szCs w:val="24"/>
          <w:lang w:val="en-US" w:eastAsia="zh-CN"/>
        </w:rPr>
        <w:t>26058</w:t>
      </w:r>
      <w:r>
        <w:rPr>
          <w:rFonts w:hint="eastAsia" w:ascii="宋体" w:hAnsi="宋体" w:cs="宋体"/>
          <w:color w:val="auto"/>
          <w:sz w:val="24"/>
          <w:szCs w:val="24"/>
          <w:lang w:eastAsia="zh-CN"/>
        </w:rPr>
        <w:t>人，中职学校招生</w:t>
      </w:r>
      <w:r>
        <w:rPr>
          <w:rFonts w:hint="eastAsia" w:ascii="宋体" w:hAnsi="宋体" w:cs="宋体"/>
          <w:color w:val="auto"/>
          <w:sz w:val="24"/>
          <w:szCs w:val="24"/>
          <w:lang w:val="en-US" w:eastAsia="zh-CN"/>
        </w:rPr>
        <w:t>11077</w:t>
      </w:r>
      <w:r>
        <w:rPr>
          <w:rFonts w:hint="eastAsia" w:ascii="宋体" w:hAnsi="宋体" w:cs="宋体"/>
          <w:color w:val="auto"/>
          <w:sz w:val="24"/>
          <w:szCs w:val="24"/>
          <w:lang w:eastAsia="zh-CN"/>
        </w:rPr>
        <w:t>人，普职招生比例约为</w:t>
      </w:r>
      <w:r>
        <w:rPr>
          <w:rFonts w:hint="eastAsia" w:ascii="宋体" w:hAnsi="宋体" w:cs="宋体"/>
          <w:color w:val="auto"/>
          <w:sz w:val="24"/>
          <w:szCs w:val="24"/>
          <w:lang w:val="en-US" w:eastAsia="zh-CN"/>
        </w:rPr>
        <w:t>2.35:1</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2022年，全市中职学校招生数量继续突破新高，首先得益于控制普通高中招生比例政策的实施，同时，越来越多学生考虑到参加对口升学，报名就读职业高中。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目前主要存在的问题是市区中专学校与县级职业高中招生差距较大，市区中专学校招生逐年减少，县级职业中学招生逐年增多。</w:t>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zh-CN" w:bidi="zh-CN"/>
        </w:rPr>
      </w:pPr>
      <w:bookmarkStart w:id="8" w:name="_Toc16503"/>
      <w:r>
        <w:rPr>
          <w:rFonts w:hint="eastAsia" w:ascii="宋体" w:hAnsi="宋体" w:eastAsia="宋体" w:cs="黑体"/>
          <w:b/>
          <w:color w:val="auto"/>
          <w:kern w:val="24"/>
          <w:sz w:val="21"/>
          <w:szCs w:val="21"/>
          <w:lang w:val="zh-CN" w:bidi="zh-CN"/>
        </w:rPr>
        <w:t>表</w:t>
      </w:r>
      <w:r>
        <w:rPr>
          <w:rFonts w:hint="eastAsia" w:ascii="宋体" w:hAnsi="宋体" w:eastAsia="宋体" w:cs="黑体"/>
          <w:b/>
          <w:color w:val="auto"/>
          <w:kern w:val="24"/>
          <w:sz w:val="21"/>
          <w:szCs w:val="21"/>
          <w:lang w:val="en-US" w:bidi="zh-CN"/>
        </w:rPr>
        <w:t xml:space="preserve">1-1  </w:t>
      </w:r>
      <w:r>
        <w:rPr>
          <w:rFonts w:hint="eastAsia" w:ascii="宋体" w:hAnsi="宋体" w:eastAsia="宋体" w:cs="黑体"/>
          <w:b/>
          <w:color w:val="auto"/>
          <w:kern w:val="24"/>
          <w:sz w:val="21"/>
          <w:szCs w:val="21"/>
          <w:lang w:val="zh-CN" w:bidi="zh-CN"/>
        </w:rPr>
        <w:t>20</w:t>
      </w:r>
      <w:r>
        <w:rPr>
          <w:rFonts w:hint="eastAsia" w:ascii="宋体" w:hAnsi="宋体" w:eastAsia="宋体" w:cs="黑体"/>
          <w:b/>
          <w:color w:val="auto"/>
          <w:kern w:val="24"/>
          <w:sz w:val="21"/>
          <w:szCs w:val="21"/>
          <w:lang w:val="en-US" w:eastAsia="zh-CN" w:bidi="zh-CN"/>
        </w:rPr>
        <w:t>21年、2022</w:t>
      </w:r>
      <w:r>
        <w:rPr>
          <w:rFonts w:hint="eastAsia" w:ascii="宋体" w:hAnsi="宋体" w:eastAsia="宋体" w:cs="黑体"/>
          <w:b/>
          <w:color w:val="auto"/>
          <w:kern w:val="24"/>
          <w:sz w:val="21"/>
          <w:szCs w:val="21"/>
          <w:lang w:val="zh-CN" w:bidi="zh-CN"/>
        </w:rPr>
        <w:t>年学生基本情况比较</w:t>
      </w:r>
      <w:bookmarkEnd w:id="8"/>
    </w:p>
    <w:tbl>
      <w:tblPr>
        <w:tblStyle w:val="24"/>
        <w:tblW w:w="8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437"/>
        <w:gridCol w:w="1275"/>
        <w:gridCol w:w="1400"/>
        <w:gridCol w:w="1350"/>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6" w:type="dxa"/>
            <w:vMerge w:val="restar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年度</w:t>
            </w:r>
          </w:p>
        </w:tc>
        <w:tc>
          <w:tcPr>
            <w:tcW w:w="7386" w:type="dxa"/>
            <w:gridSpan w:val="5"/>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06" w:type="dxa"/>
            <w:vMerge w:val="continue"/>
            <w:tcBorders>
              <w:top w:val="single" w:color="FFFFFF" w:sz="18" w:space="0"/>
              <w:left w:val="single" w:color="4F81BD" w:sz="8" w:space="0"/>
              <w:bottom w:val="single" w:color="4F81BD" w:sz="8" w:space="0"/>
              <w:right w:val="single" w:color="4F81BD" w:sz="8" w:space="0"/>
            </w:tcBorders>
            <w:shd w:val="clear" w:color="auto" w:fill="B8CCE4"/>
            <w:noWrap/>
            <w:vAlign w:val="center"/>
          </w:tcPr>
          <w:p>
            <w:pPr>
              <w:jc w:val="center"/>
              <w:rPr>
                <w:rFonts w:hint="eastAsia" w:ascii="宋体" w:hAnsi="宋体" w:eastAsia="宋体" w:cs="宋体"/>
                <w:b/>
                <w:bCs/>
                <w:color w:val="auto"/>
                <w:sz w:val="21"/>
                <w:szCs w:val="21"/>
              </w:rPr>
            </w:pPr>
          </w:p>
        </w:tc>
        <w:tc>
          <w:tcPr>
            <w:tcW w:w="1437"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中职学校</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在校人数</w:t>
            </w:r>
          </w:p>
        </w:tc>
        <w:tc>
          <w:tcPr>
            <w:tcW w:w="127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普通高中</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在校人数</w:t>
            </w:r>
          </w:p>
        </w:tc>
        <w:tc>
          <w:tcPr>
            <w:tcW w:w="140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普通高中</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招生人数</w:t>
            </w:r>
          </w:p>
        </w:tc>
        <w:tc>
          <w:tcPr>
            <w:tcW w:w="135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中职学校</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招生人数</w:t>
            </w:r>
          </w:p>
        </w:tc>
        <w:tc>
          <w:tcPr>
            <w:tcW w:w="1924"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普职招生比例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6"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2021年</w:t>
            </w:r>
          </w:p>
        </w:tc>
        <w:tc>
          <w:tcPr>
            <w:tcW w:w="1437"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25296</w:t>
            </w:r>
          </w:p>
        </w:tc>
        <w:tc>
          <w:tcPr>
            <w:tcW w:w="1275"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77053</w:t>
            </w:r>
          </w:p>
        </w:tc>
        <w:tc>
          <w:tcPr>
            <w:tcW w:w="140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27250</w:t>
            </w:r>
          </w:p>
        </w:tc>
        <w:tc>
          <w:tcPr>
            <w:tcW w:w="1350"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10200</w:t>
            </w:r>
          </w:p>
        </w:tc>
        <w:tc>
          <w:tcPr>
            <w:tcW w:w="1924" w:type="dxa"/>
            <w:tcBorders>
              <w:top w:val="single" w:color="4F81BD" w:sz="8" w:space="0"/>
              <w:left w:val="single" w:color="4F81BD" w:sz="8" w:space="0"/>
              <w:bottom w:val="single" w:color="4F81BD" w:sz="8" w:space="0"/>
              <w:right w:val="single" w:color="4F81BD" w:sz="8" w:space="0"/>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06"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年</w:t>
            </w:r>
          </w:p>
        </w:tc>
        <w:tc>
          <w:tcPr>
            <w:tcW w:w="1437"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26860</w:t>
            </w:r>
          </w:p>
        </w:tc>
        <w:tc>
          <w:tcPr>
            <w:tcW w:w="127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77</w:t>
            </w:r>
            <w:r>
              <w:rPr>
                <w:rFonts w:hint="eastAsia" w:ascii="宋体" w:hAnsi="宋体" w:cs="宋体"/>
                <w:color w:val="auto"/>
                <w:sz w:val="21"/>
                <w:szCs w:val="21"/>
                <w:lang w:val="en-US" w:eastAsia="zh-CN"/>
              </w:rPr>
              <w:t>963</w:t>
            </w:r>
          </w:p>
        </w:tc>
        <w:tc>
          <w:tcPr>
            <w:tcW w:w="140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26058</w:t>
            </w:r>
          </w:p>
        </w:tc>
        <w:tc>
          <w:tcPr>
            <w:tcW w:w="135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11077</w:t>
            </w:r>
          </w:p>
        </w:tc>
        <w:tc>
          <w:tcPr>
            <w:tcW w:w="192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35</w:t>
            </w:r>
            <w:r>
              <w:rPr>
                <w:rFonts w:hint="eastAsia" w:ascii="宋体" w:hAnsi="宋体" w:eastAsia="宋体" w:cs="宋体"/>
                <w:color w:val="auto"/>
                <w:sz w:val="21"/>
                <w:szCs w:val="21"/>
                <w:lang w:val="en-US" w:eastAsia="zh-CN"/>
              </w:rPr>
              <w:t>:1</w:t>
            </w:r>
          </w:p>
        </w:tc>
      </w:tr>
    </w:tbl>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9" w:name="_Toc7549"/>
      <w:bookmarkStart w:id="10" w:name="_Toc32422"/>
      <w:bookmarkStart w:id="11" w:name="_Toc27693"/>
      <w:r>
        <w:rPr>
          <w:rFonts w:hint="eastAsia" w:ascii="宋体" w:hAnsi="宋体" w:eastAsia="宋体" w:cs="宋体"/>
          <w:b/>
          <w:color w:val="auto"/>
          <w:kern w:val="2"/>
          <w:sz w:val="28"/>
          <w:szCs w:val="28"/>
          <w:lang w:val="en-US" w:eastAsia="zh-CN" w:bidi="ar-SA"/>
        </w:rPr>
        <w:t>1.2 设施设备</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2022年，按照全省职教大会要求，吕梁市继续推进中等职业学校办学条件达标与资源整合工作，吕梁市人民政府教育督导室印发《关于推进中等职业学校办学条件达标与资源整合工作的通知》（</w:t>
      </w:r>
      <w:r>
        <w:rPr>
          <w:rFonts w:hint="eastAsia" w:ascii="宋体" w:hAnsi="宋体" w:cs="宋体"/>
          <w:color w:val="000000" w:themeColor="text1"/>
          <w:sz w:val="24"/>
          <w:szCs w:val="24"/>
          <w:lang w:val="en-US" w:eastAsia="zh-CN"/>
          <w14:textFill>
            <w14:solidFill>
              <w14:schemeClr w14:val="tx1"/>
            </w14:solidFill>
          </w14:textFill>
        </w:rPr>
        <w:t>吕教督发</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2023</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1号</w:t>
      </w:r>
      <w:r>
        <w:rPr>
          <w:rFonts w:hint="eastAsia" w:ascii="宋体" w:hAnsi="宋体" w:cs="宋体"/>
          <w:color w:val="auto"/>
          <w:sz w:val="24"/>
          <w:szCs w:val="24"/>
          <w:lang w:val="en-US" w:eastAsia="zh-CN"/>
        </w:rPr>
        <w:t>），落实全省职业教育高质量发展市教育局座谈会对各中等职业学校办学条件达标与资源整合的要求。全市县级职教中心建设再上新台阶，设施设备持续改善，办学条件稳步提高。兴县投入4亿元建成职教中心并投入使用，柳林县职教中心规划搬入柳林县教育园区；县级职教中心是普及高中阶段教育、开展成人教育和继续教育的阵地，是深化产教融合、校企合作的重要途径，是实施乡村振兴战略的重要平台。</w:t>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zh-CN" w:bidi="zh-CN"/>
        </w:rPr>
      </w:pPr>
      <w:bookmarkStart w:id="12" w:name="_Toc24131"/>
      <w:r>
        <w:rPr>
          <w:rFonts w:hint="eastAsia" w:ascii="宋体" w:hAnsi="宋体" w:eastAsia="宋体" w:cs="黑体"/>
          <w:b/>
          <w:color w:val="auto"/>
          <w:kern w:val="24"/>
          <w:sz w:val="21"/>
          <w:szCs w:val="21"/>
          <w:lang w:val="zh-CN" w:bidi="zh-CN"/>
        </w:rPr>
        <w:t>表</w:t>
      </w:r>
      <w:r>
        <w:rPr>
          <w:rFonts w:hint="eastAsia" w:ascii="宋体" w:hAnsi="宋体" w:eastAsia="宋体" w:cs="黑体"/>
          <w:b/>
          <w:color w:val="auto"/>
          <w:kern w:val="24"/>
          <w:sz w:val="21"/>
          <w:szCs w:val="21"/>
          <w:lang w:val="en-US" w:bidi="zh-CN"/>
        </w:rPr>
        <w:t>1-</w:t>
      </w:r>
      <w:r>
        <w:rPr>
          <w:rFonts w:hint="eastAsia" w:ascii="宋体" w:hAnsi="宋体" w:cs="黑体"/>
          <w:b/>
          <w:color w:val="auto"/>
          <w:kern w:val="24"/>
          <w:sz w:val="21"/>
          <w:szCs w:val="21"/>
          <w:lang w:val="en-US" w:bidi="zh-CN"/>
        </w:rPr>
        <w:t>2</w:t>
      </w:r>
      <w:r>
        <w:rPr>
          <w:rFonts w:hint="eastAsia" w:ascii="宋体" w:hAnsi="宋体" w:eastAsia="宋体" w:cs="黑体"/>
          <w:b/>
          <w:color w:val="auto"/>
          <w:kern w:val="24"/>
          <w:sz w:val="21"/>
          <w:szCs w:val="21"/>
          <w:lang w:val="en-US" w:bidi="zh-CN"/>
        </w:rPr>
        <w:t xml:space="preserve">  </w:t>
      </w:r>
      <w:r>
        <w:rPr>
          <w:rFonts w:hint="eastAsia" w:ascii="宋体" w:hAnsi="宋体" w:eastAsia="宋体" w:cs="黑体"/>
          <w:b/>
          <w:color w:val="auto"/>
          <w:kern w:val="24"/>
          <w:sz w:val="21"/>
          <w:szCs w:val="21"/>
          <w:lang w:val="zh-CN" w:bidi="zh-CN"/>
        </w:rPr>
        <w:t>20</w:t>
      </w:r>
      <w:r>
        <w:rPr>
          <w:rFonts w:hint="eastAsia" w:ascii="宋体" w:hAnsi="宋体" w:eastAsia="宋体" w:cs="黑体"/>
          <w:b/>
          <w:color w:val="auto"/>
          <w:kern w:val="24"/>
          <w:sz w:val="21"/>
          <w:szCs w:val="21"/>
          <w:lang w:val="en-US" w:eastAsia="zh-CN" w:bidi="zh-CN"/>
        </w:rPr>
        <w:t>21</w:t>
      </w:r>
      <w:r>
        <w:rPr>
          <w:rFonts w:hint="eastAsia" w:ascii="宋体" w:hAnsi="宋体" w:eastAsia="宋体" w:cs="黑体"/>
          <w:b/>
          <w:color w:val="auto"/>
          <w:kern w:val="24"/>
          <w:sz w:val="21"/>
          <w:szCs w:val="21"/>
          <w:lang w:val="zh-CN" w:bidi="zh-CN"/>
        </w:rPr>
        <w:t>年、20</w:t>
      </w:r>
      <w:r>
        <w:rPr>
          <w:rFonts w:hint="eastAsia" w:ascii="宋体" w:hAnsi="宋体" w:eastAsia="宋体" w:cs="黑体"/>
          <w:b/>
          <w:color w:val="auto"/>
          <w:kern w:val="24"/>
          <w:sz w:val="21"/>
          <w:szCs w:val="21"/>
          <w:lang w:val="en-US" w:eastAsia="zh-CN" w:bidi="zh-CN"/>
        </w:rPr>
        <w:t>22</w:t>
      </w:r>
      <w:r>
        <w:rPr>
          <w:rFonts w:hint="eastAsia" w:ascii="宋体" w:hAnsi="宋体" w:eastAsia="宋体" w:cs="黑体"/>
          <w:b/>
          <w:color w:val="auto"/>
          <w:kern w:val="24"/>
          <w:sz w:val="21"/>
          <w:szCs w:val="21"/>
          <w:lang w:val="zh-CN" w:bidi="zh-CN"/>
        </w:rPr>
        <w:t>年设施设备情况对比</w:t>
      </w:r>
      <w:bookmarkEnd w:id="12"/>
    </w:p>
    <w:tbl>
      <w:tblPr>
        <w:tblStyle w:val="24"/>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2955"/>
        <w:gridCol w:w="2535"/>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74" w:type="dxa"/>
            <w:vMerge w:val="restar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年度</w:t>
            </w:r>
          </w:p>
        </w:tc>
        <w:tc>
          <w:tcPr>
            <w:tcW w:w="7425" w:type="dxa"/>
            <w:gridSpan w:val="3"/>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1474" w:type="dxa"/>
            <w:vMerge w:val="continue"/>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b/>
                <w:bCs/>
                <w:color w:val="auto"/>
                <w:sz w:val="21"/>
                <w:szCs w:val="21"/>
              </w:rPr>
            </w:pPr>
          </w:p>
        </w:tc>
        <w:tc>
          <w:tcPr>
            <w:tcW w:w="295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生均教学仪器设备值</w:t>
            </w:r>
          </w:p>
        </w:tc>
        <w:tc>
          <w:tcPr>
            <w:tcW w:w="253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生均实训工位数</w:t>
            </w:r>
          </w:p>
        </w:tc>
        <w:tc>
          <w:tcPr>
            <w:tcW w:w="193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生均纸质图书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7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2021年</w:t>
            </w:r>
          </w:p>
        </w:tc>
        <w:tc>
          <w:tcPr>
            <w:tcW w:w="295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7520元</w:t>
            </w:r>
          </w:p>
        </w:tc>
        <w:tc>
          <w:tcPr>
            <w:tcW w:w="253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0.59</w:t>
            </w:r>
          </w:p>
        </w:tc>
        <w:tc>
          <w:tcPr>
            <w:tcW w:w="193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74"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2022年</w:t>
            </w:r>
          </w:p>
        </w:tc>
        <w:tc>
          <w:tcPr>
            <w:tcW w:w="295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7734元</w:t>
            </w:r>
          </w:p>
        </w:tc>
        <w:tc>
          <w:tcPr>
            <w:tcW w:w="253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0.62</w:t>
            </w:r>
          </w:p>
        </w:tc>
        <w:tc>
          <w:tcPr>
            <w:tcW w:w="193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36册</w:t>
            </w:r>
          </w:p>
        </w:tc>
      </w:tr>
    </w:tbl>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13" w:name="_Toc12697"/>
      <w:bookmarkStart w:id="14" w:name="_Toc11741"/>
      <w:bookmarkStart w:id="15" w:name="_Toc6421"/>
      <w:r>
        <w:rPr>
          <w:rFonts w:hint="eastAsia" w:ascii="宋体" w:hAnsi="宋体" w:eastAsia="宋体" w:cs="宋体"/>
          <w:b/>
          <w:color w:val="auto"/>
          <w:kern w:val="2"/>
          <w:sz w:val="28"/>
          <w:szCs w:val="28"/>
          <w:lang w:val="en-US" w:eastAsia="zh-CN" w:bidi="ar-SA"/>
        </w:rPr>
        <w:t>1.3 教师队伍</w:t>
      </w:r>
      <w:bookmarkEnd w:id="13"/>
      <w:bookmarkEnd w:id="14"/>
      <w:bookmarkEnd w:id="15"/>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80" w:lineRule="exact"/>
        <w:ind w:right="0"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市委市政府</w:t>
      </w:r>
      <w:r>
        <w:rPr>
          <w:rFonts w:hint="eastAsia" w:ascii="宋体" w:hAnsi="宋体" w:eastAsia="宋体" w:cs="宋体"/>
          <w:color w:val="auto"/>
          <w:kern w:val="2"/>
          <w:sz w:val="24"/>
          <w:szCs w:val="24"/>
          <w:lang w:val="en-US" w:eastAsia="zh-CN" w:bidi="ar-SA"/>
        </w:rPr>
        <w:t>非常重视师资队伍建设，把师资队伍建设作为深化教育教学改革和保证教育教学质量的关键，将师资队伍建设作为基础性工作来抓，持续优化教师队伍结构、提升教师队伍水平。坚持“以赛促教、以赛促研，以赛促建、以赛促改”的总体思路，引导各地各校围绕立德树人根本任务，努力构建“三全育人”体系，积极探索“岗课赛证”融合育人模式，创新发展线上线下混合式教学模式，深化教师、教材、教法“三教改革”，推进高水平教师教学团队建设，促进“能说会做”的“双师型”教师成长。2022年5月</w:t>
      </w:r>
      <w:r>
        <w:rPr>
          <w:rFonts w:hint="eastAsia" w:ascii="宋体" w:hAnsi="宋体" w:cs="宋体"/>
          <w:color w:val="auto"/>
          <w:kern w:val="2"/>
          <w:sz w:val="24"/>
          <w:szCs w:val="24"/>
          <w:lang w:val="en-US" w:eastAsia="zh-CN" w:bidi="ar-SA"/>
        </w:rPr>
        <w:t>，成功</w:t>
      </w:r>
      <w:r>
        <w:rPr>
          <w:rFonts w:hint="eastAsia" w:ascii="宋体" w:hAnsi="宋体" w:eastAsia="宋体" w:cs="宋体"/>
          <w:color w:val="auto"/>
          <w:kern w:val="2"/>
          <w:sz w:val="24"/>
          <w:szCs w:val="24"/>
          <w:lang w:val="en-US" w:eastAsia="zh-CN" w:bidi="ar-SA"/>
        </w:rPr>
        <w:t>举办吕梁市第二届中职学校技能大赛教学能力比赛，共10所中职学校</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280余名教师参加比赛</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6月，</w:t>
      </w:r>
      <w:r>
        <w:rPr>
          <w:rFonts w:hint="eastAsia" w:ascii="宋体" w:hAnsi="宋体" w:cs="宋体"/>
          <w:color w:val="auto"/>
          <w:kern w:val="2"/>
          <w:sz w:val="24"/>
          <w:szCs w:val="24"/>
          <w:lang w:val="en-US" w:eastAsia="zh-CN" w:bidi="ar-SA"/>
        </w:rPr>
        <w:t>成功</w:t>
      </w:r>
      <w:r>
        <w:rPr>
          <w:rFonts w:hint="eastAsia" w:ascii="宋体" w:hAnsi="宋体" w:eastAsia="宋体" w:cs="宋体"/>
          <w:color w:val="auto"/>
          <w:kern w:val="2"/>
          <w:sz w:val="24"/>
          <w:szCs w:val="24"/>
          <w:lang w:val="en-US" w:eastAsia="zh-CN" w:bidi="ar-SA"/>
        </w:rPr>
        <w:t>举办</w:t>
      </w:r>
      <w:r>
        <w:rPr>
          <w:rFonts w:hint="eastAsia" w:ascii="宋体" w:hAnsi="宋体" w:cs="宋体"/>
          <w:color w:val="auto"/>
          <w:kern w:val="2"/>
          <w:sz w:val="24"/>
          <w:szCs w:val="24"/>
          <w:lang w:val="en-US" w:eastAsia="zh-CN" w:bidi="ar-SA"/>
        </w:rPr>
        <w:t>吕梁市</w:t>
      </w:r>
      <w:r>
        <w:rPr>
          <w:rFonts w:hint="eastAsia" w:ascii="宋体" w:hAnsi="宋体" w:eastAsia="宋体" w:cs="宋体"/>
          <w:color w:val="auto"/>
          <w:kern w:val="2"/>
          <w:sz w:val="24"/>
          <w:szCs w:val="24"/>
          <w:lang w:val="en-US" w:eastAsia="zh-CN" w:bidi="ar-SA"/>
        </w:rPr>
        <w:t>第二届中职学校技能大赛班主任能力比赛，共8所中职学校</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40余名教师参加比赛。</w:t>
      </w:r>
      <w:r>
        <w:rPr>
          <w:rFonts w:hint="eastAsia" w:ascii="宋体" w:hAnsi="宋体" w:cs="宋体"/>
          <w:color w:val="auto"/>
          <w:kern w:val="2"/>
          <w:sz w:val="24"/>
          <w:szCs w:val="24"/>
          <w:lang w:val="en-US" w:eastAsia="zh-CN" w:bidi="ar-SA"/>
        </w:rPr>
        <w:t>市级</w:t>
      </w:r>
      <w:r>
        <w:rPr>
          <w:rFonts w:hint="eastAsia" w:ascii="宋体" w:hAnsi="宋体" w:eastAsia="宋体" w:cs="宋体"/>
          <w:color w:val="auto"/>
          <w:kern w:val="2"/>
          <w:sz w:val="24"/>
          <w:szCs w:val="24"/>
          <w:lang w:val="en-US" w:eastAsia="zh-CN" w:bidi="ar-SA"/>
        </w:rPr>
        <w:t>比赛</w:t>
      </w:r>
      <w:r>
        <w:rPr>
          <w:rFonts w:hint="eastAsia" w:ascii="宋体" w:hAnsi="宋体" w:cs="宋体"/>
          <w:color w:val="auto"/>
          <w:kern w:val="2"/>
          <w:sz w:val="24"/>
          <w:szCs w:val="24"/>
          <w:lang w:val="en-US" w:eastAsia="zh-CN" w:bidi="ar-SA"/>
        </w:rPr>
        <w:t>的成功举办促进了全市中职学校在省级大赛中的获奖率，</w:t>
      </w:r>
      <w:r>
        <w:rPr>
          <w:rFonts w:hint="eastAsia" w:ascii="宋体" w:hAnsi="宋体" w:eastAsia="宋体" w:cs="宋体"/>
          <w:color w:val="auto"/>
          <w:kern w:val="2"/>
          <w:sz w:val="24"/>
          <w:szCs w:val="24"/>
          <w:lang w:val="en-US" w:eastAsia="zh-CN" w:bidi="ar-SA"/>
        </w:rPr>
        <w:t>全市学校在省级技能大赛教学能力比赛、班主任能力比赛中获奖数量占全省十分之一。</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2022年，全市中等职业学校共有</w:t>
      </w:r>
      <w:r>
        <w:rPr>
          <w:rFonts w:hint="eastAsia" w:ascii="宋体" w:hAnsi="宋体" w:cs="宋体"/>
          <w:color w:val="auto"/>
          <w:kern w:val="2"/>
          <w:sz w:val="24"/>
          <w:szCs w:val="24"/>
          <w:lang w:val="en-US" w:eastAsia="zh-CN" w:bidi="ar-SA"/>
        </w:rPr>
        <w:t>专任</w:t>
      </w:r>
      <w:r>
        <w:rPr>
          <w:rFonts w:hint="eastAsia" w:ascii="宋体" w:hAnsi="宋体" w:eastAsia="宋体" w:cs="宋体"/>
          <w:color w:val="auto"/>
          <w:kern w:val="2"/>
          <w:sz w:val="24"/>
          <w:szCs w:val="24"/>
          <w:lang w:val="en-US" w:eastAsia="zh-CN" w:bidi="ar-SA"/>
        </w:rPr>
        <w:t>教师</w:t>
      </w:r>
      <w:r>
        <w:rPr>
          <w:rFonts w:hint="eastAsia" w:ascii="宋体" w:hAnsi="宋体" w:cs="宋体"/>
          <w:color w:val="auto"/>
          <w:kern w:val="2"/>
          <w:sz w:val="24"/>
          <w:szCs w:val="24"/>
          <w:lang w:val="en-US" w:eastAsia="zh-CN" w:bidi="ar-SA"/>
        </w:rPr>
        <w:t>2796名</w:t>
      </w:r>
      <w:r>
        <w:rPr>
          <w:rFonts w:hint="eastAsia" w:ascii="宋体" w:hAnsi="宋体" w:eastAsia="宋体" w:cs="宋体"/>
          <w:color w:val="auto"/>
          <w:kern w:val="2"/>
          <w:sz w:val="24"/>
          <w:szCs w:val="24"/>
          <w:lang w:val="en-US" w:eastAsia="zh-CN" w:bidi="ar-SA"/>
        </w:rPr>
        <w:t>，师生比约16:1</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其中“双师型”教师占专任教师比例为47.41%，专任教师本科以上学历占98.67%，专任教师高级职称教师比例为29.30%。全市中职学校教师配置情况总体改善，年龄结构</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学历结构不断优化。</w:t>
      </w: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zh-CN" w:bidi="zh-CN"/>
        </w:rPr>
      </w:pPr>
      <w:bookmarkStart w:id="16" w:name="_Toc31982"/>
      <w:r>
        <w:rPr>
          <w:rFonts w:hint="eastAsia" w:ascii="宋体" w:hAnsi="宋体" w:eastAsia="宋体" w:cs="黑体"/>
          <w:b/>
          <w:color w:val="auto"/>
          <w:kern w:val="24"/>
          <w:sz w:val="21"/>
          <w:szCs w:val="21"/>
          <w:lang w:val="en-US" w:eastAsia="zh-CN" w:bidi="zh-CN"/>
        </w:rPr>
        <w:t>表1-3  2021年、2022</w:t>
      </w:r>
      <w:r>
        <w:rPr>
          <w:rFonts w:hint="eastAsia" w:ascii="宋体" w:hAnsi="宋体" w:eastAsia="宋体" w:cs="黑体"/>
          <w:b/>
          <w:color w:val="auto"/>
          <w:kern w:val="24"/>
          <w:sz w:val="21"/>
          <w:szCs w:val="21"/>
          <w:lang w:val="zh-CN" w:bidi="zh-CN"/>
        </w:rPr>
        <w:t>年教师基本情况比较</w:t>
      </w:r>
      <w:bookmarkEnd w:id="16"/>
    </w:p>
    <w:tbl>
      <w:tblPr>
        <w:tblStyle w:val="24"/>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837"/>
        <w:gridCol w:w="772"/>
        <w:gridCol w:w="900"/>
        <w:gridCol w:w="825"/>
        <w:gridCol w:w="932"/>
        <w:gridCol w:w="849"/>
        <w:gridCol w:w="925"/>
        <w:gridCol w:w="112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31" w:type="dxa"/>
            <w:vMerge w:val="restar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年 度</w:t>
            </w:r>
          </w:p>
        </w:tc>
        <w:tc>
          <w:tcPr>
            <w:tcW w:w="8065" w:type="dxa"/>
            <w:gridSpan w:val="9"/>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31" w:type="dxa"/>
            <w:vMerge w:val="continue"/>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eastAsia="宋体" w:cs="宋体"/>
                <w:b/>
                <w:bCs/>
                <w:color w:val="auto"/>
                <w:sz w:val="21"/>
                <w:szCs w:val="21"/>
              </w:rPr>
            </w:pPr>
          </w:p>
        </w:tc>
        <w:tc>
          <w:tcPr>
            <w:tcW w:w="837"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生师比</w:t>
            </w:r>
          </w:p>
        </w:tc>
        <w:tc>
          <w:tcPr>
            <w:tcW w:w="772"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教师人数</w:t>
            </w:r>
          </w:p>
        </w:tc>
        <w:tc>
          <w:tcPr>
            <w:tcW w:w="90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bCs/>
                <w:color w:val="auto"/>
                <w:sz w:val="21"/>
                <w:szCs w:val="21"/>
              </w:rPr>
            </w:pPr>
            <w:r>
              <w:rPr>
                <w:rFonts w:hint="eastAsia" w:ascii="宋体" w:hAnsi="宋体" w:cs="宋体"/>
                <w:b/>
                <w:bCs/>
                <w:color w:val="auto"/>
                <w:sz w:val="21"/>
                <w:szCs w:val="21"/>
                <w:lang w:eastAsia="zh-CN"/>
              </w:rPr>
              <w:t>“</w:t>
            </w:r>
            <w:r>
              <w:rPr>
                <w:rFonts w:hint="eastAsia" w:ascii="宋体" w:hAnsi="宋体" w:cs="宋体"/>
                <w:b/>
                <w:bCs/>
                <w:color w:val="auto"/>
                <w:sz w:val="21"/>
                <w:szCs w:val="21"/>
                <w:lang w:val="en-US" w:eastAsia="zh-CN"/>
              </w:rPr>
              <w:t>双师型</w:t>
            </w:r>
            <w:r>
              <w:rPr>
                <w:rFonts w:hint="eastAsia" w:ascii="宋体" w:hAnsi="宋体" w:cs="宋体"/>
                <w:b/>
                <w:bCs/>
                <w:color w:val="auto"/>
                <w:sz w:val="21"/>
                <w:szCs w:val="21"/>
                <w:lang w:eastAsia="zh-CN"/>
              </w:rPr>
              <w:t>”</w:t>
            </w:r>
            <w:r>
              <w:rPr>
                <w:rFonts w:hint="eastAsia" w:ascii="宋体" w:hAnsi="宋体" w:eastAsia="宋体" w:cs="宋体"/>
                <w:b/>
                <w:bCs/>
                <w:color w:val="auto"/>
                <w:sz w:val="21"/>
                <w:szCs w:val="21"/>
              </w:rPr>
              <w:t>教师</w:t>
            </w:r>
          </w:p>
        </w:tc>
        <w:tc>
          <w:tcPr>
            <w:tcW w:w="82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专任</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教师</w:t>
            </w:r>
          </w:p>
        </w:tc>
        <w:tc>
          <w:tcPr>
            <w:tcW w:w="932"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bCs/>
                <w:color w:val="auto"/>
                <w:sz w:val="21"/>
                <w:szCs w:val="21"/>
              </w:rPr>
            </w:pPr>
            <w:r>
              <w:rPr>
                <w:rFonts w:hint="eastAsia" w:ascii="宋体" w:hAnsi="宋体" w:cs="宋体"/>
                <w:b/>
                <w:bCs/>
                <w:color w:val="auto"/>
                <w:sz w:val="21"/>
                <w:szCs w:val="21"/>
                <w:lang w:eastAsia="zh-CN"/>
              </w:rPr>
              <w:t>“</w:t>
            </w:r>
            <w:r>
              <w:rPr>
                <w:rFonts w:hint="eastAsia" w:ascii="宋体" w:hAnsi="宋体" w:cs="宋体"/>
                <w:b/>
                <w:bCs/>
                <w:color w:val="auto"/>
                <w:sz w:val="21"/>
                <w:szCs w:val="21"/>
                <w:lang w:val="en-US" w:eastAsia="zh-CN"/>
              </w:rPr>
              <w:t>双师型</w:t>
            </w:r>
            <w:r>
              <w:rPr>
                <w:rFonts w:hint="eastAsia" w:ascii="宋体" w:hAnsi="宋体" w:cs="宋体"/>
                <w:b/>
                <w:bCs/>
                <w:color w:val="auto"/>
                <w:sz w:val="21"/>
                <w:szCs w:val="21"/>
                <w:lang w:eastAsia="zh-CN"/>
              </w:rPr>
              <w:t>”</w:t>
            </w:r>
            <w:r>
              <w:rPr>
                <w:rFonts w:hint="eastAsia" w:ascii="宋体" w:hAnsi="宋体" w:eastAsia="宋体" w:cs="宋体"/>
                <w:b/>
                <w:bCs/>
                <w:color w:val="auto"/>
                <w:sz w:val="21"/>
                <w:szCs w:val="21"/>
              </w:rPr>
              <w:t>教师比例</w:t>
            </w:r>
          </w:p>
        </w:tc>
        <w:tc>
          <w:tcPr>
            <w:tcW w:w="849"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兼职教师比例</w:t>
            </w:r>
          </w:p>
        </w:tc>
        <w:tc>
          <w:tcPr>
            <w:tcW w:w="92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本科以上学历比例</w:t>
            </w:r>
          </w:p>
        </w:tc>
        <w:tc>
          <w:tcPr>
            <w:tcW w:w="1125"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硕士以上学历教师比例</w:t>
            </w:r>
          </w:p>
        </w:tc>
        <w:tc>
          <w:tcPr>
            <w:tcW w:w="900" w:type="dxa"/>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高级职称教师比例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3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2021年</w:t>
            </w:r>
          </w:p>
        </w:tc>
        <w:tc>
          <w:tcPr>
            <w:tcW w:w="837"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9.4:1</w:t>
            </w:r>
          </w:p>
        </w:tc>
        <w:tc>
          <w:tcPr>
            <w:tcW w:w="77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2693</w:t>
            </w:r>
          </w:p>
        </w:tc>
        <w:tc>
          <w:tcPr>
            <w:tcW w:w="90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661</w:t>
            </w:r>
          </w:p>
        </w:tc>
        <w:tc>
          <w:tcPr>
            <w:tcW w:w="82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2297</w:t>
            </w:r>
          </w:p>
        </w:tc>
        <w:tc>
          <w:tcPr>
            <w:tcW w:w="93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28.8%</w:t>
            </w:r>
          </w:p>
        </w:tc>
        <w:tc>
          <w:tcPr>
            <w:tcW w:w="84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w:t>
            </w:r>
            <w:r>
              <w:rPr>
                <w:rFonts w:hint="eastAsia" w:ascii="宋体" w:hAnsi="宋体" w:cs="宋体"/>
                <w:color w:val="auto"/>
                <w:sz w:val="21"/>
                <w:szCs w:val="21"/>
                <w:lang w:val="en-US" w:eastAsia="zh-CN"/>
              </w:rPr>
              <w:t>%</w:t>
            </w:r>
          </w:p>
        </w:tc>
        <w:tc>
          <w:tcPr>
            <w:tcW w:w="92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87.9%</w:t>
            </w:r>
          </w:p>
        </w:tc>
        <w:tc>
          <w:tcPr>
            <w:tcW w:w="112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7.6%</w:t>
            </w:r>
          </w:p>
        </w:tc>
        <w:tc>
          <w:tcPr>
            <w:tcW w:w="90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31"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2022年</w:t>
            </w:r>
          </w:p>
        </w:tc>
        <w:tc>
          <w:tcPr>
            <w:tcW w:w="837"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9.6:1</w:t>
            </w:r>
          </w:p>
        </w:tc>
        <w:tc>
          <w:tcPr>
            <w:tcW w:w="77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2796</w:t>
            </w:r>
          </w:p>
        </w:tc>
        <w:tc>
          <w:tcPr>
            <w:tcW w:w="90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679</w:t>
            </w:r>
          </w:p>
        </w:tc>
        <w:tc>
          <w:tcPr>
            <w:tcW w:w="82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2359</w:t>
            </w:r>
          </w:p>
        </w:tc>
        <w:tc>
          <w:tcPr>
            <w:tcW w:w="932"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28.8%</w:t>
            </w:r>
          </w:p>
        </w:tc>
        <w:tc>
          <w:tcPr>
            <w:tcW w:w="849"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10.7%</w:t>
            </w:r>
          </w:p>
        </w:tc>
        <w:tc>
          <w:tcPr>
            <w:tcW w:w="92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89.6%</w:t>
            </w:r>
          </w:p>
        </w:tc>
        <w:tc>
          <w:tcPr>
            <w:tcW w:w="1125"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7.9%</w:t>
            </w:r>
          </w:p>
        </w:tc>
        <w:tc>
          <w:tcPr>
            <w:tcW w:w="900" w:type="dxa"/>
            <w:tcBorders>
              <w:top w:val="single" w:color="4F81BD" w:sz="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eastAsia="宋体" w:cs="宋体"/>
          <w:b/>
          <w:color w:val="auto"/>
          <w:kern w:val="2"/>
          <w:sz w:val="30"/>
          <w:szCs w:val="30"/>
          <w:lang w:val="en-US" w:eastAsia="zh-CN" w:bidi="ar-SA"/>
        </w:rPr>
      </w:pPr>
      <w:bookmarkStart w:id="17" w:name="_Toc8079"/>
      <w:bookmarkStart w:id="18" w:name="_Toc31376"/>
      <w:bookmarkStart w:id="19" w:name="_Toc26196"/>
      <w:r>
        <w:rPr>
          <w:rFonts w:hint="eastAsia" w:ascii="宋体" w:hAnsi="宋体" w:eastAsia="宋体" w:cs="宋体"/>
          <w:b/>
          <w:color w:val="auto"/>
          <w:kern w:val="2"/>
          <w:sz w:val="30"/>
          <w:szCs w:val="30"/>
          <w:lang w:val="en-US" w:eastAsia="zh-CN" w:bidi="ar-SA"/>
        </w:rPr>
        <w:t>2．学生发展</w:t>
      </w:r>
      <w:bookmarkEnd w:id="17"/>
      <w:bookmarkEnd w:id="18"/>
      <w:bookmarkEnd w:id="19"/>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20" w:name="_Toc15904"/>
      <w:bookmarkStart w:id="21" w:name="_Toc5083"/>
      <w:bookmarkStart w:id="22" w:name="_Toc15703"/>
      <w:r>
        <w:rPr>
          <w:rFonts w:hint="eastAsia" w:ascii="宋体" w:hAnsi="宋体" w:eastAsia="宋体" w:cs="宋体"/>
          <w:b/>
          <w:color w:val="auto"/>
          <w:kern w:val="2"/>
          <w:sz w:val="28"/>
          <w:szCs w:val="28"/>
          <w:lang w:val="en-US" w:eastAsia="zh-CN" w:bidi="ar-SA"/>
        </w:rPr>
        <w:t>2.1 学生素质</w:t>
      </w:r>
      <w:bookmarkEnd w:id="20"/>
      <w:bookmarkEnd w:id="21"/>
      <w:bookmarkEnd w:id="22"/>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left="0" w:right="0" w:firstLine="482"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1.党建引领。</w:t>
      </w:r>
      <w:r>
        <w:rPr>
          <w:rFonts w:hint="eastAsia" w:ascii="宋体" w:hAnsi="宋体" w:eastAsia="宋体" w:cs="宋体"/>
          <w:color w:val="auto"/>
          <w:kern w:val="2"/>
          <w:sz w:val="24"/>
          <w:szCs w:val="24"/>
          <w:lang w:val="en-US" w:eastAsia="zh-CN" w:bidi="ar-SA"/>
        </w:rPr>
        <w:t>全市中职学校高度重视基层党组织建设，组织师生认真学习</w:t>
      </w:r>
      <w:r>
        <w:rPr>
          <w:rFonts w:hint="eastAsia" w:ascii="宋体" w:hAnsi="宋体" w:cs="宋体"/>
          <w:color w:val="auto"/>
          <w:kern w:val="2"/>
          <w:sz w:val="24"/>
          <w:szCs w:val="24"/>
          <w:lang w:val="en-US" w:eastAsia="zh-CN" w:bidi="ar-SA"/>
        </w:rPr>
        <w:t>贯彻</w:t>
      </w:r>
      <w:r>
        <w:rPr>
          <w:rFonts w:hint="eastAsia" w:ascii="宋体" w:hAnsi="宋体" w:eastAsia="宋体" w:cs="宋体"/>
          <w:color w:val="auto"/>
          <w:kern w:val="2"/>
          <w:sz w:val="24"/>
          <w:szCs w:val="24"/>
          <w:lang w:val="en-US" w:eastAsia="zh-CN" w:bidi="ar-SA"/>
        </w:rPr>
        <w:t>习近平新时代中国特色社会主义思想和中国共产党第二十次全国代表大会精神，进一步加强基层党组织标准化建设及党的思想建设、组织建设、作风建设、制度建设和反腐倡廉建设，使基层党组织的战斗堡垒作用和党员的先锋模范作用得到了更好</w:t>
      </w:r>
      <w:r>
        <w:rPr>
          <w:rFonts w:hint="eastAsia" w:ascii="宋体" w:hAnsi="宋体" w:cs="宋体"/>
          <w:color w:val="auto"/>
          <w:kern w:val="2"/>
          <w:sz w:val="24"/>
          <w:szCs w:val="24"/>
          <w:lang w:val="en-US" w:eastAsia="zh-CN" w:bidi="ar-SA"/>
        </w:rPr>
        <w:t>的</w:t>
      </w:r>
      <w:r>
        <w:rPr>
          <w:rFonts w:hint="eastAsia" w:ascii="宋体" w:hAnsi="宋体" w:eastAsia="宋体" w:cs="宋体"/>
          <w:color w:val="auto"/>
          <w:kern w:val="2"/>
          <w:sz w:val="24"/>
          <w:szCs w:val="24"/>
          <w:lang w:val="en-US" w:eastAsia="zh-CN" w:bidi="ar-SA"/>
        </w:rPr>
        <w:t>发挥。</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center"/>
        <w:textAlignment w:val="auto"/>
        <w:outlineLvl w:val="9"/>
        <w:rPr>
          <w:rFonts w:hint="eastAsia" w:ascii="宋体" w:hAnsi="宋体" w:eastAsia="宋体" w:cs="宋体"/>
          <w:color w:val="auto"/>
          <w:kern w:val="2"/>
          <w:sz w:val="24"/>
          <w:szCs w:val="24"/>
          <w:lang w:val="en-US" w:eastAsia="zh-CN" w:bidi="ar-SA"/>
        </w:rPr>
      </w:pPr>
      <w:r>
        <w:rPr>
          <w:rFonts w:hint="default" w:ascii="微软雅黑" w:hAnsi="微软雅黑" w:eastAsia="宋体" w:cs="微软雅黑"/>
          <w:b w:val="0"/>
          <w:i w:val="0"/>
          <w:iCs w:val="0"/>
          <w:caps w:val="0"/>
          <w:color w:val="auto"/>
          <w:spacing w:val="0"/>
          <w:kern w:val="0"/>
          <w:sz w:val="24"/>
          <w:szCs w:val="28"/>
          <w:highlight w:val="none"/>
          <w:shd w:val="clear" w:fill="FFFFFF"/>
          <w:lang w:val="en-US" w:eastAsia="zh-CN" w:bidi="ar"/>
        </w:rPr>
        <w:drawing>
          <wp:inline distT="0" distB="0" distL="114300" distR="114300">
            <wp:extent cx="5219700" cy="3321685"/>
            <wp:effectExtent l="0" t="0" r="0" b="12065"/>
            <wp:docPr id="8" name="图片 8" descr="少年中国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少年中国说"/>
                    <pic:cNvPicPr>
                      <a:picLocks noChangeAspect="1"/>
                    </pic:cNvPicPr>
                  </pic:nvPicPr>
                  <pic:blipFill>
                    <a:blip r:embed="rId17"/>
                    <a:srcRect t="1179"/>
                    <a:stretch>
                      <a:fillRect/>
                    </a:stretch>
                  </pic:blipFill>
                  <pic:spPr>
                    <a:xfrm>
                      <a:off x="0" y="0"/>
                      <a:ext cx="5219700" cy="33216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default" w:ascii="宋体" w:hAnsi="宋体" w:eastAsia="宋体" w:cs="黑体"/>
          <w:b/>
          <w:color w:val="auto"/>
          <w:kern w:val="24"/>
          <w:sz w:val="21"/>
          <w:szCs w:val="21"/>
          <w:lang w:val="en-US" w:eastAsia="zh-CN" w:bidi="zh-CN"/>
        </w:rPr>
      </w:pPr>
      <w:bookmarkStart w:id="23" w:name="_Toc22870"/>
      <w:r>
        <w:rPr>
          <w:rFonts w:hint="eastAsia" w:ascii="宋体" w:hAnsi="宋体" w:eastAsia="宋体" w:cs="黑体"/>
          <w:b/>
          <w:color w:val="auto"/>
          <w:kern w:val="24"/>
          <w:sz w:val="21"/>
          <w:szCs w:val="21"/>
          <w:lang w:val="zh-CN" w:bidi="zh-CN"/>
        </w:rPr>
        <w:t>图</w:t>
      </w:r>
      <w:r>
        <w:rPr>
          <w:rFonts w:hint="eastAsia" w:ascii="宋体" w:hAnsi="宋体" w:cs="黑体"/>
          <w:b/>
          <w:color w:val="auto"/>
          <w:kern w:val="24"/>
          <w:sz w:val="21"/>
          <w:szCs w:val="21"/>
          <w:lang w:val="en-US" w:eastAsia="zh-CN" w:bidi="zh-CN"/>
        </w:rPr>
        <w:t>2</w:t>
      </w:r>
      <w:r>
        <w:rPr>
          <w:rFonts w:hint="eastAsia" w:ascii="宋体" w:hAnsi="宋体" w:eastAsia="宋体" w:cs="黑体"/>
          <w:b/>
          <w:color w:val="auto"/>
          <w:kern w:val="24"/>
          <w:sz w:val="21"/>
          <w:szCs w:val="21"/>
          <w:lang w:val="zh-CN" w:bidi="zh-CN"/>
        </w:rPr>
        <w:t xml:space="preserve">-1  </w:t>
      </w:r>
      <w:r>
        <w:rPr>
          <w:rFonts w:hint="eastAsia" w:ascii="宋体" w:hAnsi="宋体" w:cs="黑体"/>
          <w:b/>
          <w:color w:val="auto"/>
          <w:kern w:val="24"/>
          <w:sz w:val="21"/>
          <w:szCs w:val="21"/>
          <w:lang w:val="en-US" w:bidi="zh-CN"/>
        </w:rPr>
        <w:t>汾阳市高级职业中学学生</w:t>
      </w:r>
      <w:r>
        <w:rPr>
          <w:rFonts w:hint="eastAsia" w:ascii="宋体" w:hAnsi="宋体" w:cs="黑体"/>
          <w:b/>
          <w:color w:val="auto"/>
          <w:kern w:val="24"/>
          <w:sz w:val="21"/>
          <w:szCs w:val="21"/>
          <w:lang w:val="en-US" w:eastAsia="zh-CN" w:bidi="zh-CN"/>
        </w:rPr>
        <w:t>参加吕梁市中华经典诵写讲活动</w:t>
      </w:r>
      <w:bookmarkEnd w:id="23"/>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left="0" w:right="0" w:firstLine="482"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2.立德树人。</w:t>
      </w:r>
      <w:r>
        <w:rPr>
          <w:rFonts w:hint="eastAsia" w:ascii="宋体" w:hAnsi="宋体" w:eastAsia="宋体" w:cs="宋体"/>
          <w:color w:val="auto"/>
          <w:kern w:val="2"/>
          <w:sz w:val="24"/>
          <w:szCs w:val="24"/>
          <w:lang w:val="en-US" w:eastAsia="zh-CN" w:bidi="ar-SA"/>
        </w:rPr>
        <w:t>各中职学校</w:t>
      </w:r>
      <w:r>
        <w:rPr>
          <w:rFonts w:hint="eastAsia" w:ascii="宋体" w:hAnsi="宋体" w:cs="宋体"/>
          <w:color w:val="auto"/>
          <w:kern w:val="2"/>
          <w:sz w:val="24"/>
          <w:szCs w:val="24"/>
          <w:lang w:val="en-US" w:eastAsia="zh-CN" w:bidi="ar-SA"/>
        </w:rPr>
        <w:t>积极开展</w:t>
      </w:r>
      <w:r>
        <w:rPr>
          <w:rFonts w:hint="eastAsia" w:ascii="宋体" w:hAnsi="宋体" w:eastAsia="宋体" w:cs="宋体"/>
          <w:color w:val="auto"/>
          <w:kern w:val="2"/>
          <w:sz w:val="24"/>
          <w:szCs w:val="24"/>
          <w:lang w:val="en-US" w:eastAsia="zh-CN" w:bidi="ar-SA"/>
        </w:rPr>
        <w:t>校园文化艺术节</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文明风采活动，</w:t>
      </w:r>
      <w:r>
        <w:rPr>
          <w:rFonts w:hint="eastAsia" w:ascii="宋体" w:hAnsi="宋体" w:cs="宋体"/>
          <w:color w:val="auto"/>
          <w:kern w:val="2"/>
          <w:sz w:val="24"/>
          <w:szCs w:val="24"/>
          <w:lang w:val="en-US" w:eastAsia="zh-CN" w:bidi="ar-SA"/>
        </w:rPr>
        <w:t>组织</w:t>
      </w:r>
      <w:r>
        <w:rPr>
          <w:rFonts w:hint="eastAsia" w:ascii="宋体" w:hAnsi="宋体" w:eastAsia="宋体" w:cs="宋体"/>
          <w:color w:val="auto"/>
          <w:kern w:val="2"/>
          <w:sz w:val="24"/>
          <w:szCs w:val="24"/>
          <w:lang w:val="en-US" w:eastAsia="zh-CN" w:bidi="ar-SA"/>
        </w:rPr>
        <w:t>“红色教育”“养成教育”“匠心教育”等主题</w:t>
      </w:r>
      <w:r>
        <w:rPr>
          <w:rFonts w:hint="eastAsia" w:ascii="宋体" w:hAnsi="宋体" w:cs="宋体"/>
          <w:color w:val="auto"/>
          <w:kern w:val="2"/>
          <w:sz w:val="24"/>
          <w:szCs w:val="24"/>
          <w:lang w:val="en-US" w:eastAsia="zh-CN" w:bidi="ar-SA"/>
        </w:rPr>
        <w:t>教育</w:t>
      </w:r>
      <w:r>
        <w:rPr>
          <w:rFonts w:hint="eastAsia" w:ascii="宋体" w:hAnsi="宋体" w:eastAsia="宋体" w:cs="宋体"/>
          <w:color w:val="auto"/>
          <w:kern w:val="2"/>
          <w:sz w:val="24"/>
          <w:szCs w:val="24"/>
          <w:lang w:val="en-US" w:eastAsia="zh-CN" w:bidi="ar-SA"/>
        </w:rPr>
        <w:t>活动，落实立德树人根本任务，引导广大青少年学生树立正确的人生观、</w:t>
      </w:r>
      <w:r>
        <w:rPr>
          <w:rFonts w:hint="eastAsia" w:ascii="宋体" w:hAnsi="宋体" w:cs="宋体"/>
          <w:color w:val="auto"/>
          <w:kern w:val="2"/>
          <w:sz w:val="24"/>
          <w:szCs w:val="24"/>
          <w:lang w:val="en-US" w:eastAsia="zh-CN" w:bidi="ar-SA"/>
        </w:rPr>
        <w:t>世界观、</w:t>
      </w:r>
      <w:r>
        <w:rPr>
          <w:rFonts w:hint="eastAsia" w:ascii="宋体" w:hAnsi="宋体" w:eastAsia="宋体" w:cs="宋体"/>
          <w:color w:val="auto"/>
          <w:kern w:val="2"/>
          <w:sz w:val="24"/>
          <w:szCs w:val="24"/>
          <w:lang w:val="en-US" w:eastAsia="zh-CN" w:bidi="ar-SA"/>
        </w:rPr>
        <w:t>价值观。孝义市职教中心王鹂帆班主任工作室、中阳县职业学校范艳梅班主任工作室、山西省徐特立高级职业中学郝元中班主任工作室被评为全省中等职业学校名班主任工作室获奖建设单位。</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center"/>
        <w:textAlignment w:val="auto"/>
        <w:outlineLvl w:val="9"/>
        <w:rPr>
          <w:rFonts w:hint="eastAsia" w:ascii="宋体" w:hAnsi="宋体" w:eastAsia="宋体" w:cs="宋体"/>
          <w:color w:val="auto"/>
          <w:kern w:val="2"/>
          <w:sz w:val="24"/>
          <w:szCs w:val="24"/>
          <w:lang w:val="en-US" w:eastAsia="zh-CN" w:bidi="ar-SA"/>
        </w:rPr>
      </w:pPr>
      <w:r>
        <w:rPr>
          <w:rFonts w:hint="eastAsia" w:ascii="仿宋" w:hAnsi="仿宋" w:eastAsia="仿宋" w:cs="仿宋"/>
          <w:color w:val="000000"/>
          <w:kern w:val="0"/>
          <w:sz w:val="32"/>
          <w:szCs w:val="32"/>
          <w:lang w:val="en-US" w:eastAsia="zh-CN" w:bidi="ar"/>
        </w:rPr>
        <w:drawing>
          <wp:inline distT="0" distB="0" distL="114300" distR="114300">
            <wp:extent cx="4679950" cy="2790190"/>
            <wp:effectExtent l="0" t="0" r="6350" b="10160"/>
            <wp:docPr id="64" name="图片 64" descr="77090300990032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770903009900322838"/>
                    <pic:cNvPicPr>
                      <a:picLocks noChangeAspect="1"/>
                    </pic:cNvPicPr>
                  </pic:nvPicPr>
                  <pic:blipFill>
                    <a:blip r:embed="rId18"/>
                    <a:stretch>
                      <a:fillRect/>
                    </a:stretch>
                  </pic:blipFill>
                  <pic:spPr>
                    <a:xfrm>
                      <a:off x="0" y="0"/>
                      <a:ext cx="4679950" cy="279019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default" w:ascii="宋体" w:hAnsi="宋体" w:eastAsia="宋体" w:cs="黑体"/>
          <w:b/>
          <w:color w:val="auto"/>
          <w:kern w:val="24"/>
          <w:sz w:val="21"/>
          <w:szCs w:val="21"/>
          <w:lang w:val="en-US" w:eastAsia="zh-CN" w:bidi="zh-CN"/>
        </w:rPr>
      </w:pPr>
      <w:bookmarkStart w:id="24" w:name="_Toc15617"/>
      <w:r>
        <w:rPr>
          <w:rFonts w:hint="eastAsia" w:ascii="宋体" w:hAnsi="宋体" w:eastAsia="宋体" w:cs="黑体"/>
          <w:b/>
          <w:color w:val="auto"/>
          <w:kern w:val="24"/>
          <w:sz w:val="21"/>
          <w:szCs w:val="21"/>
          <w:lang w:val="zh-CN" w:bidi="zh-CN"/>
        </w:rPr>
        <w:t>图</w:t>
      </w:r>
      <w:r>
        <w:rPr>
          <w:rFonts w:hint="eastAsia" w:ascii="宋体" w:hAnsi="宋体" w:cs="黑体"/>
          <w:b/>
          <w:color w:val="auto"/>
          <w:kern w:val="24"/>
          <w:sz w:val="21"/>
          <w:szCs w:val="21"/>
          <w:lang w:val="en-US" w:eastAsia="zh-CN" w:bidi="zh-CN"/>
        </w:rPr>
        <w:t>2</w:t>
      </w:r>
      <w:r>
        <w:rPr>
          <w:rFonts w:hint="eastAsia" w:ascii="宋体" w:hAnsi="宋体" w:eastAsia="宋体" w:cs="黑体"/>
          <w:b/>
          <w:color w:val="auto"/>
          <w:kern w:val="24"/>
          <w:sz w:val="21"/>
          <w:szCs w:val="21"/>
          <w:lang w:val="zh-CN" w:bidi="zh-CN"/>
        </w:rPr>
        <w:t>-</w:t>
      </w:r>
      <w:r>
        <w:rPr>
          <w:rFonts w:hint="eastAsia" w:ascii="宋体" w:hAnsi="宋体" w:cs="黑体"/>
          <w:b/>
          <w:color w:val="auto"/>
          <w:kern w:val="24"/>
          <w:sz w:val="21"/>
          <w:szCs w:val="21"/>
          <w:lang w:val="en-US" w:bidi="zh-CN"/>
        </w:rPr>
        <w:t>2</w:t>
      </w:r>
      <w:r>
        <w:rPr>
          <w:rFonts w:hint="eastAsia" w:ascii="宋体" w:hAnsi="宋体" w:eastAsia="宋体" w:cs="黑体"/>
          <w:b/>
          <w:color w:val="auto"/>
          <w:kern w:val="24"/>
          <w:sz w:val="21"/>
          <w:szCs w:val="21"/>
          <w:lang w:val="zh-CN" w:bidi="zh-CN"/>
        </w:rPr>
        <w:t xml:space="preserve">  </w:t>
      </w:r>
      <w:r>
        <w:rPr>
          <w:rFonts w:hint="eastAsia" w:ascii="宋体" w:hAnsi="宋体" w:cs="黑体"/>
          <w:b/>
          <w:color w:val="auto"/>
          <w:kern w:val="24"/>
          <w:sz w:val="21"/>
          <w:szCs w:val="21"/>
          <w:lang w:val="en-US" w:bidi="zh-CN"/>
        </w:rPr>
        <w:t>山西徐特立高级职业中学职教活动周</w:t>
      </w:r>
      <w:bookmarkEnd w:id="24"/>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5月份，全市中职学校开展了以“技能 让生活更美好”为主题的</w:t>
      </w:r>
      <w:r>
        <w:rPr>
          <w:rFonts w:hint="eastAsia" w:ascii="宋体" w:hAnsi="宋体" w:cs="宋体"/>
          <w:color w:val="auto"/>
          <w:kern w:val="2"/>
          <w:sz w:val="24"/>
          <w:szCs w:val="24"/>
          <w:lang w:val="en-US" w:eastAsia="zh-CN" w:bidi="ar-SA"/>
        </w:rPr>
        <w:t>职教活动周系列活动，</w:t>
      </w:r>
      <w:r>
        <w:rPr>
          <w:rFonts w:hint="eastAsia" w:ascii="宋体" w:hAnsi="宋体" w:eastAsia="宋体" w:cs="宋体"/>
          <w:color w:val="auto"/>
          <w:kern w:val="2"/>
          <w:sz w:val="24"/>
          <w:szCs w:val="24"/>
          <w:lang w:val="en-US" w:eastAsia="zh-CN" w:bidi="ar-SA"/>
        </w:rPr>
        <w:t>聚焦“提高质量，提升形象”，</w:t>
      </w:r>
      <w:r>
        <w:rPr>
          <w:rFonts w:hint="eastAsia" w:ascii="宋体" w:hAnsi="宋体" w:cs="宋体"/>
          <w:color w:val="auto"/>
          <w:kern w:val="2"/>
          <w:sz w:val="24"/>
          <w:szCs w:val="24"/>
          <w:lang w:val="en-US" w:eastAsia="zh-CN" w:bidi="ar-SA"/>
        </w:rPr>
        <w:t>通过</w:t>
      </w:r>
      <w:r>
        <w:rPr>
          <w:rFonts w:hint="eastAsia" w:ascii="宋体" w:hAnsi="宋体" w:eastAsia="宋体" w:cs="宋体"/>
          <w:color w:val="auto"/>
          <w:kern w:val="2"/>
          <w:sz w:val="24"/>
          <w:szCs w:val="24"/>
          <w:lang w:val="en-US" w:eastAsia="zh-CN" w:bidi="ar-SA"/>
        </w:rPr>
        <w:t>职业教育成果展演</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学生技能展演、学生才艺展演、优秀师生表彰</w:t>
      </w:r>
      <w:r>
        <w:rPr>
          <w:rFonts w:hint="eastAsia" w:ascii="宋体" w:hAnsi="宋体" w:cs="宋体"/>
          <w:color w:val="auto"/>
          <w:kern w:val="2"/>
          <w:sz w:val="24"/>
          <w:szCs w:val="24"/>
          <w:lang w:val="en-US" w:eastAsia="zh-CN" w:bidi="ar-SA"/>
        </w:rPr>
        <w:t>等形式多样的活动</w:t>
      </w:r>
      <w:r>
        <w:rPr>
          <w:rFonts w:hint="eastAsia" w:ascii="宋体" w:hAnsi="宋体" w:eastAsia="宋体" w:cs="宋体"/>
          <w:color w:val="auto"/>
          <w:kern w:val="2"/>
          <w:sz w:val="24"/>
          <w:szCs w:val="24"/>
          <w:lang w:val="en-US" w:eastAsia="zh-CN" w:bidi="ar-SA"/>
        </w:rPr>
        <w:t>，向社会各界展示学校办学成果</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宣传职业教育“前途广阔、大有可为”，引导社会各界关心支持职业教育，积极营造宣传</w:t>
      </w:r>
      <w:r>
        <w:rPr>
          <w:rFonts w:hint="eastAsia" w:ascii="宋体" w:hAnsi="宋体" w:cs="宋体"/>
          <w:color w:val="auto"/>
          <w:kern w:val="2"/>
          <w:sz w:val="24"/>
          <w:szCs w:val="24"/>
          <w:lang w:val="en-US" w:eastAsia="zh-CN" w:bidi="ar-SA"/>
        </w:rPr>
        <w:t>重视</w:t>
      </w:r>
      <w:r>
        <w:rPr>
          <w:rFonts w:hint="eastAsia" w:ascii="宋体" w:hAnsi="宋体" w:eastAsia="宋体" w:cs="宋体"/>
          <w:color w:val="auto"/>
          <w:kern w:val="2"/>
          <w:sz w:val="24"/>
          <w:szCs w:val="24"/>
          <w:lang w:val="en-US" w:eastAsia="zh-CN" w:bidi="ar-SA"/>
        </w:rPr>
        <w:t>职业教育的浓厚氛围。</w:t>
      </w:r>
      <w:r>
        <w:rPr>
          <w:rFonts w:hint="eastAsia" w:ascii="宋体" w:hAnsi="宋体" w:cs="宋体"/>
          <w:color w:val="auto"/>
          <w:kern w:val="2"/>
          <w:sz w:val="24"/>
          <w:szCs w:val="24"/>
          <w:lang w:val="en-US" w:eastAsia="zh-CN" w:bidi="ar-SA"/>
        </w:rPr>
        <w:t>在职教活动周期间</w:t>
      </w:r>
      <w:r>
        <w:rPr>
          <w:rFonts w:hint="eastAsia" w:ascii="宋体" w:hAnsi="宋体" w:eastAsia="宋体" w:cs="宋体"/>
          <w:color w:val="auto"/>
          <w:kern w:val="2"/>
          <w:sz w:val="24"/>
          <w:szCs w:val="24"/>
          <w:lang w:val="en-US" w:eastAsia="zh-CN" w:bidi="ar-SA"/>
        </w:rPr>
        <w:t>，各学校大力宣传劳模精神、劳动精神、工匠精神，弘扬劳动光荣、技能宝贵、创造伟大的时代风尚，不断深化校企</w:t>
      </w:r>
      <w:r>
        <w:rPr>
          <w:rFonts w:hint="eastAsia" w:ascii="宋体" w:hAnsi="宋体" w:cs="宋体"/>
          <w:color w:val="auto"/>
          <w:kern w:val="2"/>
          <w:sz w:val="24"/>
          <w:szCs w:val="24"/>
          <w:lang w:val="en-US" w:eastAsia="zh-CN" w:bidi="ar-SA"/>
        </w:rPr>
        <w:t>合作</w:t>
      </w:r>
      <w:r>
        <w:rPr>
          <w:rFonts w:hint="eastAsia" w:ascii="宋体" w:hAnsi="宋体" w:eastAsia="宋体" w:cs="宋体"/>
          <w:color w:val="auto"/>
          <w:kern w:val="2"/>
          <w:sz w:val="24"/>
          <w:szCs w:val="24"/>
          <w:lang w:val="en-US" w:eastAsia="zh-CN" w:bidi="ar-SA"/>
        </w:rPr>
        <w:t>、工学结合，</w:t>
      </w:r>
      <w:r>
        <w:rPr>
          <w:rFonts w:hint="eastAsia" w:ascii="宋体" w:hAnsi="宋体" w:cs="宋体"/>
          <w:color w:val="auto"/>
          <w:kern w:val="2"/>
          <w:sz w:val="24"/>
          <w:szCs w:val="24"/>
          <w:lang w:val="en-US" w:eastAsia="zh-CN" w:bidi="ar-SA"/>
        </w:rPr>
        <w:t>致力</w:t>
      </w:r>
      <w:r>
        <w:rPr>
          <w:rFonts w:hint="eastAsia" w:ascii="宋体" w:hAnsi="宋体" w:eastAsia="宋体" w:cs="宋体"/>
          <w:color w:val="auto"/>
          <w:kern w:val="2"/>
          <w:sz w:val="24"/>
          <w:szCs w:val="24"/>
          <w:lang w:val="en-US" w:eastAsia="zh-CN" w:bidi="ar-SA"/>
        </w:rPr>
        <w:t>培养更多高素质技术技能人才和能工巧匠、大国工匠。</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各中职学校积极</w:t>
      </w:r>
      <w:r>
        <w:rPr>
          <w:rFonts w:hint="eastAsia" w:ascii="宋体" w:hAnsi="宋体" w:cs="宋体"/>
          <w:color w:val="auto"/>
          <w:kern w:val="2"/>
          <w:sz w:val="24"/>
          <w:szCs w:val="24"/>
          <w:lang w:val="en-US" w:eastAsia="zh-CN" w:bidi="ar-SA"/>
        </w:rPr>
        <w:t>举办、</w:t>
      </w:r>
      <w:r>
        <w:rPr>
          <w:rFonts w:hint="eastAsia" w:ascii="宋体" w:hAnsi="宋体" w:eastAsia="宋体" w:cs="宋体"/>
          <w:color w:val="auto"/>
          <w:kern w:val="2"/>
          <w:sz w:val="24"/>
          <w:szCs w:val="24"/>
          <w:lang w:val="en-US" w:eastAsia="zh-CN" w:bidi="ar-SA"/>
        </w:rPr>
        <w:t>参加文明风采活动。2022年</w:t>
      </w:r>
      <w:r>
        <w:rPr>
          <w:rFonts w:hint="eastAsia" w:ascii="宋体" w:hAnsi="宋体" w:cs="宋体"/>
          <w:color w:val="auto"/>
          <w:kern w:val="2"/>
          <w:sz w:val="24"/>
          <w:szCs w:val="24"/>
          <w:lang w:val="en-US" w:eastAsia="zh-CN" w:bidi="ar-SA"/>
        </w:rPr>
        <w:t>，</w:t>
      </w:r>
      <w:r>
        <w:rPr>
          <w:rFonts w:hint="eastAsia" w:ascii="宋体" w:hAnsi="宋体" w:cs="宋体"/>
          <w:color w:val="000000" w:themeColor="text1"/>
          <w:kern w:val="2"/>
          <w:sz w:val="24"/>
          <w:szCs w:val="24"/>
          <w:lang w:val="en-US" w:eastAsia="zh-CN" w:bidi="ar-SA"/>
          <w14:textFill>
            <w14:solidFill>
              <w14:schemeClr w14:val="tx1"/>
            </w14:solidFill>
          </w14:textFill>
        </w:rPr>
        <w:t>我市</w:t>
      </w:r>
      <w:r>
        <w:rPr>
          <w:rFonts w:hint="eastAsia" w:ascii="宋体" w:hAnsi="宋体" w:eastAsia="宋体" w:cs="宋体"/>
          <w:color w:val="auto"/>
          <w:kern w:val="2"/>
          <w:sz w:val="24"/>
          <w:szCs w:val="24"/>
          <w:lang w:val="en-US" w:eastAsia="zh-CN" w:bidi="ar-SA"/>
        </w:rPr>
        <w:t>职业学校参加“文明风采”活动大赛</w:t>
      </w:r>
      <w:r>
        <w:rPr>
          <w:rFonts w:hint="eastAsia" w:ascii="宋体" w:hAnsi="宋体" w:cs="宋体"/>
          <w:color w:val="auto"/>
          <w:kern w:val="2"/>
          <w:sz w:val="24"/>
          <w:szCs w:val="24"/>
          <w:lang w:val="en-US" w:eastAsia="zh-CN" w:bidi="ar-SA"/>
        </w:rPr>
        <w:t>共有</w:t>
      </w:r>
      <w:r>
        <w:rPr>
          <w:rFonts w:hint="eastAsia" w:ascii="宋体" w:hAnsi="宋体" w:eastAsia="宋体" w:cs="宋体"/>
          <w:color w:val="auto"/>
          <w:kern w:val="2"/>
          <w:sz w:val="24"/>
          <w:szCs w:val="24"/>
          <w:lang w:val="en-US" w:eastAsia="zh-CN" w:bidi="ar-SA"/>
        </w:rPr>
        <w:t>30余件作品获奖，吕梁市教育局、孝义市职业教育中心、汾阳市高级职业中学获得优秀组织奖</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2023年</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全市将继续以“文明风采”竞赛活动为契机，进一步推动开展形式多样、丰富多彩的德育实践活动，推进文化育人、实践育人、活动育人。</w:t>
      </w:r>
    </w:p>
    <w:p>
      <w:pPr>
        <w:keepNext w:val="0"/>
        <w:keepLines w:val="0"/>
        <w:pageBreakBefore w:val="0"/>
        <w:widowControl w:val="0"/>
        <w:kinsoku/>
        <w:wordWrap/>
        <w:overflowPunct/>
        <w:topLinePunct w:val="0"/>
        <w:autoSpaceDE/>
        <w:autoSpaceDN/>
        <w:bidi w:val="0"/>
        <w:adjustRightInd/>
        <w:snapToGrid w:val="0"/>
        <w:spacing w:before="0" w:line="480" w:lineRule="exact"/>
        <w:ind w:left="0" w:righ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通过抽样问卷调查，全市中等职业学校在校生满意度90.2%，家长满意度89.7%；在校生课堂育人满意度88.5%，课外育人满意度92.8%，思想政治课教学满意度93.7%，公共基础课教学满意度89.3%，专业课教学满意度95.3%，应届毕业生满意度89.8%。</w:t>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default" w:ascii="宋体" w:hAnsi="宋体" w:eastAsia="宋体" w:cs="黑体"/>
          <w:b/>
          <w:color w:val="auto"/>
          <w:kern w:val="24"/>
          <w:sz w:val="21"/>
          <w:szCs w:val="21"/>
          <w:lang w:val="en-US" w:bidi="zh-CN"/>
        </w:rPr>
      </w:pPr>
      <w:bookmarkStart w:id="25" w:name="_Toc32030"/>
      <w:r>
        <w:rPr>
          <w:rFonts w:hint="eastAsia" w:ascii="宋体" w:hAnsi="宋体" w:eastAsia="宋体" w:cs="黑体"/>
          <w:b/>
          <w:color w:val="auto"/>
          <w:kern w:val="24"/>
          <w:sz w:val="21"/>
          <w:szCs w:val="21"/>
          <w:lang w:val="en-US" w:eastAsia="zh-CN" w:bidi="zh-CN"/>
        </w:rPr>
        <w:t>表</w:t>
      </w:r>
      <w:r>
        <w:rPr>
          <w:rFonts w:hint="eastAsia" w:ascii="宋体" w:hAnsi="宋体" w:cs="黑体"/>
          <w:b/>
          <w:color w:val="auto"/>
          <w:kern w:val="24"/>
          <w:sz w:val="21"/>
          <w:szCs w:val="21"/>
          <w:lang w:val="en-US" w:eastAsia="zh-CN" w:bidi="zh-CN"/>
        </w:rPr>
        <w:t>2</w:t>
      </w:r>
      <w:r>
        <w:rPr>
          <w:rFonts w:hint="eastAsia" w:ascii="宋体" w:hAnsi="宋体" w:eastAsia="宋体" w:cs="黑体"/>
          <w:b/>
          <w:color w:val="auto"/>
          <w:kern w:val="24"/>
          <w:sz w:val="21"/>
          <w:szCs w:val="21"/>
          <w:lang w:val="en-US" w:eastAsia="zh-CN" w:bidi="zh-CN"/>
        </w:rPr>
        <w:t>-</w:t>
      </w:r>
      <w:r>
        <w:rPr>
          <w:rFonts w:hint="eastAsia" w:ascii="宋体" w:hAnsi="宋体" w:cs="黑体"/>
          <w:b/>
          <w:color w:val="auto"/>
          <w:kern w:val="24"/>
          <w:sz w:val="21"/>
          <w:szCs w:val="21"/>
          <w:lang w:val="en-US" w:eastAsia="zh-CN" w:bidi="zh-CN"/>
        </w:rPr>
        <w:t>1</w:t>
      </w:r>
      <w:r>
        <w:rPr>
          <w:rFonts w:hint="eastAsia" w:ascii="宋体" w:hAnsi="宋体" w:eastAsia="宋体" w:cs="黑体"/>
          <w:b/>
          <w:color w:val="auto"/>
          <w:kern w:val="24"/>
          <w:sz w:val="21"/>
          <w:szCs w:val="21"/>
          <w:lang w:val="en-US" w:eastAsia="zh-CN" w:bidi="zh-CN"/>
        </w:rPr>
        <w:t xml:space="preserve">  </w:t>
      </w:r>
      <w:r>
        <w:rPr>
          <w:rFonts w:hint="eastAsia" w:ascii="宋体" w:hAnsi="宋体" w:cs="黑体"/>
          <w:b/>
          <w:color w:val="auto"/>
          <w:kern w:val="24"/>
          <w:sz w:val="21"/>
          <w:szCs w:val="21"/>
          <w:lang w:val="en-US" w:eastAsia="zh-CN" w:bidi="zh-CN"/>
        </w:rPr>
        <w:t>全市中职学校学生、家长满意度调查统计表</w:t>
      </w:r>
      <w:bookmarkEnd w:id="25"/>
    </w:p>
    <w:tbl>
      <w:tblPr>
        <w:tblStyle w:val="24"/>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47"/>
        <w:gridCol w:w="1302"/>
        <w:gridCol w:w="1303"/>
        <w:gridCol w:w="1303"/>
        <w:gridCol w:w="1303"/>
        <w:gridCol w:w="1084"/>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69"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在校生满意度</w:t>
            </w:r>
          </w:p>
        </w:tc>
        <w:tc>
          <w:tcPr>
            <w:tcW w:w="466"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家长满意度</w:t>
            </w:r>
          </w:p>
        </w:tc>
        <w:tc>
          <w:tcPr>
            <w:tcW w:w="716"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在校生课堂育人满意度</w:t>
            </w:r>
          </w:p>
        </w:tc>
        <w:tc>
          <w:tcPr>
            <w:tcW w:w="71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在校生课外育人满意度</w:t>
            </w:r>
          </w:p>
        </w:tc>
        <w:tc>
          <w:tcPr>
            <w:tcW w:w="71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思想政治课教学满意度</w:t>
            </w:r>
          </w:p>
        </w:tc>
        <w:tc>
          <w:tcPr>
            <w:tcW w:w="71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公共基础课教学满意度</w:t>
            </w:r>
          </w:p>
        </w:tc>
        <w:tc>
          <w:tcPr>
            <w:tcW w:w="59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专业课教学满意度</w:t>
            </w:r>
          </w:p>
        </w:tc>
        <w:tc>
          <w:tcPr>
            <w:tcW w:w="597" w:type="pct"/>
            <w:tcBorders>
              <w:top w:val="single" w:color="4F81BD" w:sz="8" w:space="0"/>
              <w:left w:val="single" w:color="4F81BD" w:sz="8" w:space="0"/>
              <w:bottom w:val="single" w:color="FFFFFF" w:sz="18" w:space="0"/>
              <w:right w:val="single" w:color="4F81BD" w:sz="8" w:space="0"/>
            </w:tcBorders>
            <w:shd w:val="clear" w:color="auto" w:fill="4F81BD"/>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b/>
                <w:bCs/>
                <w:color w:val="FFFFFF"/>
                <w:sz w:val="21"/>
                <w:szCs w:val="21"/>
              </w:rPr>
            </w:pPr>
            <w:r>
              <w:rPr>
                <w:rFonts w:hint="eastAsia" w:ascii="宋体" w:hAnsi="宋体" w:eastAsia="宋体" w:cs="宋体"/>
                <w:b/>
                <w:bCs/>
                <w:color w:val="FFFFFF"/>
                <w:kern w:val="2"/>
                <w:sz w:val="21"/>
                <w:szCs w:val="21"/>
                <w:lang w:val="en-US" w:eastAsia="zh-CN" w:bidi="ar-SA"/>
              </w:rPr>
              <w:t>应届毕业生满意度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69"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90.2%</w:t>
            </w:r>
          </w:p>
        </w:tc>
        <w:tc>
          <w:tcPr>
            <w:tcW w:w="466"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89.7%</w:t>
            </w:r>
          </w:p>
        </w:tc>
        <w:tc>
          <w:tcPr>
            <w:tcW w:w="716"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88.5%</w:t>
            </w:r>
          </w:p>
        </w:tc>
        <w:tc>
          <w:tcPr>
            <w:tcW w:w="71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kern w:val="2"/>
                <w:sz w:val="21"/>
                <w:szCs w:val="21"/>
                <w:lang w:val="en-US" w:eastAsia="zh-CN" w:bidi="ar-SA"/>
              </w:rPr>
              <w:t>92.8%</w:t>
            </w:r>
          </w:p>
        </w:tc>
        <w:tc>
          <w:tcPr>
            <w:tcW w:w="71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93.7%</w:t>
            </w:r>
          </w:p>
        </w:tc>
        <w:tc>
          <w:tcPr>
            <w:tcW w:w="71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89</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val="en-US" w:eastAsia="zh-CN"/>
              </w:rPr>
              <w:t>%</w:t>
            </w:r>
          </w:p>
        </w:tc>
        <w:tc>
          <w:tcPr>
            <w:tcW w:w="59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95</w:t>
            </w:r>
            <w:r>
              <w:rPr>
                <w:rFonts w:hint="eastAsia" w:ascii="宋体" w:hAnsi="宋体" w:eastAsia="宋体" w:cs="宋体"/>
                <w:color w:val="000000"/>
                <w:sz w:val="21"/>
                <w:szCs w:val="21"/>
                <w:lang w:val="en-US" w:eastAsia="zh-CN"/>
              </w:rPr>
              <w:t>.3</w:t>
            </w:r>
            <w:r>
              <w:rPr>
                <w:rFonts w:hint="eastAsia" w:ascii="宋体" w:hAnsi="宋体" w:cs="宋体"/>
                <w:color w:val="000000"/>
                <w:sz w:val="21"/>
                <w:szCs w:val="21"/>
                <w:lang w:val="en-US" w:eastAsia="zh-CN"/>
              </w:rPr>
              <w:t>%</w:t>
            </w:r>
          </w:p>
        </w:tc>
        <w:tc>
          <w:tcPr>
            <w:tcW w:w="597" w:type="pct"/>
            <w:tcBorders>
              <w:top w:val="single" w:color="FFFFFF" w:sz="18" w:space="0"/>
              <w:left w:val="single" w:color="4F81BD" w:sz="8" w:space="0"/>
              <w:bottom w:val="single" w:color="4F81BD" w:sz="8" w:space="0"/>
              <w:right w:val="single" w:color="4F81BD" w:sz="8" w:space="0"/>
            </w:tcBorders>
            <w:shd w:val="clear" w:color="auto" w:fill="B8CCE4"/>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r>
              <w:rPr>
                <w:rFonts w:hint="eastAsia" w:ascii="宋体" w:hAnsi="宋体" w:cs="宋体"/>
                <w:color w:val="000000"/>
                <w:sz w:val="21"/>
                <w:szCs w:val="21"/>
                <w:lang w:val="en-US" w:eastAsia="zh-CN"/>
              </w:rPr>
              <w:t>9</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8</w:t>
            </w:r>
            <w:r>
              <w:rPr>
                <w:rFonts w:hint="eastAsia" w:ascii="宋体" w:hAnsi="宋体" w:eastAsia="宋体" w:cs="宋体"/>
                <w:color w:val="000000"/>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26" w:name="_Toc31158"/>
      <w:bookmarkStart w:id="27" w:name="_Toc23815"/>
      <w:bookmarkStart w:id="28" w:name="_Toc9497"/>
      <w:r>
        <w:rPr>
          <w:rFonts w:hint="eastAsia" w:ascii="宋体" w:hAnsi="宋体" w:eastAsia="宋体" w:cs="宋体"/>
          <w:b/>
          <w:color w:val="auto"/>
          <w:kern w:val="2"/>
          <w:sz w:val="28"/>
          <w:szCs w:val="28"/>
          <w:lang w:val="en-US" w:eastAsia="zh-CN" w:bidi="ar-SA"/>
        </w:rPr>
        <w:t>2.2 就业质量</w:t>
      </w:r>
      <w:bookmarkEnd w:id="26"/>
      <w:bookmarkEnd w:id="27"/>
      <w:bookmarkEnd w:id="28"/>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left="0" w:right="0" w:firstLine="482"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一是升学人数有所提高。</w:t>
      </w:r>
      <w:r>
        <w:rPr>
          <w:rFonts w:hint="eastAsia" w:ascii="宋体" w:hAnsi="宋体" w:cs="宋体"/>
          <w:b w:val="0"/>
          <w:bCs w:val="0"/>
          <w:color w:val="auto"/>
          <w:kern w:val="2"/>
          <w:sz w:val="24"/>
          <w:szCs w:val="24"/>
          <w:lang w:val="en-US" w:eastAsia="zh-CN" w:bidi="ar-SA"/>
        </w:rPr>
        <w:t>2022年，</w:t>
      </w:r>
      <w:r>
        <w:rPr>
          <w:rFonts w:hint="eastAsia" w:ascii="宋体" w:hAnsi="宋体" w:eastAsia="宋体" w:cs="宋体"/>
          <w:color w:val="auto"/>
          <w:kern w:val="2"/>
          <w:sz w:val="24"/>
          <w:szCs w:val="24"/>
          <w:lang w:val="en-US" w:eastAsia="zh-CN" w:bidi="ar-SA"/>
        </w:rPr>
        <w:t>全市</w:t>
      </w:r>
      <w:r>
        <w:rPr>
          <w:rFonts w:hint="eastAsia" w:ascii="宋体" w:hAnsi="宋体" w:cs="宋体"/>
          <w:color w:val="auto"/>
          <w:kern w:val="2"/>
          <w:sz w:val="24"/>
          <w:szCs w:val="24"/>
          <w:lang w:val="en-US" w:eastAsia="zh-CN" w:bidi="ar-SA"/>
        </w:rPr>
        <w:t>共</w:t>
      </w:r>
      <w:r>
        <w:rPr>
          <w:rFonts w:hint="eastAsia" w:ascii="宋体" w:hAnsi="宋体" w:eastAsia="宋体" w:cs="宋体"/>
          <w:color w:val="auto"/>
          <w:kern w:val="2"/>
          <w:sz w:val="24"/>
          <w:szCs w:val="24"/>
          <w:lang w:val="en-US" w:eastAsia="zh-CN" w:bidi="ar-SA"/>
        </w:rPr>
        <w:t>7535</w:t>
      </w:r>
      <w:r>
        <w:rPr>
          <w:rFonts w:hint="eastAsia" w:ascii="宋体" w:hAnsi="宋体" w:cs="宋体"/>
          <w:color w:val="auto"/>
          <w:kern w:val="2"/>
          <w:sz w:val="24"/>
          <w:szCs w:val="24"/>
          <w:lang w:val="en-US" w:eastAsia="zh-CN" w:bidi="ar-SA"/>
        </w:rPr>
        <w:t>名</w:t>
      </w:r>
      <w:r>
        <w:rPr>
          <w:rFonts w:hint="eastAsia" w:ascii="宋体" w:hAnsi="宋体" w:eastAsia="宋体" w:cs="宋体"/>
          <w:color w:val="auto"/>
          <w:kern w:val="2"/>
          <w:sz w:val="24"/>
          <w:szCs w:val="24"/>
          <w:lang w:val="en-US" w:eastAsia="zh-CN" w:bidi="ar-SA"/>
        </w:rPr>
        <w:t>毕业生</w:t>
      </w:r>
      <w:r>
        <w:rPr>
          <w:rFonts w:hint="eastAsia" w:ascii="宋体" w:hAnsi="宋体" w:cs="宋体"/>
          <w:color w:val="auto"/>
          <w:kern w:val="2"/>
          <w:sz w:val="24"/>
          <w:szCs w:val="24"/>
          <w:lang w:val="en-US" w:eastAsia="zh-CN" w:bidi="ar-SA"/>
        </w:rPr>
        <w:t>，其中</w:t>
      </w:r>
      <w:r>
        <w:rPr>
          <w:rFonts w:hint="eastAsia" w:ascii="宋体" w:hAnsi="宋体" w:eastAsia="宋体" w:cs="宋体"/>
          <w:color w:val="auto"/>
          <w:kern w:val="2"/>
          <w:sz w:val="24"/>
          <w:szCs w:val="24"/>
          <w:lang w:val="en-US" w:eastAsia="zh-CN" w:bidi="ar-SA"/>
        </w:rPr>
        <w:t>6003</w:t>
      </w:r>
      <w:r>
        <w:rPr>
          <w:rFonts w:hint="eastAsia" w:ascii="宋体" w:hAnsi="宋体" w:cs="宋体"/>
          <w:color w:val="auto"/>
          <w:kern w:val="2"/>
          <w:sz w:val="24"/>
          <w:szCs w:val="24"/>
          <w:lang w:val="en-US" w:eastAsia="zh-CN" w:bidi="ar-SA"/>
        </w:rPr>
        <w:t>名</w:t>
      </w:r>
      <w:r>
        <w:rPr>
          <w:rFonts w:hint="eastAsia" w:ascii="宋体" w:hAnsi="宋体" w:eastAsia="宋体" w:cs="宋体"/>
          <w:color w:val="auto"/>
          <w:kern w:val="2"/>
          <w:sz w:val="24"/>
          <w:szCs w:val="24"/>
          <w:lang w:val="en-US" w:eastAsia="zh-CN" w:bidi="ar-SA"/>
        </w:rPr>
        <w:t>通过普通高考、对口升学、五年一贯制、贯通培养等方式升入各类高一级学校</w:t>
      </w:r>
      <w:r>
        <w:rPr>
          <w:rFonts w:hint="eastAsia" w:ascii="宋体" w:hAnsi="宋体" w:cs="宋体"/>
          <w:color w:val="auto"/>
          <w:kern w:val="2"/>
          <w:sz w:val="24"/>
          <w:szCs w:val="24"/>
          <w:lang w:val="en-US" w:eastAsia="zh-CN" w:bidi="ar-SA"/>
        </w:rPr>
        <w:t>深造</w:t>
      </w:r>
      <w:r>
        <w:rPr>
          <w:rFonts w:hint="eastAsia" w:ascii="宋体" w:hAnsi="宋体" w:eastAsia="宋体" w:cs="宋体"/>
          <w:color w:val="auto"/>
          <w:kern w:val="2"/>
          <w:sz w:val="24"/>
          <w:szCs w:val="24"/>
          <w:lang w:val="en-US" w:eastAsia="zh-CN" w:bidi="ar-SA"/>
        </w:rPr>
        <w:t>，较2021年增加882人，升学率从2021年的78%提高到80％，其中：对口升学2617人、普通高考录取2488人。</w:t>
      </w:r>
      <w:r>
        <w:rPr>
          <w:rFonts w:hint="eastAsia" w:ascii="宋体" w:hAnsi="宋体" w:cs="宋体"/>
          <w:color w:val="auto"/>
          <w:kern w:val="2"/>
          <w:sz w:val="24"/>
          <w:szCs w:val="24"/>
          <w:lang w:val="en-US" w:eastAsia="zh-CN" w:bidi="ar-SA"/>
        </w:rPr>
        <w:t>升学人数、升学率的提高，</w:t>
      </w:r>
      <w:r>
        <w:rPr>
          <w:rFonts w:hint="eastAsia" w:ascii="宋体" w:hAnsi="宋体" w:eastAsia="宋体" w:cs="宋体"/>
          <w:color w:val="auto"/>
          <w:kern w:val="2"/>
          <w:sz w:val="24"/>
          <w:szCs w:val="24"/>
          <w:lang w:val="en-US" w:eastAsia="zh-CN" w:bidi="ar-SA"/>
        </w:rPr>
        <w:t>说明中职学生升学愿望越来越强，中职学校</w:t>
      </w:r>
      <w:r>
        <w:rPr>
          <w:rFonts w:hint="eastAsia" w:ascii="宋体" w:hAnsi="宋体" w:cs="宋体"/>
          <w:color w:val="auto"/>
          <w:kern w:val="2"/>
          <w:sz w:val="24"/>
          <w:szCs w:val="24"/>
          <w:lang w:val="en-US" w:eastAsia="zh-CN" w:bidi="ar-SA"/>
        </w:rPr>
        <w:t>更加</w:t>
      </w:r>
      <w:r>
        <w:rPr>
          <w:rFonts w:hint="eastAsia" w:ascii="宋体" w:hAnsi="宋体" w:eastAsia="宋体" w:cs="宋体"/>
          <w:color w:val="auto"/>
          <w:kern w:val="2"/>
          <w:sz w:val="24"/>
          <w:szCs w:val="24"/>
          <w:lang w:val="en-US" w:eastAsia="zh-CN" w:bidi="ar-SA"/>
        </w:rPr>
        <w:t>注重职业教育中高职衔接培养，升学通道</w:t>
      </w:r>
      <w:r>
        <w:rPr>
          <w:rFonts w:hint="eastAsia" w:ascii="宋体" w:hAnsi="宋体" w:cs="宋体"/>
          <w:color w:val="auto"/>
          <w:kern w:val="2"/>
          <w:sz w:val="24"/>
          <w:szCs w:val="24"/>
          <w:lang w:val="en-US" w:eastAsia="zh-CN" w:bidi="ar-SA"/>
        </w:rPr>
        <w:t>进一步畅通</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越来越</w:t>
      </w:r>
      <w:r>
        <w:rPr>
          <w:rFonts w:hint="eastAsia" w:ascii="宋体" w:hAnsi="宋体" w:eastAsia="宋体" w:cs="宋体"/>
          <w:color w:val="auto"/>
          <w:kern w:val="2"/>
          <w:sz w:val="24"/>
          <w:szCs w:val="24"/>
          <w:lang w:val="en-US" w:eastAsia="zh-CN" w:bidi="ar-SA"/>
        </w:rPr>
        <w:t>多的</w:t>
      </w:r>
      <w:r>
        <w:rPr>
          <w:rFonts w:hint="eastAsia" w:ascii="宋体" w:hAnsi="宋体" w:cs="宋体"/>
          <w:color w:val="auto"/>
          <w:kern w:val="2"/>
          <w:sz w:val="24"/>
          <w:szCs w:val="24"/>
          <w:lang w:val="en-US" w:eastAsia="zh-CN" w:bidi="ar-SA"/>
        </w:rPr>
        <w:t>中职</w:t>
      </w:r>
      <w:r>
        <w:rPr>
          <w:rFonts w:hint="eastAsia" w:ascii="宋体" w:hAnsi="宋体" w:eastAsia="宋体" w:cs="宋体"/>
          <w:color w:val="auto"/>
          <w:kern w:val="2"/>
          <w:sz w:val="24"/>
          <w:szCs w:val="24"/>
          <w:lang w:val="en-US" w:eastAsia="zh-CN" w:bidi="ar-SA"/>
        </w:rPr>
        <w:t>学</w:t>
      </w:r>
      <w:r>
        <w:rPr>
          <w:rFonts w:hint="eastAsia" w:ascii="宋体" w:hAnsi="宋体" w:cs="宋体"/>
          <w:color w:val="auto"/>
          <w:kern w:val="2"/>
          <w:sz w:val="24"/>
          <w:szCs w:val="24"/>
          <w:lang w:val="en-US" w:eastAsia="zh-CN" w:bidi="ar-SA"/>
        </w:rPr>
        <w:t>子</w:t>
      </w:r>
      <w:r>
        <w:rPr>
          <w:rFonts w:hint="eastAsia" w:ascii="宋体" w:hAnsi="宋体" w:eastAsia="宋体" w:cs="宋体"/>
          <w:color w:val="auto"/>
          <w:kern w:val="2"/>
          <w:sz w:val="24"/>
          <w:szCs w:val="24"/>
          <w:lang w:val="en-US" w:eastAsia="zh-CN" w:bidi="ar-SA"/>
        </w:rPr>
        <w:t>圆了“大学梦”。</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left="0" w:right="0" w:firstLine="482" w:firstLineChars="200"/>
        <w:jc w:val="both"/>
        <w:textAlignment w:val="auto"/>
        <w:rPr>
          <w:rFonts w:hint="default" w:ascii="宋体" w:hAnsi="宋体" w:eastAsia="宋体" w:cs="宋体"/>
          <w:color w:val="auto"/>
          <w:kern w:val="2"/>
          <w:sz w:val="24"/>
          <w:szCs w:val="24"/>
          <w:lang w:val="en-US" w:eastAsia="zh-CN" w:bidi="ar-SA"/>
        </w:rPr>
      </w:pPr>
      <w:r>
        <w:rPr>
          <w:rFonts w:hint="default" w:ascii="宋体" w:hAnsi="宋体" w:eastAsia="宋体" w:cs="宋体"/>
          <w:b/>
          <w:bCs/>
          <w:color w:val="auto"/>
          <w:kern w:val="2"/>
          <w:sz w:val="24"/>
          <w:szCs w:val="24"/>
          <w:lang w:val="en-US" w:eastAsia="zh-CN" w:bidi="ar-SA"/>
        </w:rPr>
        <w:t>二是就业率和对口就业率较高。</w:t>
      </w:r>
      <w:r>
        <w:rPr>
          <w:rFonts w:hint="default" w:ascii="宋体" w:hAnsi="宋体" w:eastAsia="宋体" w:cs="宋体"/>
          <w:color w:val="auto"/>
          <w:kern w:val="2"/>
          <w:sz w:val="24"/>
          <w:szCs w:val="24"/>
          <w:lang w:val="en-US" w:eastAsia="zh-CN" w:bidi="ar-SA"/>
        </w:rPr>
        <w:t>中职毕业生就业率达</w:t>
      </w:r>
      <w:r>
        <w:rPr>
          <w:rFonts w:hint="eastAsia" w:ascii="宋体" w:hAnsi="宋体" w:eastAsia="宋体" w:cs="宋体"/>
          <w:color w:val="auto"/>
          <w:kern w:val="2"/>
          <w:sz w:val="24"/>
          <w:szCs w:val="24"/>
          <w:lang w:val="en-US" w:eastAsia="zh-CN" w:bidi="ar-SA"/>
        </w:rPr>
        <w:t>93.93</w:t>
      </w:r>
      <w:r>
        <w:rPr>
          <w:rFonts w:hint="default"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w:t>
      </w:r>
      <w:r>
        <w:rPr>
          <w:rFonts w:hint="default" w:ascii="宋体" w:hAnsi="宋体" w:eastAsia="宋体" w:cs="宋体"/>
          <w:color w:val="auto"/>
          <w:kern w:val="2"/>
          <w:sz w:val="24"/>
          <w:szCs w:val="24"/>
          <w:lang w:val="en-US" w:eastAsia="zh-CN" w:bidi="ar-SA"/>
        </w:rPr>
        <w:t>直接就业</w:t>
      </w:r>
      <w:r>
        <w:rPr>
          <w:rFonts w:hint="eastAsia" w:ascii="宋体" w:hAnsi="宋体" w:eastAsia="宋体" w:cs="宋体"/>
          <w:color w:val="auto"/>
          <w:kern w:val="2"/>
          <w:sz w:val="24"/>
          <w:szCs w:val="24"/>
          <w:lang w:val="en-US" w:eastAsia="zh-CN" w:bidi="ar-SA"/>
        </w:rPr>
        <w:t>1075</w:t>
      </w:r>
      <w:r>
        <w:rPr>
          <w:rFonts w:hint="default" w:ascii="宋体" w:hAnsi="宋体" w:eastAsia="宋体" w:cs="宋体"/>
          <w:color w:val="auto"/>
          <w:kern w:val="2"/>
          <w:sz w:val="24"/>
          <w:szCs w:val="24"/>
          <w:lang w:val="en-US" w:eastAsia="zh-CN" w:bidi="ar-SA"/>
        </w:rPr>
        <w:t>人，其中对口就业</w:t>
      </w:r>
      <w:r>
        <w:rPr>
          <w:rFonts w:hint="eastAsia" w:ascii="宋体" w:hAnsi="宋体" w:eastAsia="宋体" w:cs="宋体"/>
          <w:color w:val="auto"/>
          <w:kern w:val="2"/>
          <w:sz w:val="24"/>
          <w:szCs w:val="24"/>
          <w:lang w:val="en-US" w:eastAsia="zh-CN" w:bidi="ar-SA"/>
        </w:rPr>
        <w:t>763</w:t>
      </w:r>
      <w:r>
        <w:rPr>
          <w:rFonts w:hint="default" w:ascii="宋体" w:hAnsi="宋体" w:eastAsia="宋体" w:cs="宋体"/>
          <w:color w:val="auto"/>
          <w:kern w:val="2"/>
          <w:sz w:val="24"/>
          <w:szCs w:val="24"/>
          <w:lang w:val="en-US" w:eastAsia="zh-CN" w:bidi="ar-SA"/>
        </w:rPr>
        <w:t>人，对口就业率</w:t>
      </w:r>
      <w:r>
        <w:rPr>
          <w:rFonts w:hint="eastAsia" w:ascii="宋体" w:hAnsi="宋体" w:eastAsia="宋体" w:cs="宋体"/>
          <w:color w:val="auto"/>
          <w:kern w:val="2"/>
          <w:sz w:val="24"/>
          <w:szCs w:val="24"/>
          <w:lang w:val="en-US" w:eastAsia="zh-CN" w:bidi="ar-SA"/>
        </w:rPr>
        <w:t>为71</w:t>
      </w:r>
      <w:r>
        <w:rPr>
          <w:rFonts w:hint="default" w:ascii="宋体" w:hAnsi="宋体" w:eastAsia="宋体" w:cs="宋体"/>
          <w:color w:val="auto"/>
          <w:kern w:val="2"/>
          <w:sz w:val="24"/>
          <w:szCs w:val="24"/>
          <w:lang w:val="en-US" w:eastAsia="zh-CN" w:bidi="ar-SA"/>
        </w:rPr>
        <w:t>%，比202</w:t>
      </w:r>
      <w:r>
        <w:rPr>
          <w:rFonts w:hint="eastAsia" w:ascii="宋体" w:hAnsi="宋体" w:eastAsia="宋体" w:cs="宋体"/>
          <w:color w:val="auto"/>
          <w:kern w:val="2"/>
          <w:sz w:val="24"/>
          <w:szCs w:val="24"/>
          <w:lang w:val="en-US" w:eastAsia="zh-CN" w:bidi="ar-SA"/>
        </w:rPr>
        <w:t>1</w:t>
      </w:r>
      <w:r>
        <w:rPr>
          <w:rFonts w:hint="default" w:ascii="宋体" w:hAnsi="宋体" w:eastAsia="宋体" w:cs="宋体"/>
          <w:color w:val="auto"/>
          <w:kern w:val="2"/>
          <w:sz w:val="24"/>
          <w:szCs w:val="24"/>
          <w:lang w:val="en-US" w:eastAsia="zh-CN" w:bidi="ar-SA"/>
        </w:rPr>
        <w:t>年提高</w:t>
      </w:r>
      <w:r>
        <w:rPr>
          <w:rFonts w:hint="eastAsia" w:ascii="宋体" w:hAnsi="宋体" w:eastAsia="宋体" w:cs="宋体"/>
          <w:color w:val="auto"/>
          <w:kern w:val="2"/>
          <w:sz w:val="24"/>
          <w:szCs w:val="24"/>
          <w:lang w:val="en-US" w:eastAsia="zh-CN" w:bidi="ar-SA"/>
        </w:rPr>
        <w:t>12</w:t>
      </w:r>
      <w:r>
        <w:rPr>
          <w:rFonts w:hint="default" w:ascii="宋体" w:hAnsi="宋体" w:eastAsia="宋体" w:cs="宋体"/>
          <w:color w:val="auto"/>
          <w:kern w:val="2"/>
          <w:sz w:val="24"/>
          <w:szCs w:val="24"/>
          <w:lang w:val="en-US" w:eastAsia="zh-CN" w:bidi="ar-SA"/>
        </w:rPr>
        <w:t>%。受疫情影响，就业岗位竞争激烈，学校</w:t>
      </w:r>
      <w:r>
        <w:rPr>
          <w:rFonts w:hint="eastAsia" w:ascii="宋体" w:hAnsi="宋体" w:cs="宋体"/>
          <w:color w:val="auto"/>
          <w:kern w:val="2"/>
          <w:sz w:val="24"/>
          <w:szCs w:val="24"/>
          <w:lang w:val="en-US" w:eastAsia="zh-CN" w:bidi="ar-SA"/>
        </w:rPr>
        <w:t>紧密结合</w:t>
      </w:r>
      <w:r>
        <w:rPr>
          <w:rFonts w:hint="default" w:ascii="宋体" w:hAnsi="宋体" w:eastAsia="宋体" w:cs="宋体"/>
          <w:color w:val="auto"/>
          <w:kern w:val="2"/>
          <w:sz w:val="24"/>
          <w:szCs w:val="24"/>
          <w:lang w:val="en-US" w:eastAsia="zh-CN" w:bidi="ar-SA"/>
        </w:rPr>
        <w:t>就业市场需求和区域产业发展特点，遵循办学规律，不断提高自身办学水平</w:t>
      </w:r>
      <w:r>
        <w:rPr>
          <w:rFonts w:hint="eastAsia" w:ascii="宋体" w:hAnsi="宋体" w:cs="宋体"/>
          <w:color w:val="auto"/>
          <w:kern w:val="2"/>
          <w:sz w:val="24"/>
          <w:szCs w:val="24"/>
          <w:lang w:val="en-US" w:eastAsia="zh-CN" w:bidi="ar-SA"/>
        </w:rPr>
        <w:t>以</w:t>
      </w:r>
      <w:r>
        <w:rPr>
          <w:rFonts w:hint="eastAsia" w:ascii="宋体" w:hAnsi="宋体" w:eastAsia="宋体" w:cs="宋体"/>
          <w:color w:val="auto"/>
          <w:kern w:val="2"/>
          <w:sz w:val="24"/>
          <w:szCs w:val="24"/>
          <w:lang w:val="en-US" w:eastAsia="zh-CN" w:bidi="ar-SA"/>
        </w:rPr>
        <w:t>适应就业需求</w:t>
      </w:r>
      <w:r>
        <w:rPr>
          <w:rFonts w:hint="default" w:ascii="宋体" w:hAnsi="宋体" w:eastAsia="宋体" w:cs="宋体"/>
          <w:color w:val="auto"/>
          <w:kern w:val="2"/>
          <w:sz w:val="24"/>
          <w:szCs w:val="24"/>
          <w:lang w:val="en-US" w:eastAsia="zh-CN" w:bidi="ar-SA"/>
        </w:rPr>
        <w:t>。</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exact"/>
        <w:ind w:left="0" w:right="0" w:firstLine="482" w:firstLineChars="200"/>
        <w:jc w:val="both"/>
        <w:textAlignment w:val="auto"/>
        <w:rPr>
          <w:rFonts w:hint="default" w:ascii="宋体" w:hAnsi="宋体" w:eastAsia="宋体" w:cs="宋体"/>
          <w:color w:val="auto"/>
          <w:kern w:val="2"/>
          <w:sz w:val="24"/>
          <w:szCs w:val="24"/>
          <w:lang w:val="en-US" w:eastAsia="zh-CN" w:bidi="ar-SA"/>
        </w:rPr>
      </w:pPr>
      <w:r>
        <w:rPr>
          <w:rFonts w:hint="default" w:ascii="宋体" w:hAnsi="宋体" w:eastAsia="宋体" w:cs="宋体"/>
          <w:b/>
          <w:bCs/>
          <w:color w:val="auto"/>
          <w:kern w:val="2"/>
          <w:sz w:val="24"/>
          <w:szCs w:val="24"/>
          <w:lang w:val="en-US" w:eastAsia="zh-CN" w:bidi="ar-SA"/>
        </w:rPr>
        <w:t>三是就业去向本地化。</w:t>
      </w:r>
      <w:r>
        <w:rPr>
          <w:rFonts w:hint="default" w:ascii="宋体" w:hAnsi="宋体" w:eastAsia="宋体" w:cs="宋体"/>
          <w:color w:val="auto"/>
          <w:kern w:val="2"/>
          <w:sz w:val="24"/>
          <w:szCs w:val="24"/>
          <w:lang w:val="en-US" w:eastAsia="zh-CN" w:bidi="ar-SA"/>
        </w:rPr>
        <w:t>中职毕业生在城区和县镇工作的比例</w:t>
      </w:r>
      <w:r>
        <w:rPr>
          <w:rFonts w:hint="eastAsia" w:ascii="宋体" w:hAnsi="宋体" w:eastAsia="宋体" w:cs="宋体"/>
          <w:color w:val="auto"/>
          <w:kern w:val="2"/>
          <w:sz w:val="24"/>
          <w:szCs w:val="24"/>
          <w:lang w:val="en-US" w:eastAsia="zh-CN" w:bidi="ar-SA"/>
        </w:rPr>
        <w:t>较高，</w:t>
      </w:r>
      <w:r>
        <w:rPr>
          <w:rFonts w:hint="default" w:ascii="宋体" w:hAnsi="宋体" w:eastAsia="宋体" w:cs="宋体"/>
          <w:color w:val="auto"/>
          <w:kern w:val="2"/>
          <w:sz w:val="24"/>
          <w:szCs w:val="24"/>
          <w:lang w:val="en-US" w:eastAsia="zh-CN" w:bidi="ar-SA"/>
        </w:rPr>
        <w:t>说明中等职业教育服务</w:t>
      </w:r>
      <w:r>
        <w:rPr>
          <w:rFonts w:hint="eastAsia" w:ascii="宋体" w:hAnsi="宋体" w:eastAsia="宋体" w:cs="宋体"/>
          <w:color w:val="auto"/>
          <w:kern w:val="2"/>
          <w:sz w:val="24"/>
          <w:szCs w:val="24"/>
          <w:lang w:val="en-US" w:eastAsia="zh-CN" w:bidi="ar-SA"/>
        </w:rPr>
        <w:t>本地</w:t>
      </w:r>
      <w:r>
        <w:rPr>
          <w:rFonts w:hint="default" w:ascii="宋体" w:hAnsi="宋体" w:eastAsia="宋体" w:cs="宋体"/>
          <w:color w:val="auto"/>
          <w:kern w:val="2"/>
          <w:sz w:val="24"/>
          <w:szCs w:val="24"/>
          <w:lang w:val="en-US" w:eastAsia="zh-CN" w:bidi="ar-SA"/>
        </w:rPr>
        <w:t>经济社会发展能力逐渐增强。</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default" w:ascii="宋体" w:hAnsi="宋体" w:eastAsia="宋体" w:cs="宋体"/>
          <w:b/>
          <w:color w:val="auto"/>
          <w:kern w:val="2"/>
          <w:sz w:val="28"/>
          <w:szCs w:val="28"/>
          <w:lang w:val="en-US" w:eastAsia="zh-CN" w:bidi="ar-SA"/>
        </w:rPr>
      </w:pPr>
      <w:bookmarkStart w:id="29" w:name="_Toc14109"/>
      <w:bookmarkStart w:id="30" w:name="_Toc23485"/>
      <w:bookmarkStart w:id="31" w:name="_Toc5241"/>
      <w:r>
        <w:rPr>
          <w:rFonts w:hint="eastAsia" w:ascii="宋体" w:hAnsi="宋体" w:eastAsia="宋体" w:cs="宋体"/>
          <w:b/>
          <w:color w:val="auto"/>
          <w:kern w:val="2"/>
          <w:sz w:val="28"/>
          <w:szCs w:val="28"/>
          <w:lang w:val="en-US" w:eastAsia="zh-CN" w:bidi="ar-SA"/>
        </w:rPr>
        <w:t>2.3</w:t>
      </w:r>
      <w:r>
        <w:rPr>
          <w:rFonts w:hint="eastAsia" w:ascii="宋体" w:hAnsi="宋体" w:cs="宋体"/>
          <w:b/>
          <w:color w:val="auto"/>
          <w:kern w:val="2"/>
          <w:sz w:val="28"/>
          <w:szCs w:val="28"/>
          <w:lang w:val="en-US" w:eastAsia="zh-CN" w:bidi="ar-SA"/>
        </w:rPr>
        <w:t xml:space="preserve"> </w:t>
      </w:r>
      <w:r>
        <w:rPr>
          <w:rFonts w:hint="default" w:ascii="宋体" w:hAnsi="宋体" w:eastAsia="宋体" w:cs="宋体"/>
          <w:b/>
          <w:color w:val="auto"/>
          <w:kern w:val="2"/>
          <w:sz w:val="28"/>
          <w:szCs w:val="28"/>
          <w:lang w:val="en-US" w:eastAsia="zh-CN" w:bidi="ar-SA"/>
        </w:rPr>
        <w:t>毕业生就业工作措施</w:t>
      </w:r>
      <w:bookmarkEnd w:id="29"/>
      <w:bookmarkEnd w:id="30"/>
      <w:bookmarkEnd w:id="31"/>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left="0" w:right="0" w:firstLine="482" w:firstLineChars="200"/>
        <w:jc w:val="both"/>
        <w:textAlignment w:val="auto"/>
        <w:rPr>
          <w:rFonts w:hint="default" w:ascii="宋体" w:hAnsi="宋体" w:eastAsia="宋体" w:cs="宋体"/>
          <w:color w:val="auto"/>
          <w:kern w:val="2"/>
          <w:sz w:val="24"/>
          <w:szCs w:val="24"/>
          <w:lang w:val="en-US" w:eastAsia="zh-CN" w:bidi="ar-SA"/>
        </w:rPr>
      </w:pPr>
      <w:r>
        <w:rPr>
          <w:rFonts w:hint="default" w:ascii="宋体" w:hAnsi="宋体" w:eastAsia="宋体" w:cs="宋体"/>
          <w:b/>
          <w:bCs/>
          <w:color w:val="auto"/>
          <w:kern w:val="2"/>
          <w:sz w:val="24"/>
          <w:szCs w:val="24"/>
          <w:lang w:val="en-US" w:eastAsia="zh-CN" w:bidi="ar-SA"/>
        </w:rPr>
        <w:t>一是加强政治业务学习，提高意识站位。</w:t>
      </w:r>
      <w:r>
        <w:rPr>
          <w:rFonts w:hint="default" w:ascii="宋体" w:hAnsi="宋体" w:eastAsia="宋体" w:cs="宋体"/>
          <w:color w:val="auto"/>
          <w:kern w:val="2"/>
          <w:sz w:val="24"/>
          <w:szCs w:val="24"/>
          <w:lang w:val="en-US" w:eastAsia="zh-CN" w:bidi="ar-SA"/>
        </w:rPr>
        <w:t>后疫情时代，疫情防控工作动态清零，对中职学生实习管理工作提出了更高的要求。市教育局</w:t>
      </w:r>
      <w:r>
        <w:rPr>
          <w:rFonts w:hint="eastAsia" w:ascii="宋体" w:hAnsi="宋体" w:eastAsia="宋体" w:cs="宋体"/>
          <w:color w:val="auto"/>
          <w:kern w:val="2"/>
          <w:sz w:val="24"/>
          <w:szCs w:val="24"/>
          <w:lang w:val="en-US" w:eastAsia="zh-CN" w:bidi="ar-SA"/>
        </w:rPr>
        <w:t>按照省教育厅要求，</w:t>
      </w:r>
      <w:r>
        <w:rPr>
          <w:rFonts w:hint="default" w:ascii="宋体" w:hAnsi="宋体" w:eastAsia="宋体" w:cs="宋体"/>
          <w:color w:val="auto"/>
          <w:kern w:val="2"/>
          <w:sz w:val="24"/>
          <w:szCs w:val="24"/>
          <w:lang w:val="en-US" w:eastAsia="zh-CN" w:bidi="ar-SA"/>
        </w:rPr>
        <w:t>进一步增强实习管理人员责任意识、服务意识、担当意识，切实把教育部提出的“要全面摸排风险、要分类加强管控、做好心理疏导”落实到工作中，促进实习就业管理工作规范化。</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left="0" w:right="0" w:firstLine="482" w:firstLineChars="200"/>
        <w:jc w:val="both"/>
        <w:textAlignment w:val="auto"/>
        <w:rPr>
          <w:rFonts w:hint="default" w:ascii="宋体" w:hAnsi="宋体" w:eastAsia="宋体" w:cs="宋体"/>
          <w:color w:val="auto"/>
          <w:kern w:val="2"/>
          <w:sz w:val="24"/>
          <w:szCs w:val="24"/>
          <w:lang w:val="en-US" w:eastAsia="zh-CN" w:bidi="ar-SA"/>
        </w:rPr>
      </w:pPr>
      <w:r>
        <w:rPr>
          <w:rFonts w:hint="default" w:ascii="宋体" w:hAnsi="宋体" w:eastAsia="宋体" w:cs="宋体"/>
          <w:b/>
          <w:bCs/>
          <w:color w:val="auto"/>
          <w:kern w:val="2"/>
          <w:sz w:val="24"/>
          <w:szCs w:val="24"/>
          <w:lang w:val="en-US" w:eastAsia="zh-CN" w:bidi="ar-SA"/>
        </w:rPr>
        <w:t>二是注重提升学生职业素养。</w:t>
      </w:r>
      <w:r>
        <w:rPr>
          <w:rFonts w:hint="default" w:ascii="宋体" w:hAnsi="宋体" w:eastAsia="宋体" w:cs="宋体"/>
          <w:color w:val="auto"/>
          <w:kern w:val="2"/>
          <w:sz w:val="24"/>
          <w:szCs w:val="24"/>
          <w:lang w:val="en-US" w:eastAsia="zh-CN" w:bidi="ar-SA"/>
        </w:rPr>
        <w:t>各中等职业学校开足开齐职业生涯规划课程，加强学生职业生涯规划，引导学生确立职业观念和职业理想。邀请企业专家、行业能手、优秀毕业生到校讲授企业文化、企业管理、传授实战技能，让学生提前了解企业需求、增加职业认知。</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32" w:name="_Toc6857"/>
      <w:bookmarkStart w:id="33" w:name="_Toc9404"/>
      <w:bookmarkStart w:id="34" w:name="_Toc23143"/>
      <w:r>
        <w:rPr>
          <w:rFonts w:hint="eastAsia" w:ascii="宋体" w:hAnsi="宋体" w:eastAsia="宋体" w:cs="宋体"/>
          <w:b/>
          <w:color w:val="auto"/>
          <w:kern w:val="2"/>
          <w:sz w:val="28"/>
          <w:szCs w:val="28"/>
          <w:lang w:val="en-US" w:eastAsia="zh-CN" w:bidi="ar-SA"/>
        </w:rPr>
        <w:t>2.4</w:t>
      </w:r>
      <w:r>
        <w:rPr>
          <w:rFonts w:hint="eastAsia" w:ascii="宋体" w:hAnsi="宋体" w:cs="宋体"/>
          <w:b/>
          <w:color w:val="auto"/>
          <w:kern w:val="2"/>
          <w:sz w:val="28"/>
          <w:szCs w:val="28"/>
          <w:lang w:val="en-US" w:eastAsia="zh-CN" w:bidi="ar-SA"/>
        </w:rPr>
        <w:t xml:space="preserve"> </w:t>
      </w:r>
      <w:r>
        <w:rPr>
          <w:rFonts w:hint="eastAsia" w:ascii="宋体" w:hAnsi="宋体" w:eastAsia="宋体" w:cs="宋体"/>
          <w:b/>
          <w:color w:val="auto"/>
          <w:kern w:val="2"/>
          <w:sz w:val="28"/>
          <w:szCs w:val="28"/>
          <w:lang w:val="en-US" w:eastAsia="zh-CN" w:bidi="ar-SA"/>
        </w:rPr>
        <w:t>创新创业</w:t>
      </w:r>
      <w:bookmarkEnd w:id="32"/>
      <w:bookmarkEnd w:id="33"/>
      <w:bookmarkEnd w:id="34"/>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left="0" w:right="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通过开设创新创业课程，举办创新创业学术报告会，抓学生工匠精神、创新创业精神培育和职业素养提升，增强学生的创新创业意识。举办创新创业选拔赛，推荐优秀选手参加省赛，提升学生创新创业的能力。</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35" w:name="_Toc30276"/>
      <w:bookmarkStart w:id="36" w:name="_Toc7947"/>
      <w:bookmarkStart w:id="37" w:name="_Toc16124"/>
      <w:r>
        <w:rPr>
          <w:rFonts w:hint="eastAsia" w:ascii="宋体" w:hAnsi="宋体" w:eastAsia="宋体" w:cs="宋体"/>
          <w:b/>
          <w:color w:val="auto"/>
          <w:kern w:val="2"/>
          <w:sz w:val="28"/>
          <w:szCs w:val="28"/>
          <w:lang w:val="en-US" w:eastAsia="zh-CN" w:bidi="ar-SA"/>
        </w:rPr>
        <w:t>2.5</w:t>
      </w:r>
      <w:r>
        <w:rPr>
          <w:rFonts w:hint="eastAsia" w:ascii="宋体" w:hAnsi="宋体" w:cs="宋体"/>
          <w:b/>
          <w:color w:val="auto"/>
          <w:kern w:val="2"/>
          <w:sz w:val="28"/>
          <w:szCs w:val="28"/>
          <w:lang w:val="en-US" w:eastAsia="zh-CN" w:bidi="ar-SA"/>
        </w:rPr>
        <w:t xml:space="preserve"> </w:t>
      </w:r>
      <w:r>
        <w:rPr>
          <w:rFonts w:hint="eastAsia" w:ascii="宋体" w:hAnsi="宋体" w:eastAsia="宋体" w:cs="宋体"/>
          <w:b/>
          <w:color w:val="auto"/>
          <w:kern w:val="2"/>
          <w:sz w:val="28"/>
          <w:szCs w:val="28"/>
          <w:lang w:val="en-US" w:eastAsia="zh-CN" w:bidi="ar-SA"/>
        </w:rPr>
        <w:t>技能大赛</w:t>
      </w:r>
      <w:bookmarkEnd w:id="35"/>
      <w:bookmarkEnd w:id="36"/>
      <w:bookmarkEnd w:id="37"/>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left="0" w:right="0" w:firstLine="480" w:firstLineChars="200"/>
        <w:jc w:val="both"/>
        <w:textAlignment w:val="auto"/>
        <w:rPr>
          <w:rFonts w:hint="eastAsia" w:ascii="宋体" w:hAnsi="宋体" w:cs="宋体"/>
          <w:i w:val="0"/>
          <w:iCs w:val="0"/>
          <w:caps w:val="0"/>
          <w:color w:val="000000"/>
          <w:spacing w:val="0"/>
          <w:sz w:val="24"/>
          <w:szCs w:val="24"/>
          <w:shd w:val="clear" w:fill="FFFFFF"/>
          <w:lang w:val="en-US" w:eastAsia="zh-CN"/>
        </w:rPr>
      </w:pPr>
      <w:r>
        <w:rPr>
          <w:rFonts w:hint="eastAsia" w:ascii="宋体" w:hAnsi="宋体" w:cs="宋体"/>
          <w:i w:val="0"/>
          <w:iCs w:val="0"/>
          <w:caps w:val="0"/>
          <w:color w:val="000000"/>
          <w:spacing w:val="0"/>
          <w:sz w:val="24"/>
          <w:szCs w:val="24"/>
          <w:shd w:val="clear" w:fill="FFFFFF"/>
          <w:lang w:val="en-US" w:eastAsia="zh-CN"/>
        </w:rPr>
        <w:t>吕梁市教育局向来</w:t>
      </w:r>
      <w:r>
        <w:rPr>
          <w:rFonts w:hint="eastAsia" w:ascii="宋体" w:hAnsi="宋体" w:eastAsia="宋体" w:cs="宋体"/>
          <w:i w:val="0"/>
          <w:iCs w:val="0"/>
          <w:caps w:val="0"/>
          <w:color w:val="000000"/>
          <w:spacing w:val="0"/>
          <w:sz w:val="24"/>
          <w:szCs w:val="24"/>
          <w:shd w:val="clear" w:fill="FFFFFF"/>
        </w:rPr>
        <w:t>重视职业院校技能大赛工作，</w:t>
      </w:r>
      <w:r>
        <w:rPr>
          <w:rFonts w:hint="eastAsia" w:ascii="宋体" w:hAnsi="宋体" w:cs="宋体"/>
          <w:i w:val="0"/>
          <w:iCs w:val="0"/>
          <w:caps w:val="0"/>
          <w:color w:val="000000"/>
          <w:spacing w:val="0"/>
          <w:sz w:val="24"/>
          <w:szCs w:val="24"/>
          <w:shd w:val="clear" w:fill="FFFFFF"/>
          <w:lang w:val="en-US" w:eastAsia="zh-CN"/>
        </w:rPr>
        <w:t>注重</w:t>
      </w:r>
      <w:r>
        <w:rPr>
          <w:rFonts w:hint="eastAsia" w:ascii="宋体" w:hAnsi="宋体" w:eastAsia="宋体" w:cs="宋体"/>
          <w:i w:val="0"/>
          <w:iCs w:val="0"/>
          <w:caps w:val="0"/>
          <w:color w:val="000000"/>
          <w:spacing w:val="0"/>
          <w:sz w:val="24"/>
          <w:szCs w:val="24"/>
          <w:shd w:val="clear" w:fill="FFFFFF"/>
        </w:rPr>
        <w:t>以大赛引领人才培养质量提升</w:t>
      </w:r>
      <w:r>
        <w:rPr>
          <w:rFonts w:hint="eastAsia" w:ascii="宋体" w:hAnsi="宋体" w:cs="宋体"/>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rPr>
        <w:t>不断完善技能训练与考核标准，强化实践教学，突出学生的职业能力培养</w:t>
      </w:r>
      <w:r>
        <w:rPr>
          <w:rFonts w:hint="eastAsia" w:ascii="宋体" w:hAnsi="宋体" w:cs="宋体"/>
          <w:i w:val="0"/>
          <w:iCs w:val="0"/>
          <w:caps w:val="0"/>
          <w:color w:val="000000"/>
          <w:spacing w:val="0"/>
          <w:sz w:val="24"/>
          <w:szCs w:val="24"/>
          <w:shd w:val="clear" w:fill="FFFFFF"/>
          <w:lang w:eastAsia="zh-CN"/>
        </w:rPr>
        <w:t>。</w:t>
      </w:r>
      <w:r>
        <w:rPr>
          <w:rFonts w:hint="eastAsia" w:ascii="宋体" w:hAnsi="宋体" w:cs="宋体"/>
          <w:i w:val="0"/>
          <w:iCs w:val="0"/>
          <w:caps w:val="0"/>
          <w:color w:val="000000"/>
          <w:spacing w:val="0"/>
          <w:sz w:val="24"/>
          <w:szCs w:val="24"/>
          <w:shd w:val="clear" w:fill="FFFFFF"/>
          <w:lang w:val="en-US" w:eastAsia="zh-CN"/>
        </w:rPr>
        <w:t>全市认真落实《国家职业教育改革实施方案》及《职业教育提质培优行动计划（2020—2023年）》，把习近平总书记对职业教育“大有可为”的殷切期盼实实在在转化为职业教育“大有作为”的具体行动，全方位推动吕梁市高质量发展。</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left="0" w:right="0" w:firstLine="480" w:firstLineChars="200"/>
        <w:jc w:val="both"/>
        <w:textAlignment w:val="auto"/>
        <w:rPr>
          <w:rFonts w:hint="eastAsia" w:ascii="宋体" w:hAnsi="宋体" w:cs="宋体"/>
          <w:i w:val="0"/>
          <w:iCs w:val="0"/>
          <w:caps w:val="0"/>
          <w:color w:val="000000"/>
          <w:spacing w:val="0"/>
          <w:sz w:val="24"/>
          <w:szCs w:val="24"/>
          <w:shd w:val="clear" w:fill="FFFFFF"/>
          <w:lang w:val="en-US" w:eastAsia="zh-CN"/>
        </w:rPr>
      </w:pPr>
      <w:r>
        <w:rPr>
          <w:rFonts w:hint="eastAsia" w:ascii="宋体" w:hAnsi="宋体" w:cs="宋体"/>
          <w:i w:val="0"/>
          <w:iCs w:val="0"/>
          <w:caps w:val="0"/>
          <w:color w:val="000000"/>
          <w:spacing w:val="0"/>
          <w:sz w:val="24"/>
          <w:szCs w:val="24"/>
          <w:shd w:val="clear" w:fill="FFFFFF"/>
          <w:lang w:val="en-US" w:eastAsia="zh-CN"/>
        </w:rPr>
        <w:t>2019年，开展首届中职学校学生技能大赛；2022年，开展第二届中职学校学生技能大赛，共5个赛点465名学生参加，比赛专业涉及电子与信息、装备制造、医药卫生、财经商贸四大类共26个。全市将职业资格证书标准纳入学生专业技能竞赛项目和内容中，将职业技能竞赛和职业技能鉴定相结合，逐步形成了校级初赛、市级决赛两个阶段的赛程体系，初步形成“以赛促学，以赛促教，以赛促改，以赛促研”和崇尚技能、学习技能、锻炼技能、展示技能的良好氛围，提高了参加省级技能大赛学生的技能水平，带动了全市中职学生的整体技能水平提升。其中，吕梁市卫生学校多次承办“吕梁山护工”培训任务，为全市打赢脱贫攻坚战做出巨大贡献，该校在全省、全国职业院校护理技能大赛上屡获佳绩，2020、2021年连续两年在山西省职业院校护理技能大赛中参赛选手全部获得一等奖。</w:t>
      </w:r>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right="0"/>
        <w:jc w:val="center"/>
        <w:textAlignment w:val="auto"/>
        <w:rPr>
          <w:rFonts w:hint="eastAsia" w:ascii="宋体" w:hAnsi="宋体" w:cs="宋体"/>
          <w:i w:val="0"/>
          <w:iCs w:val="0"/>
          <w:caps w:val="0"/>
          <w:color w:val="000000"/>
          <w:spacing w:val="0"/>
          <w:sz w:val="24"/>
          <w:szCs w:val="24"/>
          <w:shd w:val="clear" w:fill="FFFFFF"/>
          <w:lang w:val="en-US" w:eastAsia="zh-CN"/>
        </w:rPr>
      </w:pPr>
      <w:r>
        <w:rPr>
          <w:rFonts w:hint="eastAsia" w:ascii="仿宋" w:hAnsi="仿宋" w:eastAsia="仿宋" w:cs="仿宋"/>
          <w:lang w:val="en-US" w:eastAsia="zh-CN"/>
        </w:rPr>
        <w:drawing>
          <wp:inline distT="0" distB="0" distL="114300" distR="114300">
            <wp:extent cx="4762500" cy="2816225"/>
            <wp:effectExtent l="0" t="0" r="0" b="3175"/>
            <wp:docPr id="3" name="图片 3" descr="95f6dee9a76bb7c5c208489e694b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f6dee9a76bb7c5c208489e694b59e"/>
                    <pic:cNvPicPr>
                      <a:picLocks noChangeAspect="1"/>
                    </pic:cNvPicPr>
                  </pic:nvPicPr>
                  <pic:blipFill>
                    <a:blip r:embed="rId19"/>
                    <a:srcRect t="11477"/>
                    <a:stretch>
                      <a:fillRect/>
                    </a:stretch>
                  </pic:blipFill>
                  <pic:spPr>
                    <a:xfrm>
                      <a:off x="0" y="0"/>
                      <a:ext cx="4762500" cy="281622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default" w:ascii="宋体" w:hAnsi="宋体" w:eastAsia="宋体" w:cs="黑体"/>
          <w:b/>
          <w:color w:val="auto"/>
          <w:kern w:val="24"/>
          <w:sz w:val="21"/>
          <w:szCs w:val="21"/>
          <w:lang w:val="en-US" w:eastAsia="zh-CN" w:bidi="zh-CN"/>
        </w:rPr>
      </w:pPr>
      <w:bookmarkStart w:id="38" w:name="_Toc22159"/>
      <w:r>
        <w:rPr>
          <w:rFonts w:hint="eastAsia" w:ascii="宋体" w:hAnsi="宋体" w:eastAsia="宋体" w:cs="黑体"/>
          <w:b/>
          <w:color w:val="auto"/>
          <w:kern w:val="24"/>
          <w:sz w:val="21"/>
          <w:szCs w:val="21"/>
          <w:lang w:val="zh-CN" w:bidi="zh-CN"/>
        </w:rPr>
        <w:t>图</w:t>
      </w:r>
      <w:r>
        <w:rPr>
          <w:rFonts w:hint="eastAsia" w:ascii="宋体" w:hAnsi="宋体" w:cs="黑体"/>
          <w:b/>
          <w:color w:val="auto"/>
          <w:kern w:val="24"/>
          <w:sz w:val="21"/>
          <w:szCs w:val="21"/>
          <w:lang w:val="en-US" w:eastAsia="zh-CN" w:bidi="zh-CN"/>
        </w:rPr>
        <w:t>2</w:t>
      </w:r>
      <w:r>
        <w:rPr>
          <w:rFonts w:hint="eastAsia" w:ascii="宋体" w:hAnsi="宋体" w:eastAsia="宋体" w:cs="黑体"/>
          <w:b/>
          <w:color w:val="auto"/>
          <w:kern w:val="24"/>
          <w:sz w:val="21"/>
          <w:szCs w:val="21"/>
          <w:lang w:val="zh-CN" w:bidi="zh-CN"/>
        </w:rPr>
        <w:t>-</w:t>
      </w:r>
      <w:r>
        <w:rPr>
          <w:rFonts w:hint="eastAsia" w:ascii="宋体" w:hAnsi="宋体" w:cs="黑体"/>
          <w:b/>
          <w:color w:val="auto"/>
          <w:kern w:val="24"/>
          <w:sz w:val="21"/>
          <w:szCs w:val="21"/>
          <w:lang w:val="en-US" w:bidi="zh-CN"/>
        </w:rPr>
        <w:t>3</w:t>
      </w:r>
      <w:r>
        <w:rPr>
          <w:rFonts w:hint="eastAsia" w:ascii="宋体" w:hAnsi="宋体" w:eastAsia="宋体" w:cs="黑体"/>
          <w:b/>
          <w:color w:val="auto"/>
          <w:kern w:val="24"/>
          <w:sz w:val="21"/>
          <w:szCs w:val="21"/>
          <w:lang w:val="zh-CN" w:bidi="zh-CN"/>
        </w:rPr>
        <w:t xml:space="preserve">  </w:t>
      </w:r>
      <w:r>
        <w:rPr>
          <w:rFonts w:hint="eastAsia" w:ascii="宋体" w:hAnsi="宋体" w:cs="黑体"/>
          <w:b/>
          <w:color w:val="auto"/>
          <w:kern w:val="24"/>
          <w:sz w:val="21"/>
          <w:szCs w:val="21"/>
          <w:lang w:val="en-US" w:bidi="zh-CN"/>
        </w:rPr>
        <w:t>吕梁市2022年中等职业学校技能大赛开幕式</w:t>
      </w:r>
      <w:bookmarkEnd w:id="38"/>
    </w:p>
    <w:p>
      <w:pPr>
        <w:pStyle w:val="2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480" w:lineRule="atLeast"/>
        <w:ind w:left="0" w:right="0" w:firstLine="480" w:firstLineChars="200"/>
        <w:jc w:val="both"/>
        <w:textAlignment w:val="auto"/>
        <w:rPr>
          <w:rFonts w:hint="eastAsia" w:ascii="宋体" w:hAnsi="宋体" w:cs="宋体"/>
          <w:i w:val="0"/>
          <w:iCs w:val="0"/>
          <w:caps w:val="0"/>
          <w:color w:val="000000"/>
          <w:spacing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eastAsia="宋体" w:cs="宋体"/>
          <w:b/>
          <w:color w:val="auto"/>
          <w:kern w:val="2"/>
          <w:sz w:val="30"/>
          <w:szCs w:val="30"/>
          <w:lang w:val="en-US" w:eastAsia="zh-CN" w:bidi="ar-SA"/>
        </w:rPr>
      </w:pPr>
      <w:bookmarkStart w:id="39" w:name="_Toc28111"/>
      <w:bookmarkStart w:id="40" w:name="_Toc511"/>
      <w:bookmarkStart w:id="41" w:name="_Toc556"/>
      <w:r>
        <w:rPr>
          <w:rFonts w:hint="eastAsia" w:ascii="宋体" w:hAnsi="宋体" w:eastAsia="宋体" w:cs="宋体"/>
          <w:b/>
          <w:color w:val="auto"/>
          <w:kern w:val="2"/>
          <w:sz w:val="30"/>
          <w:szCs w:val="30"/>
          <w:lang w:val="en-US" w:eastAsia="zh-CN" w:bidi="ar-SA"/>
        </w:rPr>
        <w:t>3．教学改革</w:t>
      </w:r>
      <w:bookmarkEnd w:id="39"/>
      <w:bookmarkEnd w:id="40"/>
      <w:bookmarkEnd w:id="41"/>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42" w:name="_Toc11475"/>
      <w:bookmarkStart w:id="43" w:name="_Toc2039"/>
      <w:bookmarkStart w:id="44" w:name="_Toc17496"/>
      <w:r>
        <w:rPr>
          <w:rFonts w:hint="eastAsia" w:ascii="宋体" w:hAnsi="宋体" w:eastAsia="宋体" w:cs="宋体"/>
          <w:b/>
          <w:color w:val="auto"/>
          <w:kern w:val="2"/>
          <w:sz w:val="28"/>
          <w:szCs w:val="28"/>
          <w:lang w:val="en-US" w:eastAsia="zh-CN" w:bidi="ar-SA"/>
        </w:rPr>
        <w:t>3.1 专业布局</w:t>
      </w:r>
      <w:bookmarkEnd w:id="42"/>
      <w:bookmarkEnd w:id="43"/>
      <w:bookmarkEnd w:id="44"/>
    </w:p>
    <w:p>
      <w:pPr>
        <w:keepNext w:val="0"/>
        <w:keepLines w:val="0"/>
        <w:pageBreakBefore w:val="0"/>
        <w:widowControl w:val="0"/>
        <w:kinsoku/>
        <w:wordWrap/>
        <w:overflowPunct/>
        <w:topLinePunct w:val="0"/>
        <w:autoSpaceDE w:val="0"/>
        <w:autoSpaceDN/>
        <w:bidi w:val="0"/>
        <w:adjustRightInd/>
        <w:snapToGrid w:val="0"/>
        <w:spacing w:line="480" w:lineRule="exact"/>
        <w:ind w:firstLine="480" w:firstLineChars="200"/>
        <w:textAlignment w:val="auto"/>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cs="宋体"/>
          <w:i w:val="0"/>
          <w:iCs w:val="0"/>
          <w:caps w:val="0"/>
          <w:color w:val="000000"/>
          <w:spacing w:val="0"/>
          <w:kern w:val="0"/>
          <w:sz w:val="24"/>
          <w:szCs w:val="24"/>
          <w:shd w:val="clear" w:fill="FFFFFF"/>
          <w:lang w:val="en-US" w:eastAsia="zh-CN" w:bidi="ar-SA"/>
        </w:rPr>
        <w:t>全市各中职学校</w:t>
      </w:r>
      <w:r>
        <w:rPr>
          <w:rFonts w:hint="eastAsia" w:ascii="宋体" w:hAnsi="宋体" w:eastAsia="宋体" w:cs="宋体"/>
          <w:i w:val="0"/>
          <w:iCs w:val="0"/>
          <w:caps w:val="0"/>
          <w:color w:val="000000"/>
          <w:spacing w:val="0"/>
          <w:kern w:val="0"/>
          <w:sz w:val="24"/>
          <w:szCs w:val="24"/>
          <w:shd w:val="clear" w:fill="FFFFFF"/>
          <w:lang w:val="en-US" w:eastAsia="zh-CN" w:bidi="ar-SA"/>
        </w:rPr>
        <w:t>积极对接产业，优化专业设置。</w:t>
      </w:r>
      <w:r>
        <w:rPr>
          <w:rFonts w:hint="eastAsia" w:ascii="宋体" w:hAnsi="宋体" w:cs="宋体"/>
          <w:i w:val="0"/>
          <w:iCs w:val="0"/>
          <w:caps w:val="0"/>
          <w:color w:val="000000"/>
          <w:spacing w:val="0"/>
          <w:kern w:val="0"/>
          <w:sz w:val="24"/>
          <w:szCs w:val="24"/>
          <w:shd w:val="clear" w:fill="FFFFFF"/>
          <w:lang w:val="en-US" w:eastAsia="zh-CN" w:bidi="ar-SA"/>
        </w:rPr>
        <w:t>吕梁市教育局</w:t>
      </w:r>
      <w:r>
        <w:rPr>
          <w:rFonts w:hint="eastAsia" w:ascii="宋体" w:hAnsi="宋体" w:eastAsia="宋体" w:cs="宋体"/>
          <w:i w:val="0"/>
          <w:iCs w:val="0"/>
          <w:caps w:val="0"/>
          <w:color w:val="000000"/>
          <w:spacing w:val="0"/>
          <w:kern w:val="0"/>
          <w:sz w:val="24"/>
          <w:szCs w:val="24"/>
          <w:shd w:val="clear" w:fill="FFFFFF"/>
          <w:lang w:val="en-US" w:eastAsia="zh-CN" w:bidi="ar-SA"/>
        </w:rPr>
        <w:t>结合</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产业发展布局，重点围绕</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战略性新兴产业、现代农业、现代服务业、文旅康养产业、装备制造和新能源汽车等产业，</w:t>
      </w:r>
      <w:r>
        <w:rPr>
          <w:rFonts w:hint="eastAsia" w:ascii="宋体" w:hAnsi="宋体" w:cs="宋体"/>
          <w:i w:val="0"/>
          <w:iCs w:val="0"/>
          <w:caps w:val="0"/>
          <w:color w:val="000000"/>
          <w:spacing w:val="0"/>
          <w:kern w:val="0"/>
          <w:sz w:val="24"/>
          <w:szCs w:val="24"/>
          <w:shd w:val="clear" w:fill="FFFFFF"/>
          <w:lang w:val="en-US" w:eastAsia="zh-CN" w:bidi="ar-SA"/>
        </w:rPr>
        <w:t>指导全市中职学校</w:t>
      </w:r>
      <w:r>
        <w:rPr>
          <w:rFonts w:hint="eastAsia" w:ascii="宋体" w:hAnsi="宋体" w:eastAsia="宋体" w:cs="宋体"/>
          <w:i w:val="0"/>
          <w:iCs w:val="0"/>
          <w:caps w:val="0"/>
          <w:color w:val="000000"/>
          <w:spacing w:val="0"/>
          <w:kern w:val="0"/>
          <w:sz w:val="24"/>
          <w:szCs w:val="24"/>
          <w:shd w:val="clear" w:fill="FFFFFF"/>
          <w:lang w:val="en-US" w:eastAsia="zh-CN" w:bidi="ar-SA"/>
        </w:rPr>
        <w:t>动态调整、协调发展、优化专业设置，鼓励职业学校积极对接企业开设工业机器人应用与维护、无人机操控与维护等一批新兴专业；对于招生困难</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不适应产业发展的专业予以停招、停办。2022年</w:t>
      </w:r>
      <w:r>
        <w:rPr>
          <w:rFonts w:hint="eastAsia" w:ascii="宋体" w:hAnsi="宋体" w:cs="宋体"/>
          <w:i w:val="0"/>
          <w:iCs w:val="0"/>
          <w:caps w:val="0"/>
          <w:color w:val="000000"/>
          <w:spacing w:val="0"/>
          <w:kern w:val="0"/>
          <w:sz w:val="24"/>
          <w:szCs w:val="24"/>
          <w:shd w:val="clear" w:fill="FFFFFF"/>
          <w:lang w:val="en-US" w:eastAsia="zh-CN" w:bidi="ar-SA"/>
        </w:rPr>
        <w:t>，全市中职学校</w:t>
      </w:r>
      <w:r>
        <w:rPr>
          <w:rFonts w:hint="eastAsia" w:ascii="宋体" w:hAnsi="宋体" w:eastAsia="宋体" w:cs="宋体"/>
          <w:i w:val="0"/>
          <w:iCs w:val="0"/>
          <w:caps w:val="0"/>
          <w:color w:val="000000"/>
          <w:spacing w:val="0"/>
          <w:kern w:val="0"/>
          <w:sz w:val="24"/>
          <w:szCs w:val="24"/>
          <w:shd w:val="clear" w:fill="FFFFFF"/>
          <w:lang w:val="en-US" w:eastAsia="zh-CN" w:bidi="ar-SA"/>
        </w:rPr>
        <w:t>新增专业11个</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结合</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“乡村振兴”战略及</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产业特色，调整优化专业结构，提高学校办学活力和吸引力，做强做大以下专业：中餐烹饪、无人机操控与维护、老年人服务与管理、旅游服务与管理、高星级饭店运营与管理、茶叶生产与加工、美发与形象设计、物业管理等。</w:t>
      </w:r>
      <w:r>
        <w:rPr>
          <w:rFonts w:hint="eastAsia" w:ascii="宋体" w:hAnsi="宋体" w:cs="宋体"/>
          <w:i w:val="0"/>
          <w:iCs w:val="0"/>
          <w:caps w:val="0"/>
          <w:color w:val="000000"/>
          <w:spacing w:val="0"/>
          <w:kern w:val="0"/>
          <w:sz w:val="24"/>
          <w:szCs w:val="24"/>
          <w:shd w:val="clear" w:fill="FFFFFF"/>
          <w:lang w:val="en-US" w:eastAsia="zh-CN" w:bidi="ar-SA"/>
        </w:rPr>
        <w:t>全市中职学校主动</w:t>
      </w:r>
      <w:r>
        <w:rPr>
          <w:rFonts w:hint="eastAsia" w:ascii="宋体" w:hAnsi="宋体" w:eastAsia="宋体" w:cs="宋体"/>
          <w:i w:val="0"/>
          <w:iCs w:val="0"/>
          <w:caps w:val="0"/>
          <w:color w:val="000000"/>
          <w:spacing w:val="0"/>
          <w:kern w:val="0"/>
          <w:sz w:val="24"/>
          <w:szCs w:val="24"/>
          <w:shd w:val="clear" w:fill="FFFFFF"/>
          <w:lang w:val="en-US" w:eastAsia="zh-CN" w:bidi="ar-SA"/>
        </w:rPr>
        <w:t>邀请省内各专业建设指导委员会成员探讨专业设置，指导学校专业结构动态调整工作，全面优化各学校专业结构。</w:t>
      </w:r>
    </w:p>
    <w:p>
      <w:pPr>
        <w:pStyle w:val="8"/>
        <w:ind w:left="0" w:leftChars="0" w:firstLine="0" w:firstLineChars="0"/>
        <w:jc w:val="center"/>
        <w:rPr>
          <w:rFonts w:hint="eastAsia"/>
        </w:rPr>
      </w:pPr>
      <w:r>
        <w:rPr>
          <w:rFonts w:hint="eastAsia"/>
          <w:lang w:val="en-US" w:eastAsia="zh-CN"/>
        </w:rPr>
        <w:drawing>
          <wp:inline distT="0" distB="0" distL="114300" distR="114300">
            <wp:extent cx="5039995" cy="2835275"/>
            <wp:effectExtent l="0" t="0" r="8255" b="3175"/>
            <wp:docPr id="131" name="图片 131" descr="IMG_20210715_1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0210715_103415"/>
                    <pic:cNvPicPr>
                      <a:picLocks noChangeAspect="1"/>
                    </pic:cNvPicPr>
                  </pic:nvPicPr>
                  <pic:blipFill>
                    <a:blip r:embed="rId20"/>
                    <a:stretch>
                      <a:fillRect/>
                    </a:stretch>
                  </pic:blipFill>
                  <pic:spPr>
                    <a:xfrm>
                      <a:off x="0" y="0"/>
                      <a:ext cx="5039995" cy="283527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default" w:ascii="宋体" w:hAnsi="宋体" w:eastAsia="宋体" w:cs="黑体"/>
          <w:b/>
          <w:color w:val="auto"/>
          <w:kern w:val="24"/>
          <w:sz w:val="21"/>
          <w:szCs w:val="21"/>
          <w:lang w:val="en-US" w:eastAsia="zh-CN" w:bidi="zh-CN"/>
        </w:rPr>
      </w:pPr>
      <w:bookmarkStart w:id="45" w:name="_Toc2387"/>
      <w:bookmarkStart w:id="46" w:name="_Toc30078"/>
      <w:bookmarkStart w:id="47" w:name="_Toc12166"/>
      <w:r>
        <w:rPr>
          <w:rFonts w:hint="eastAsia" w:ascii="宋体" w:hAnsi="宋体" w:eastAsia="宋体" w:cs="黑体"/>
          <w:b/>
          <w:color w:val="auto"/>
          <w:kern w:val="24"/>
          <w:sz w:val="21"/>
          <w:szCs w:val="21"/>
          <w:lang w:val="zh-CN" w:bidi="zh-CN"/>
        </w:rPr>
        <w:t>图</w:t>
      </w:r>
      <w:r>
        <w:rPr>
          <w:rFonts w:hint="eastAsia" w:ascii="宋体" w:hAnsi="宋体" w:cs="黑体"/>
          <w:b/>
          <w:color w:val="auto"/>
          <w:kern w:val="24"/>
          <w:sz w:val="21"/>
          <w:szCs w:val="21"/>
          <w:lang w:val="en-US" w:eastAsia="zh-CN" w:bidi="zh-CN"/>
        </w:rPr>
        <w:t>3</w:t>
      </w:r>
      <w:r>
        <w:rPr>
          <w:rFonts w:hint="eastAsia" w:ascii="宋体" w:hAnsi="宋体" w:eastAsia="宋体" w:cs="黑体"/>
          <w:b/>
          <w:color w:val="auto"/>
          <w:kern w:val="24"/>
          <w:sz w:val="21"/>
          <w:szCs w:val="21"/>
          <w:lang w:val="zh-CN" w:bidi="zh-CN"/>
        </w:rPr>
        <w:t>-</w:t>
      </w:r>
      <w:r>
        <w:rPr>
          <w:rFonts w:hint="eastAsia" w:ascii="宋体" w:hAnsi="宋体" w:cs="黑体"/>
          <w:b/>
          <w:color w:val="auto"/>
          <w:kern w:val="24"/>
          <w:sz w:val="21"/>
          <w:szCs w:val="21"/>
          <w:lang w:val="en-US" w:bidi="zh-CN"/>
        </w:rPr>
        <w:t>1</w:t>
      </w:r>
      <w:r>
        <w:rPr>
          <w:rFonts w:hint="eastAsia" w:ascii="宋体" w:hAnsi="宋体" w:eastAsia="宋体" w:cs="黑体"/>
          <w:b/>
          <w:color w:val="auto"/>
          <w:kern w:val="24"/>
          <w:sz w:val="21"/>
          <w:szCs w:val="21"/>
          <w:lang w:val="zh-CN" w:bidi="zh-CN"/>
        </w:rPr>
        <w:t xml:space="preserve">  </w:t>
      </w:r>
      <w:r>
        <w:rPr>
          <w:rFonts w:hint="eastAsia" w:ascii="宋体" w:hAnsi="宋体" w:cs="黑体"/>
          <w:b/>
          <w:color w:val="auto"/>
          <w:kern w:val="24"/>
          <w:sz w:val="21"/>
          <w:szCs w:val="21"/>
          <w:lang w:val="en-US" w:bidi="zh-CN"/>
        </w:rPr>
        <w:t>山西徐特立高级职业中学教师开展专业优化调研</w:t>
      </w:r>
      <w:bookmarkEnd w:id="45"/>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48" w:name="_Toc4657"/>
      <w:bookmarkStart w:id="49" w:name="_Toc18511"/>
      <w:r>
        <w:rPr>
          <w:rFonts w:hint="eastAsia" w:ascii="宋体" w:hAnsi="宋体" w:eastAsia="宋体" w:cs="宋体"/>
          <w:b/>
          <w:color w:val="auto"/>
          <w:kern w:val="2"/>
          <w:sz w:val="28"/>
          <w:szCs w:val="28"/>
          <w:lang w:val="en-US" w:eastAsia="zh-CN" w:bidi="ar-SA"/>
        </w:rPr>
        <w:t>3.</w:t>
      </w:r>
      <w:r>
        <w:rPr>
          <w:rFonts w:hint="eastAsia" w:ascii="宋体" w:hAnsi="宋体" w:cs="宋体"/>
          <w:b/>
          <w:color w:val="auto"/>
          <w:kern w:val="2"/>
          <w:sz w:val="28"/>
          <w:szCs w:val="28"/>
          <w:lang w:val="en-US" w:eastAsia="zh-CN" w:bidi="ar-SA"/>
        </w:rPr>
        <w:t>2</w:t>
      </w:r>
      <w:r>
        <w:rPr>
          <w:rFonts w:hint="eastAsia" w:ascii="宋体" w:hAnsi="宋体" w:eastAsia="宋体" w:cs="宋体"/>
          <w:b/>
          <w:color w:val="auto"/>
          <w:kern w:val="2"/>
          <w:sz w:val="28"/>
          <w:szCs w:val="28"/>
          <w:lang w:val="en-US" w:eastAsia="zh-CN" w:bidi="ar-SA"/>
        </w:rPr>
        <w:t xml:space="preserve"> 教材选用</w:t>
      </w:r>
      <w:bookmarkEnd w:id="46"/>
      <w:bookmarkEnd w:id="47"/>
      <w:bookmarkEnd w:id="48"/>
      <w:bookmarkEnd w:id="49"/>
    </w:p>
    <w:p>
      <w:pPr>
        <w:keepNext w:val="0"/>
        <w:keepLines w:val="0"/>
        <w:pageBreakBefore w:val="0"/>
        <w:widowControl w:val="0"/>
        <w:kinsoku/>
        <w:wordWrap/>
        <w:overflowPunct/>
        <w:topLinePunct w:val="0"/>
        <w:autoSpaceDE w:val="0"/>
        <w:autoSpaceDN/>
        <w:bidi w:val="0"/>
        <w:adjustRightInd/>
        <w:snapToGrid w:val="0"/>
        <w:spacing w:line="480" w:lineRule="exact"/>
        <w:ind w:firstLine="480" w:firstLineChars="200"/>
        <w:textAlignment w:val="auto"/>
        <w:rPr>
          <w:rFonts w:hint="eastAsia" w:ascii="宋体" w:hAnsi="宋体" w:cs="宋体"/>
          <w:i w:val="0"/>
          <w:iCs w:val="0"/>
          <w:caps w:val="0"/>
          <w:color w:val="000000"/>
          <w:spacing w:val="0"/>
          <w:kern w:val="0"/>
          <w:sz w:val="24"/>
          <w:szCs w:val="24"/>
          <w:shd w:val="clear" w:fill="FFFFFF"/>
          <w:lang w:val="en-US" w:eastAsia="zh-CN" w:bidi="ar-SA"/>
        </w:rPr>
      </w:pPr>
      <w:r>
        <w:rPr>
          <w:rFonts w:hint="eastAsia" w:ascii="宋体" w:hAnsi="宋体" w:cs="宋体"/>
          <w:i w:val="0"/>
          <w:iCs w:val="0"/>
          <w:caps w:val="0"/>
          <w:color w:val="000000"/>
          <w:spacing w:val="0"/>
          <w:kern w:val="0"/>
          <w:sz w:val="24"/>
          <w:szCs w:val="24"/>
          <w:shd w:val="clear" w:fill="FFFFFF"/>
          <w:lang w:val="en-US" w:eastAsia="zh-CN" w:bidi="ar-SA"/>
        </w:rPr>
        <w:t>目前，全市各中职学校校教材选用均遵循“国家统编教材为主，自编校本教材为辅”的原则。一是课程注重与社会生活、职业能力的联系，教学内容及时纳入新技术、新工艺、新规范，规范教学过程，利用或设置职场情境，突出实践取向。二是注重有机融入职业道德、劳动精神、劳模精神和工匠精神教育思政元素，培育学生职业素养。部分中专学校组织专业老师进入行业企业进行调研，及时确定和完善人才培养规格和专业培养目标，制订专业人才培养方案，重构课程体系，制定课程标准，结合学生的认知规律及职业成长规律，积极进行现代学徒制试点，构建融合学生人文素养、专业知识、职业技能、职业态度和职业素养的培养体系，实现高素质的技术技能人才培养。</w:t>
      </w:r>
    </w:p>
    <w:p>
      <w:pPr>
        <w:keepNext w:val="0"/>
        <w:keepLines w:val="0"/>
        <w:pageBreakBefore w:val="0"/>
        <w:widowControl w:val="0"/>
        <w:kinsoku/>
        <w:wordWrap/>
        <w:overflowPunct/>
        <w:topLinePunct w:val="0"/>
        <w:autoSpaceDE w:val="0"/>
        <w:autoSpaceDN/>
        <w:bidi w:val="0"/>
        <w:adjustRightInd/>
        <w:snapToGrid w:val="0"/>
        <w:spacing w:line="480" w:lineRule="exact"/>
        <w:ind w:firstLine="480" w:firstLineChars="200"/>
        <w:textAlignment w:val="auto"/>
        <w:rPr>
          <w:rFonts w:hint="eastAsia" w:ascii="宋体" w:hAnsi="宋体" w:cs="宋体"/>
          <w:i w:val="0"/>
          <w:iCs w:val="0"/>
          <w:caps w:val="0"/>
          <w:color w:val="000000"/>
          <w:spacing w:val="0"/>
          <w:kern w:val="0"/>
          <w:sz w:val="24"/>
          <w:szCs w:val="24"/>
          <w:shd w:val="clear" w:fill="FFFFFF"/>
          <w:lang w:val="en-US" w:eastAsia="zh-CN" w:bidi="ar-SA"/>
        </w:rPr>
      </w:pPr>
      <w:r>
        <w:rPr>
          <w:rFonts w:hint="eastAsia" w:ascii="宋体" w:hAnsi="宋体" w:cs="宋体"/>
          <w:i w:val="0"/>
          <w:iCs w:val="0"/>
          <w:caps w:val="0"/>
          <w:color w:val="000000"/>
          <w:spacing w:val="0"/>
          <w:kern w:val="0"/>
          <w:sz w:val="24"/>
          <w:szCs w:val="24"/>
          <w:shd w:val="clear" w:fill="FFFFFF"/>
          <w:lang w:val="en-US" w:eastAsia="zh-CN" w:bidi="ar-SA"/>
        </w:rPr>
        <w:t>在课程建设上，全市中等职业学校坚持以习近平新时代中国特色社会主义思想为指导，落实立德树人根本任务，按照教育部印发的教学标准开足、开齐思政课程，并在其他课程中渗透思政教育。在举办全市中职学校教学能力大赛的基础上，全市共8所学校30个教学团队参赛，其中吕梁市卫生学校任芳芳教学团队在2022年全省思政课教学能力比赛中职组中荣获一等奖。</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50" w:name="_Toc27267"/>
      <w:bookmarkStart w:id="51" w:name="_Toc11686"/>
      <w:bookmarkStart w:id="52" w:name="_Toc19917"/>
      <w:r>
        <w:rPr>
          <w:rFonts w:hint="eastAsia" w:ascii="宋体" w:hAnsi="宋体" w:eastAsia="宋体" w:cs="宋体"/>
          <w:b/>
          <w:color w:val="auto"/>
          <w:kern w:val="2"/>
          <w:sz w:val="28"/>
          <w:szCs w:val="28"/>
          <w:lang w:val="en-US" w:eastAsia="zh-CN" w:bidi="ar-SA"/>
        </w:rPr>
        <w:t>3.</w:t>
      </w:r>
      <w:r>
        <w:rPr>
          <w:rFonts w:hint="eastAsia" w:ascii="宋体" w:hAnsi="宋体" w:cs="宋体"/>
          <w:b/>
          <w:color w:val="auto"/>
          <w:kern w:val="2"/>
          <w:sz w:val="28"/>
          <w:szCs w:val="28"/>
          <w:lang w:val="en-US" w:eastAsia="zh-CN" w:bidi="ar-SA"/>
        </w:rPr>
        <w:t>3</w:t>
      </w:r>
      <w:r>
        <w:rPr>
          <w:rFonts w:hint="eastAsia" w:ascii="宋体" w:hAnsi="宋体" w:eastAsia="宋体" w:cs="宋体"/>
          <w:b/>
          <w:color w:val="auto"/>
          <w:kern w:val="2"/>
          <w:sz w:val="28"/>
          <w:szCs w:val="28"/>
          <w:lang w:val="en-US" w:eastAsia="zh-CN" w:bidi="ar-SA"/>
        </w:rPr>
        <w:t xml:space="preserve"> </w:t>
      </w:r>
      <w:r>
        <w:rPr>
          <w:rFonts w:hint="eastAsia" w:ascii="宋体" w:hAnsi="宋体" w:cs="宋体"/>
          <w:b/>
          <w:color w:val="auto"/>
          <w:kern w:val="2"/>
          <w:sz w:val="28"/>
          <w:szCs w:val="28"/>
          <w:lang w:val="en-US" w:eastAsia="zh-CN" w:bidi="ar-SA"/>
        </w:rPr>
        <w:t>教育教学改革</w:t>
      </w:r>
      <w:bookmarkEnd w:id="50"/>
      <w:bookmarkEnd w:id="51"/>
      <w:bookmarkEnd w:id="52"/>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2" w:firstLineChars="200"/>
        <w:jc w:val="both"/>
        <w:textAlignment w:val="auto"/>
        <w:outlineLvl w:val="9"/>
        <w:rPr>
          <w:rFonts w:hint="default" w:ascii="宋体" w:hAnsi="宋体" w:eastAsia="宋体" w:cs="宋体"/>
          <w:b/>
          <w:bCs/>
          <w:i w:val="0"/>
          <w:iCs w:val="0"/>
          <w:caps w:val="0"/>
          <w:color w:val="000000"/>
          <w:spacing w:val="0"/>
          <w:kern w:val="0"/>
          <w:sz w:val="24"/>
          <w:szCs w:val="24"/>
          <w:shd w:val="clear" w:fill="FFFFFF"/>
          <w:lang w:val="en-US" w:eastAsia="zh-CN" w:bidi="ar-SA"/>
        </w:rPr>
      </w:pPr>
      <w:r>
        <w:rPr>
          <w:rFonts w:hint="eastAsia" w:ascii="宋体" w:hAnsi="宋体" w:eastAsia="宋体" w:cs="宋体"/>
          <w:b/>
          <w:bCs/>
          <w:i w:val="0"/>
          <w:iCs w:val="0"/>
          <w:caps w:val="0"/>
          <w:color w:val="000000"/>
          <w:spacing w:val="0"/>
          <w:kern w:val="0"/>
          <w:sz w:val="24"/>
          <w:szCs w:val="24"/>
          <w:shd w:val="clear" w:fill="FFFFFF"/>
          <w:lang w:val="en-US" w:eastAsia="zh-CN" w:bidi="ar-SA"/>
        </w:rPr>
        <w:t>1.积极组织开展市级教学能力大赛、班主任能力大赛</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坚持“以赛促教、以赛促研，以赛促建、以赛促改”的总体思路，引导各地各校围绕立德树人根本任务，努力构建“三全育人”体系，积极探索“岗课赛证”融合育人模式，创新发展线上线下混合式教学模式，深化教师、教材、教法“三教改革”，推进高水平教师教学团队建设，促进“能说会做”的“双师型”教师成长。2022年5月</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举办吕梁市第二届中职学校技能大赛教学能力比赛，共10所中职学校280余名教师参加比赛</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6月份，举办吕梁市第二届中职学校技能大赛班主任能力比赛，共8所中职学校40余名教师参加比赛。比赛取得了良好的效果，</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学校在省级技能大赛教学能力比赛、班主任能力比赛中获奖数量占全省十分之一。</w:t>
      </w:r>
    </w:p>
    <w:p>
      <w:pPr>
        <w:pStyle w:val="8"/>
        <w:ind w:left="0" w:leftChars="0" w:firstLine="0" w:firstLineChars="0"/>
        <w:rPr>
          <w:rFonts w:hint="default"/>
          <w:lang w:val="en-US" w:eastAsia="zh-CN"/>
        </w:rPr>
      </w:pPr>
      <w:r>
        <w:rPr>
          <w:rFonts w:hint="eastAsia"/>
          <w:b/>
          <w:bCs/>
          <w:sz w:val="21"/>
          <w:szCs w:val="21"/>
        </w:rPr>
        <w:drawing>
          <wp:inline distT="0" distB="0" distL="0" distR="0">
            <wp:extent cx="5219700" cy="2781300"/>
            <wp:effectExtent l="0" t="0" r="0" b="0"/>
            <wp:docPr id="1048" name="图片 5" descr="15d8b3d7361913b57101b59738c0a4c"/>
            <wp:cNvGraphicFramePr/>
            <a:graphic xmlns:a="http://schemas.openxmlformats.org/drawingml/2006/main">
              <a:graphicData uri="http://schemas.openxmlformats.org/drawingml/2006/picture">
                <pic:pic xmlns:pic="http://schemas.openxmlformats.org/drawingml/2006/picture">
                  <pic:nvPicPr>
                    <pic:cNvPr id="1048" name="图片 5" descr="15d8b3d7361913b57101b59738c0a4c"/>
                    <pic:cNvPicPr/>
                  </pic:nvPicPr>
                  <pic:blipFill>
                    <a:blip r:embed="rId21" cstate="print"/>
                    <a:srcRect/>
                    <a:stretch>
                      <a:fillRect/>
                    </a:stretch>
                  </pic:blipFill>
                  <pic:spPr>
                    <a:xfrm>
                      <a:off x="0" y="0"/>
                      <a:ext cx="5219700" cy="278130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en-US" w:eastAsia="zh-CN" w:bidi="zh-CN"/>
        </w:rPr>
      </w:pPr>
      <w:bookmarkStart w:id="53" w:name="_Toc13857"/>
      <w:bookmarkStart w:id="54" w:name="_Toc7832"/>
      <w:bookmarkStart w:id="55" w:name="_Toc8730"/>
      <w:bookmarkStart w:id="56" w:name="_Toc23133"/>
      <w:bookmarkStart w:id="57" w:name="_Toc2975"/>
      <w:bookmarkStart w:id="58" w:name="_Toc21263"/>
      <w:r>
        <w:rPr>
          <w:rFonts w:hint="eastAsia" w:ascii="宋体" w:hAnsi="宋体" w:eastAsia="宋体" w:cs="黑体"/>
          <w:b/>
          <w:color w:val="auto"/>
          <w:kern w:val="24"/>
          <w:sz w:val="21"/>
          <w:szCs w:val="21"/>
          <w:lang w:val="en-US" w:eastAsia="zh-CN" w:bidi="zh-CN"/>
        </w:rPr>
        <w:t>图</w:t>
      </w:r>
      <w:r>
        <w:rPr>
          <w:rFonts w:hint="eastAsia" w:ascii="宋体" w:hAnsi="宋体" w:cs="黑体"/>
          <w:b/>
          <w:color w:val="auto"/>
          <w:kern w:val="24"/>
          <w:sz w:val="21"/>
          <w:szCs w:val="21"/>
          <w:lang w:val="en-US" w:eastAsia="zh-CN" w:bidi="zh-CN"/>
        </w:rPr>
        <w:t>3</w:t>
      </w:r>
      <w:r>
        <w:rPr>
          <w:rFonts w:hint="eastAsia" w:ascii="宋体" w:hAnsi="宋体" w:eastAsia="宋体" w:cs="黑体"/>
          <w:b/>
          <w:color w:val="auto"/>
          <w:kern w:val="24"/>
          <w:sz w:val="21"/>
          <w:szCs w:val="21"/>
          <w:lang w:val="en-US" w:eastAsia="zh-CN" w:bidi="zh-CN"/>
        </w:rPr>
        <w:t>-</w:t>
      </w:r>
      <w:r>
        <w:rPr>
          <w:rFonts w:hint="eastAsia" w:ascii="宋体" w:hAnsi="宋体" w:cs="黑体"/>
          <w:b/>
          <w:color w:val="auto"/>
          <w:kern w:val="24"/>
          <w:sz w:val="21"/>
          <w:szCs w:val="21"/>
          <w:lang w:val="en-US" w:eastAsia="zh-CN" w:bidi="zh-CN"/>
        </w:rPr>
        <w:t>2</w:t>
      </w:r>
      <w:r>
        <w:rPr>
          <w:rFonts w:hint="eastAsia" w:ascii="宋体" w:hAnsi="宋体" w:eastAsia="宋体" w:cs="黑体"/>
          <w:b/>
          <w:color w:val="auto"/>
          <w:kern w:val="24"/>
          <w:sz w:val="21"/>
          <w:szCs w:val="21"/>
          <w:lang w:val="en-US" w:eastAsia="zh-CN" w:bidi="zh-CN"/>
        </w:rPr>
        <w:t xml:space="preserve"> </w:t>
      </w:r>
      <w:r>
        <w:rPr>
          <w:rFonts w:hint="eastAsia" w:ascii="宋体" w:hAnsi="宋体" w:cs="黑体"/>
          <w:b/>
          <w:color w:val="auto"/>
          <w:kern w:val="24"/>
          <w:sz w:val="21"/>
          <w:szCs w:val="21"/>
          <w:lang w:val="en-US" w:eastAsia="zh-CN" w:bidi="zh-CN"/>
        </w:rPr>
        <w:t>汾阳市高级职业中学</w:t>
      </w:r>
      <w:r>
        <w:rPr>
          <w:rFonts w:hint="eastAsia" w:ascii="宋体" w:hAnsi="宋体" w:eastAsia="宋体" w:cs="黑体"/>
          <w:b/>
          <w:color w:val="auto"/>
          <w:kern w:val="24"/>
          <w:sz w:val="21"/>
          <w:szCs w:val="21"/>
          <w:lang w:val="en-US" w:eastAsia="zh-CN" w:bidi="zh-CN"/>
        </w:rPr>
        <w:t>策略补“六心”教学模式</w:t>
      </w:r>
      <w:bookmarkEnd w:id="53"/>
      <w:bookmarkEnd w:id="54"/>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2" w:firstLineChars="200"/>
        <w:jc w:val="both"/>
        <w:textAlignment w:val="auto"/>
        <w:outlineLvl w:val="9"/>
        <w:rPr>
          <w:rFonts w:hint="eastAsia" w:ascii="宋体" w:hAnsi="宋体" w:eastAsia="宋体" w:cs="宋体"/>
          <w:b/>
          <w:bCs/>
          <w:i w:val="0"/>
          <w:iCs w:val="0"/>
          <w:caps w:val="0"/>
          <w:color w:val="000000"/>
          <w:spacing w:val="0"/>
          <w:kern w:val="0"/>
          <w:sz w:val="24"/>
          <w:szCs w:val="24"/>
          <w:shd w:val="clear" w:fill="FFFFFF"/>
          <w:lang w:val="en-US" w:eastAsia="zh-CN" w:bidi="ar-SA"/>
        </w:rPr>
      </w:pPr>
      <w:r>
        <w:rPr>
          <w:rFonts w:hint="eastAsia" w:ascii="宋体" w:hAnsi="宋体" w:eastAsia="宋体" w:cs="宋体"/>
          <w:b/>
          <w:bCs/>
          <w:i w:val="0"/>
          <w:iCs w:val="0"/>
          <w:caps w:val="0"/>
          <w:color w:val="000000"/>
          <w:spacing w:val="0"/>
          <w:kern w:val="0"/>
          <w:sz w:val="24"/>
          <w:szCs w:val="24"/>
          <w:shd w:val="clear" w:fill="FFFFFF"/>
          <w:lang w:val="en-US" w:eastAsia="zh-CN" w:bidi="ar-SA"/>
        </w:rPr>
        <w:t>2.继续深化市区职业教育改革</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市直中专学校存在的招生困难、师资浪费、生均占用资源偏高、专业设置同质化、低质化等问题</w:t>
      </w:r>
      <w:r>
        <w:rPr>
          <w:rFonts w:hint="eastAsia" w:ascii="宋体" w:hAnsi="宋体" w:cs="宋体"/>
          <w:i w:val="0"/>
          <w:iCs w:val="0"/>
          <w:caps w:val="0"/>
          <w:color w:val="000000"/>
          <w:spacing w:val="0"/>
          <w:kern w:val="0"/>
          <w:sz w:val="24"/>
          <w:szCs w:val="24"/>
          <w:shd w:val="clear" w:fill="FFFFFF"/>
          <w:lang w:val="en-US" w:eastAsia="zh-CN" w:bidi="ar-SA"/>
        </w:rPr>
        <w:t>。吕梁市教育局</w:t>
      </w:r>
      <w:r>
        <w:rPr>
          <w:rFonts w:hint="eastAsia" w:ascii="宋体" w:hAnsi="宋体" w:eastAsia="宋体" w:cs="宋体"/>
          <w:i w:val="0"/>
          <w:iCs w:val="0"/>
          <w:caps w:val="0"/>
          <w:color w:val="000000"/>
          <w:spacing w:val="0"/>
          <w:kern w:val="0"/>
          <w:sz w:val="24"/>
          <w:szCs w:val="24"/>
          <w:shd w:val="clear" w:fill="FFFFFF"/>
          <w:lang w:val="en-US" w:eastAsia="zh-CN" w:bidi="ar-SA"/>
        </w:rPr>
        <w:t>根据市委市政府的有关工作部署，结合市属职业院校的实际状况，稳步有序推进吕梁职教园区建设工作。</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一是围绕资源整合，调研改革同步推进。2021年，市委、市政府出台的《关于办好人民满意教育的行动方案》(吕发〔2021〕17号）（以下简称《行动方案》）中，第30条明确提出“利用有关县区现有教育园区，整合吕梁卫校、吕梁会校、吕梁农校、吕梁经管学校、吕梁技校、吕梁职业中专等中职学校，建设吕梁职业教育园区，实现资源共享”。该《行动方案》出台以来，市委、市政府领导高度重视</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市直中职学校存在的问题和面临的困境，孙大军书记和张广勇市长多次深入有关职业学校校进行调研指导工作。2021年11月22日，市政协薛爱平副主席带队赴太原、晋中等地，围绕“推动市直中专学校发展改革发展”开展专题调研，形成《关于整合六所市直中专学校建设吕梁职业教育园区的工作建议》。2022年3月，薛爱平副主席</w:t>
      </w:r>
      <w:r>
        <w:rPr>
          <w:rFonts w:hint="eastAsia" w:ascii="宋体" w:hAnsi="宋体" w:cs="宋体"/>
          <w:i w:val="0"/>
          <w:iCs w:val="0"/>
          <w:caps w:val="0"/>
          <w:color w:val="000000"/>
          <w:spacing w:val="0"/>
          <w:kern w:val="0"/>
          <w:sz w:val="24"/>
          <w:szCs w:val="24"/>
          <w:shd w:val="clear" w:fill="FFFFFF"/>
          <w:lang w:val="en-US" w:eastAsia="zh-CN" w:bidi="ar-SA"/>
        </w:rPr>
        <w:t>带领</w:t>
      </w:r>
      <w:r>
        <w:rPr>
          <w:rFonts w:hint="eastAsia" w:ascii="宋体" w:hAnsi="宋体" w:eastAsia="宋体" w:cs="宋体"/>
          <w:i w:val="0"/>
          <w:iCs w:val="0"/>
          <w:caps w:val="0"/>
          <w:color w:val="000000"/>
          <w:spacing w:val="0"/>
          <w:kern w:val="0"/>
          <w:sz w:val="24"/>
          <w:szCs w:val="24"/>
          <w:shd w:val="clear" w:fill="FFFFFF"/>
          <w:lang w:val="en-US" w:eastAsia="zh-CN" w:bidi="ar-SA"/>
        </w:rPr>
        <w:t>市教育局原分管职业教育的任晋星副主任和省职教专家一行10余人深入农校、会校、技校、经管校、职业中专、卫校6所市直中职学校，收集了大量数据，包括固定资产、教师、学生、专业、实训条件、校企合作等方面，经过实地调研、集中研判、广泛论证、提炼归纳，形成《整合市直中职学校组建吕梁职业教育园区的调研报告》。</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二是结合专题调研，制定切实可行实施方案。在实地调研考察论证的基础上，市教育局召集相关中职学校书记</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校长</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柳林县教育局主要负责人进行多次座谈，市教育局赵雪宏局长多次召开局务会议研究市直中职学校资源整合工作，形成《关于整合市直六所中职学校建设吕梁职业教育园区的工作方案》（草案）并于5月27日上报市委市政府，该《工作方案》（草案）从六所学校的基本情况、目前存在的主要问题、园区建设的可行性、园区建设的</w:t>
      </w:r>
      <w:r>
        <w:rPr>
          <w:rFonts w:hint="eastAsia" w:ascii="宋体" w:hAnsi="宋体" w:cs="宋体"/>
          <w:i w:val="0"/>
          <w:iCs w:val="0"/>
          <w:caps w:val="0"/>
          <w:color w:val="000000"/>
          <w:spacing w:val="0"/>
          <w:kern w:val="0"/>
          <w:sz w:val="24"/>
          <w:szCs w:val="24"/>
          <w:shd w:val="clear" w:fill="FFFFFF"/>
          <w:lang w:val="en-US" w:eastAsia="zh-CN" w:bidi="ar-SA"/>
        </w:rPr>
        <w:t>必要</w:t>
      </w:r>
      <w:r>
        <w:rPr>
          <w:rFonts w:hint="eastAsia" w:ascii="宋体" w:hAnsi="宋体" w:eastAsia="宋体" w:cs="宋体"/>
          <w:i w:val="0"/>
          <w:iCs w:val="0"/>
          <w:caps w:val="0"/>
          <w:color w:val="000000"/>
          <w:spacing w:val="0"/>
          <w:kern w:val="0"/>
          <w:sz w:val="24"/>
          <w:szCs w:val="24"/>
          <w:shd w:val="clear" w:fill="FFFFFF"/>
          <w:lang w:val="en-US" w:eastAsia="zh-CN" w:bidi="ar-SA"/>
        </w:rPr>
        <w:t>性、园区建设的推进举措、保障机制六个方面</w:t>
      </w:r>
      <w:r>
        <w:rPr>
          <w:rFonts w:hint="eastAsia" w:ascii="宋体" w:hAnsi="宋体" w:cs="宋体"/>
          <w:i w:val="0"/>
          <w:iCs w:val="0"/>
          <w:caps w:val="0"/>
          <w:color w:val="000000"/>
          <w:spacing w:val="0"/>
          <w:kern w:val="0"/>
          <w:sz w:val="24"/>
          <w:szCs w:val="24"/>
          <w:shd w:val="clear" w:fill="FFFFFF"/>
          <w:lang w:val="en-US" w:eastAsia="zh-CN" w:bidi="ar-SA"/>
        </w:rPr>
        <w:t>进行了</w:t>
      </w:r>
      <w:r>
        <w:rPr>
          <w:rFonts w:hint="eastAsia" w:ascii="宋体" w:hAnsi="宋体" w:eastAsia="宋体" w:cs="宋体"/>
          <w:i w:val="0"/>
          <w:iCs w:val="0"/>
          <w:caps w:val="0"/>
          <w:color w:val="000000"/>
          <w:spacing w:val="0"/>
          <w:kern w:val="0"/>
          <w:sz w:val="24"/>
          <w:szCs w:val="24"/>
          <w:shd w:val="clear" w:fill="FFFFFF"/>
          <w:lang w:val="en-US" w:eastAsia="zh-CN" w:bidi="ar-SA"/>
        </w:rPr>
        <w:t>详细论述。</w:t>
      </w:r>
      <w:r>
        <w:rPr>
          <w:rFonts w:hint="eastAsia" w:ascii="宋体" w:hAnsi="宋体" w:cs="宋体"/>
          <w:i w:val="0"/>
          <w:iCs w:val="0"/>
          <w:caps w:val="0"/>
          <w:color w:val="000000"/>
          <w:spacing w:val="0"/>
          <w:kern w:val="0"/>
          <w:sz w:val="24"/>
          <w:szCs w:val="24"/>
          <w:shd w:val="clear" w:fill="FFFFFF"/>
          <w:lang w:val="en-US" w:eastAsia="zh-CN" w:bidi="ar-SA"/>
        </w:rPr>
        <w:t>2022</w:t>
      </w:r>
      <w:r>
        <w:rPr>
          <w:rFonts w:hint="eastAsia" w:ascii="宋体" w:hAnsi="宋体" w:eastAsia="宋体" w:cs="宋体"/>
          <w:i w:val="0"/>
          <w:iCs w:val="0"/>
          <w:caps w:val="0"/>
          <w:color w:val="000000"/>
          <w:spacing w:val="0"/>
          <w:kern w:val="0"/>
          <w:sz w:val="24"/>
          <w:szCs w:val="24"/>
          <w:shd w:val="clear" w:fill="FFFFFF"/>
          <w:lang w:val="en-US" w:eastAsia="zh-CN" w:bidi="ar-SA"/>
        </w:rPr>
        <w:t>年10月，市政府根据吕梁新区建设和市直中职学校未来发展的需要，提出了新的发展思路：拟在新区新征地建设吕梁职业中专学校和吕梁技师学院。</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2" w:firstLineChars="200"/>
        <w:jc w:val="both"/>
        <w:textAlignment w:val="auto"/>
        <w:outlineLvl w:val="9"/>
        <w:rPr>
          <w:rFonts w:hint="eastAsia" w:ascii="宋体" w:hAnsi="宋体" w:eastAsia="宋体" w:cs="宋体"/>
          <w:b/>
          <w:bCs/>
          <w:i w:val="0"/>
          <w:iCs w:val="0"/>
          <w:caps w:val="0"/>
          <w:color w:val="000000"/>
          <w:spacing w:val="0"/>
          <w:kern w:val="0"/>
          <w:sz w:val="24"/>
          <w:szCs w:val="24"/>
          <w:shd w:val="clear" w:fill="FFFFFF"/>
          <w:lang w:val="en-US" w:eastAsia="zh-CN" w:bidi="ar-SA"/>
        </w:rPr>
      </w:pPr>
      <w:r>
        <w:rPr>
          <w:rFonts w:hint="eastAsia" w:ascii="宋体" w:hAnsi="宋体" w:eastAsia="宋体" w:cs="宋体"/>
          <w:b/>
          <w:bCs/>
          <w:i w:val="0"/>
          <w:iCs w:val="0"/>
          <w:caps w:val="0"/>
          <w:color w:val="000000"/>
          <w:spacing w:val="0"/>
          <w:kern w:val="0"/>
          <w:sz w:val="24"/>
          <w:szCs w:val="24"/>
          <w:shd w:val="clear" w:fill="FFFFFF"/>
          <w:lang w:val="en-US" w:eastAsia="zh-CN" w:bidi="ar-SA"/>
        </w:rPr>
        <w:t>3.改善办学条件，持续提升职业教育质量</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2022年，按照全省职教大会要求，</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继续推进中等职业学校办学条件达标与资源整合工作</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12月份，吕梁市人民政府教育督导室</w:t>
      </w:r>
      <w:r>
        <w:rPr>
          <w:rFonts w:hint="eastAsia" w:ascii="宋体" w:hAnsi="宋体" w:cs="宋体"/>
          <w:i w:val="0"/>
          <w:iCs w:val="0"/>
          <w:caps w:val="0"/>
          <w:color w:val="000000"/>
          <w:spacing w:val="0"/>
          <w:kern w:val="0"/>
          <w:sz w:val="24"/>
          <w:szCs w:val="24"/>
          <w:shd w:val="clear" w:fill="FFFFFF"/>
          <w:lang w:val="en-US" w:eastAsia="zh-CN" w:bidi="ar-SA"/>
        </w:rPr>
        <w:t>印</w:t>
      </w:r>
      <w:r>
        <w:rPr>
          <w:rFonts w:hint="eastAsia" w:ascii="宋体" w:hAnsi="宋体" w:eastAsia="宋体" w:cs="宋体"/>
          <w:i w:val="0"/>
          <w:iCs w:val="0"/>
          <w:caps w:val="0"/>
          <w:color w:val="000000"/>
          <w:spacing w:val="0"/>
          <w:kern w:val="0"/>
          <w:sz w:val="24"/>
          <w:szCs w:val="24"/>
          <w:shd w:val="clear" w:fill="FFFFFF"/>
          <w:lang w:val="en-US" w:eastAsia="zh-CN" w:bidi="ar-SA"/>
        </w:rPr>
        <w:t>发《关于推进中等职业学校办学条件达标与资源整合工作的通知》（</w:t>
      </w:r>
      <w:r>
        <w:rPr>
          <w:rFonts w:hint="eastAsia" w:ascii="宋体" w:hAnsi="宋体" w:cs="宋体"/>
          <w:color w:val="000000" w:themeColor="text1"/>
          <w:sz w:val="24"/>
          <w:szCs w:val="24"/>
          <w:lang w:val="en-US" w:eastAsia="zh-CN"/>
          <w14:textFill>
            <w14:solidFill>
              <w14:schemeClr w14:val="tx1"/>
            </w14:solidFill>
          </w14:textFill>
        </w:rPr>
        <w:t>吕教督发</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2023</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1号</w:t>
      </w:r>
      <w:r>
        <w:rPr>
          <w:rFonts w:hint="eastAsia" w:ascii="宋体" w:hAnsi="宋体" w:eastAsia="宋体" w:cs="宋体"/>
          <w:i w:val="0"/>
          <w:iCs w:val="0"/>
          <w:caps w:val="0"/>
          <w:color w:val="000000"/>
          <w:spacing w:val="0"/>
          <w:kern w:val="0"/>
          <w:sz w:val="24"/>
          <w:szCs w:val="24"/>
          <w:shd w:val="clear" w:fill="FFFFFF"/>
          <w:lang w:val="en-US" w:eastAsia="zh-CN" w:bidi="ar-SA"/>
        </w:rPr>
        <w:t>），落实全省职业教育高质量发展市教育局座谈会对各中等职业学校办学条件达标与资源整合的要求。</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县级职教中心建设再上新台阶，设施设备持续改善，办学条件稳步提高。兴县投入4亿元建成职教并投入使用，柳林县职教中心规划搬入柳林县教育园区</w:t>
      </w:r>
      <w:r>
        <w:rPr>
          <w:rFonts w:hint="eastAsia" w:ascii="宋体" w:hAnsi="宋体" w:cs="宋体"/>
          <w:i w:val="0"/>
          <w:iCs w:val="0"/>
          <w:caps w:val="0"/>
          <w:color w:val="000000"/>
          <w:spacing w:val="0"/>
          <w:kern w:val="0"/>
          <w:sz w:val="24"/>
          <w:szCs w:val="24"/>
          <w:shd w:val="clear" w:fill="FFFFFF"/>
          <w:lang w:val="en-US" w:eastAsia="zh-CN" w:bidi="ar-SA"/>
        </w:rPr>
        <w:t>。</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59" w:name="_Toc12624"/>
      <w:bookmarkStart w:id="60" w:name="_Toc17605"/>
      <w:bookmarkStart w:id="61" w:name="_Toc24976"/>
      <w:r>
        <w:rPr>
          <w:rFonts w:hint="eastAsia" w:ascii="宋体" w:hAnsi="宋体" w:eastAsia="宋体" w:cs="宋体"/>
          <w:b/>
          <w:color w:val="auto"/>
          <w:kern w:val="2"/>
          <w:sz w:val="28"/>
          <w:szCs w:val="28"/>
          <w:lang w:val="en-US" w:eastAsia="zh-CN" w:bidi="ar-SA"/>
        </w:rPr>
        <w:t>3.4 大力提高教师素质</w:t>
      </w:r>
      <w:bookmarkEnd w:id="59"/>
      <w:bookmarkEnd w:id="60"/>
      <w:bookmarkEnd w:id="61"/>
    </w:p>
    <w:p>
      <w:pPr>
        <w:pStyle w:val="22"/>
        <w:keepNext w:val="0"/>
        <w:keepLines w:val="0"/>
        <w:pageBreakBefore w:val="0"/>
        <w:widowControl w:val="0"/>
        <w:kinsoku/>
        <w:wordWrap/>
        <w:overflowPunct/>
        <w:topLinePunct w:val="0"/>
        <w:autoSpaceDE/>
        <w:autoSpaceDN/>
        <w:bidi w:val="0"/>
        <w:adjustRightInd/>
        <w:snapToGrid w:val="0"/>
        <w:spacing w:before="0" w:beforeAutospacing="0" w:after="0" w:afterAutospacing="0" w:line="480" w:lineRule="exact"/>
        <w:ind w:left="0" w:firstLine="482" w:firstLineChars="200"/>
        <w:jc w:val="both"/>
        <w:textAlignment w:val="auto"/>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lang w:val="en-US" w:eastAsia="zh-CN"/>
        </w:rPr>
        <w:t>1.</w:t>
      </w:r>
      <w:r>
        <w:rPr>
          <w:rFonts w:hint="eastAsia" w:ascii="宋体" w:hAnsi="宋体" w:eastAsia="宋体" w:cs="宋体"/>
          <w:b/>
          <w:bCs/>
          <w:i w:val="0"/>
          <w:iCs w:val="0"/>
          <w:caps w:val="0"/>
          <w:color w:val="auto"/>
          <w:spacing w:val="0"/>
          <w:sz w:val="24"/>
          <w:szCs w:val="24"/>
          <w:shd w:val="clear" w:fill="FFFFFF"/>
        </w:rPr>
        <w:t>推动师德</w:t>
      </w:r>
      <w:r>
        <w:rPr>
          <w:rFonts w:hint="eastAsia" w:ascii="宋体" w:hAnsi="宋体" w:eastAsia="宋体" w:cs="宋体"/>
          <w:b/>
          <w:bCs/>
          <w:i w:val="0"/>
          <w:iCs w:val="0"/>
          <w:caps w:val="0"/>
          <w:color w:val="auto"/>
          <w:spacing w:val="0"/>
          <w:sz w:val="24"/>
          <w:szCs w:val="24"/>
          <w:shd w:val="clear" w:fill="FFFFFF"/>
          <w:lang w:val="en-US" w:eastAsia="zh-CN"/>
        </w:rPr>
        <w:t>师风</w:t>
      </w:r>
      <w:r>
        <w:rPr>
          <w:rFonts w:hint="eastAsia" w:ascii="宋体" w:hAnsi="宋体" w:eastAsia="宋体" w:cs="宋体"/>
          <w:b/>
          <w:bCs/>
          <w:i w:val="0"/>
          <w:iCs w:val="0"/>
          <w:caps w:val="0"/>
          <w:color w:val="auto"/>
          <w:spacing w:val="0"/>
          <w:sz w:val="24"/>
          <w:szCs w:val="24"/>
          <w:shd w:val="clear" w:fill="FFFFFF"/>
        </w:rPr>
        <w:t>建设常态化</w:t>
      </w:r>
      <w:r>
        <w:rPr>
          <w:rFonts w:hint="eastAsia" w:ascii="宋体" w:hAnsi="宋体" w:eastAsia="宋体" w:cs="宋体"/>
          <w:b/>
          <w:bCs/>
          <w:i w:val="0"/>
          <w:iCs w:val="0"/>
          <w:caps w:val="0"/>
          <w:color w:val="auto"/>
          <w:spacing w:val="0"/>
          <w:sz w:val="24"/>
          <w:szCs w:val="24"/>
          <w:shd w:val="clear" w:fill="FFFFFF"/>
          <w:lang w:val="en-US" w:eastAsia="zh-CN"/>
        </w:rPr>
        <w:t>。</w:t>
      </w:r>
      <w:r>
        <w:rPr>
          <w:rFonts w:hint="eastAsia" w:ascii="宋体" w:hAnsi="宋体" w:eastAsia="宋体" w:cs="宋体"/>
          <w:i w:val="0"/>
          <w:iCs w:val="0"/>
          <w:caps w:val="0"/>
          <w:color w:val="auto"/>
          <w:spacing w:val="0"/>
          <w:sz w:val="24"/>
          <w:szCs w:val="24"/>
          <w:shd w:val="clear" w:fill="FFFFFF"/>
          <w:lang w:val="en-US" w:eastAsia="zh-CN"/>
        </w:rPr>
        <w:t>各</w:t>
      </w:r>
      <w:r>
        <w:rPr>
          <w:rFonts w:hint="eastAsia" w:ascii="宋体" w:hAnsi="宋体" w:eastAsia="宋体" w:cs="宋体"/>
          <w:i w:val="0"/>
          <w:iCs w:val="0"/>
          <w:caps w:val="0"/>
          <w:color w:val="auto"/>
          <w:spacing w:val="0"/>
          <w:sz w:val="24"/>
          <w:szCs w:val="24"/>
          <w:shd w:val="clear" w:fill="FFFFFF"/>
        </w:rPr>
        <w:t>学校</w:t>
      </w:r>
      <w:r>
        <w:rPr>
          <w:rFonts w:hint="eastAsia" w:ascii="宋体" w:hAnsi="宋体" w:eastAsia="宋体" w:cs="宋体"/>
          <w:i w:val="0"/>
          <w:iCs w:val="0"/>
          <w:caps w:val="0"/>
          <w:color w:val="auto"/>
          <w:spacing w:val="0"/>
          <w:sz w:val="24"/>
          <w:szCs w:val="24"/>
          <w:shd w:val="clear" w:fill="FFFFFF"/>
          <w:lang w:eastAsia="zh-CN"/>
        </w:rPr>
        <w:t>都</w:t>
      </w:r>
      <w:r>
        <w:rPr>
          <w:rFonts w:hint="eastAsia" w:ascii="宋体" w:hAnsi="宋体" w:eastAsia="宋体" w:cs="宋体"/>
          <w:i w:val="0"/>
          <w:iCs w:val="0"/>
          <w:caps w:val="0"/>
          <w:color w:val="auto"/>
          <w:spacing w:val="0"/>
          <w:sz w:val="24"/>
          <w:szCs w:val="24"/>
          <w:shd w:val="clear" w:fill="FFFFFF"/>
        </w:rPr>
        <w:t>成立</w:t>
      </w:r>
      <w:r>
        <w:rPr>
          <w:rFonts w:hint="eastAsia" w:ascii="宋体" w:hAnsi="宋体" w:eastAsia="宋体" w:cs="宋体"/>
          <w:i w:val="0"/>
          <w:iCs w:val="0"/>
          <w:caps w:val="0"/>
          <w:color w:val="auto"/>
          <w:spacing w:val="0"/>
          <w:sz w:val="24"/>
          <w:szCs w:val="24"/>
          <w:shd w:val="clear" w:fill="FFFFFF"/>
          <w:lang w:val="en-US" w:eastAsia="zh-CN"/>
        </w:rPr>
        <w:t>了</w:t>
      </w:r>
      <w:r>
        <w:rPr>
          <w:rFonts w:hint="eastAsia" w:ascii="宋体" w:hAnsi="宋体" w:eastAsia="宋体" w:cs="宋体"/>
          <w:i w:val="0"/>
          <w:iCs w:val="0"/>
          <w:caps w:val="0"/>
          <w:color w:val="auto"/>
          <w:spacing w:val="0"/>
          <w:sz w:val="24"/>
          <w:szCs w:val="24"/>
          <w:shd w:val="clear" w:fill="FFFFFF"/>
        </w:rPr>
        <w:t>师德师风建设领导小组，健全师德评价机制，构建“教学督导、教师互评、学生评教”的评价体系，实现以评促建、以评促改、以评促管。</w:t>
      </w:r>
      <w:r>
        <w:rPr>
          <w:rFonts w:hint="eastAsia" w:ascii="宋体" w:hAnsi="宋体" w:eastAsia="宋体" w:cs="宋体"/>
          <w:i w:val="0"/>
          <w:iCs w:val="0"/>
          <w:caps w:val="0"/>
          <w:color w:val="auto"/>
          <w:spacing w:val="0"/>
          <w:sz w:val="24"/>
          <w:szCs w:val="24"/>
          <w:shd w:val="clear" w:fill="FFFFFF"/>
          <w:lang w:eastAsia="zh-CN"/>
        </w:rPr>
        <w:t>各学校</w:t>
      </w:r>
      <w:r>
        <w:rPr>
          <w:rFonts w:hint="eastAsia" w:ascii="宋体" w:hAnsi="宋体" w:eastAsia="宋体" w:cs="宋体"/>
          <w:i w:val="0"/>
          <w:iCs w:val="0"/>
          <w:caps w:val="0"/>
          <w:color w:val="auto"/>
          <w:spacing w:val="0"/>
          <w:sz w:val="24"/>
          <w:szCs w:val="24"/>
          <w:shd w:val="clear" w:fill="FFFFFF"/>
        </w:rPr>
        <w:t>每年对教职工进行师德考核，考核结果作为评奖评优、职务晋升、岗位聘用、干部选任等方面的重要参考，让师德约束“看得见”，从而推动师德建设常态化长效化。</w:t>
      </w:r>
    </w:p>
    <w:p>
      <w:pPr>
        <w:pStyle w:val="22"/>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auto"/>
        <w:rPr>
          <w:rFonts w:hint="eastAsia" w:ascii="宋体" w:hAnsi="宋体" w:eastAsia="宋体" w:cs="宋体"/>
          <w:i w:val="0"/>
          <w:iCs w:val="0"/>
          <w:caps w:val="0"/>
          <w:color w:val="auto"/>
          <w:spacing w:val="0"/>
          <w:sz w:val="24"/>
          <w:szCs w:val="24"/>
          <w:shd w:val="clear" w:fill="FFFFFF"/>
          <w:lang w:val="en-US" w:eastAsia="zh-CN"/>
        </w:rPr>
      </w:pPr>
      <w:r>
        <w:rPr>
          <w:rFonts w:hint="default"/>
          <w:lang w:val="en-US" w:eastAsia="zh-CN"/>
        </w:rPr>
        <w:drawing>
          <wp:inline distT="0" distB="0" distL="114300" distR="114300">
            <wp:extent cx="5657850" cy="2613660"/>
            <wp:effectExtent l="0" t="0" r="0" b="15240"/>
            <wp:docPr id="85" name="图片 8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片14"/>
                    <pic:cNvPicPr>
                      <a:picLocks noChangeAspect="1"/>
                    </pic:cNvPicPr>
                  </pic:nvPicPr>
                  <pic:blipFill>
                    <a:blip r:embed="rId22"/>
                    <a:stretch>
                      <a:fillRect/>
                    </a:stretch>
                  </pic:blipFill>
                  <pic:spPr>
                    <a:xfrm>
                      <a:off x="0" y="0"/>
                      <a:ext cx="5657850" cy="261366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0" w:after="0" w:line="480" w:lineRule="exact"/>
        <w:ind w:left="0" w:right="0"/>
        <w:jc w:val="center"/>
        <w:textAlignment w:val="auto"/>
        <w:outlineLvl w:val="3"/>
        <w:rPr>
          <w:rFonts w:hint="eastAsia" w:ascii="宋体" w:hAnsi="宋体" w:eastAsia="宋体" w:cs="黑体"/>
          <w:b/>
          <w:color w:val="auto"/>
          <w:kern w:val="24"/>
          <w:sz w:val="21"/>
          <w:szCs w:val="21"/>
          <w:lang w:val="en-US" w:eastAsia="zh-CN" w:bidi="zh-CN"/>
        </w:rPr>
      </w:pPr>
      <w:bookmarkStart w:id="62" w:name="_Toc674"/>
      <w:r>
        <w:rPr>
          <w:rFonts w:hint="eastAsia" w:ascii="宋体" w:hAnsi="宋体" w:eastAsia="宋体" w:cs="黑体"/>
          <w:b/>
          <w:color w:val="auto"/>
          <w:kern w:val="24"/>
          <w:sz w:val="21"/>
          <w:szCs w:val="21"/>
          <w:lang w:val="en-US" w:eastAsia="zh-CN" w:bidi="zh-CN"/>
        </w:rPr>
        <w:t>图</w:t>
      </w:r>
      <w:r>
        <w:rPr>
          <w:rFonts w:hint="eastAsia" w:ascii="宋体" w:hAnsi="宋体" w:cs="黑体"/>
          <w:b/>
          <w:color w:val="auto"/>
          <w:kern w:val="24"/>
          <w:sz w:val="21"/>
          <w:szCs w:val="21"/>
          <w:lang w:val="en-US" w:eastAsia="zh-CN" w:bidi="zh-CN"/>
        </w:rPr>
        <w:t>3</w:t>
      </w:r>
      <w:r>
        <w:rPr>
          <w:rFonts w:hint="eastAsia" w:ascii="宋体" w:hAnsi="宋体" w:eastAsia="宋体" w:cs="黑体"/>
          <w:b/>
          <w:color w:val="auto"/>
          <w:kern w:val="24"/>
          <w:sz w:val="21"/>
          <w:szCs w:val="21"/>
          <w:lang w:val="en-US" w:eastAsia="zh-CN" w:bidi="zh-CN"/>
        </w:rPr>
        <w:t>-</w:t>
      </w:r>
      <w:r>
        <w:rPr>
          <w:rFonts w:hint="eastAsia" w:ascii="宋体" w:hAnsi="宋体" w:cs="黑体"/>
          <w:b/>
          <w:color w:val="auto"/>
          <w:kern w:val="24"/>
          <w:sz w:val="21"/>
          <w:szCs w:val="21"/>
          <w:lang w:val="en-US" w:eastAsia="zh-CN" w:bidi="zh-CN"/>
        </w:rPr>
        <w:t>3</w:t>
      </w:r>
      <w:r>
        <w:rPr>
          <w:rFonts w:hint="eastAsia" w:ascii="宋体" w:hAnsi="宋体" w:eastAsia="宋体" w:cs="黑体"/>
          <w:b/>
          <w:color w:val="auto"/>
          <w:kern w:val="24"/>
          <w:sz w:val="21"/>
          <w:szCs w:val="21"/>
          <w:lang w:val="en-US" w:eastAsia="zh-CN" w:bidi="zh-CN"/>
        </w:rPr>
        <w:t xml:space="preserve"> </w:t>
      </w:r>
      <w:r>
        <w:rPr>
          <w:rFonts w:hint="eastAsia" w:ascii="宋体" w:hAnsi="宋体" w:cs="黑体"/>
          <w:b/>
          <w:color w:val="auto"/>
          <w:kern w:val="24"/>
          <w:sz w:val="21"/>
          <w:szCs w:val="21"/>
          <w:lang w:val="en-US" w:eastAsia="zh-CN" w:bidi="zh-CN"/>
        </w:rPr>
        <w:t>山西徐特立高级职业中学</w:t>
      </w:r>
      <w:r>
        <w:rPr>
          <w:rFonts w:hint="eastAsia" w:ascii="宋体" w:hAnsi="宋体" w:eastAsia="宋体" w:cs="黑体"/>
          <w:b/>
          <w:color w:val="auto"/>
          <w:kern w:val="24"/>
          <w:sz w:val="21"/>
          <w:szCs w:val="21"/>
          <w:lang w:val="en-US" w:eastAsia="zh-CN" w:bidi="zh-CN"/>
        </w:rPr>
        <w:t>“四双”工程</w:t>
      </w:r>
      <w:bookmarkEnd w:id="62"/>
    </w:p>
    <w:p>
      <w:pPr>
        <w:pStyle w:val="22"/>
        <w:keepNext w:val="0"/>
        <w:keepLines w:val="0"/>
        <w:pageBreakBefore w:val="0"/>
        <w:widowControl w:val="0"/>
        <w:kinsoku/>
        <w:wordWrap/>
        <w:overflowPunct/>
        <w:topLinePunct w:val="0"/>
        <w:autoSpaceDE/>
        <w:autoSpaceDN/>
        <w:bidi w:val="0"/>
        <w:adjustRightInd/>
        <w:snapToGrid w:val="0"/>
        <w:spacing w:before="0" w:beforeAutospacing="0" w:after="0" w:afterAutospacing="0" w:line="480" w:lineRule="exact"/>
        <w:ind w:left="0" w:firstLine="482" w:firstLineChars="20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2.</w:t>
      </w:r>
      <w:r>
        <w:rPr>
          <w:rFonts w:hint="eastAsia" w:ascii="宋体" w:hAnsi="宋体" w:eastAsia="宋体" w:cs="宋体"/>
          <w:b/>
          <w:bCs/>
          <w:i w:val="0"/>
          <w:iCs w:val="0"/>
          <w:caps w:val="0"/>
          <w:color w:val="auto"/>
          <w:spacing w:val="0"/>
          <w:sz w:val="24"/>
          <w:szCs w:val="24"/>
          <w:shd w:val="clear" w:fill="FFFFFF"/>
        </w:rPr>
        <w:t>师资队伍</w:t>
      </w:r>
      <w:r>
        <w:rPr>
          <w:rFonts w:hint="eastAsia" w:ascii="宋体" w:hAnsi="宋体" w:eastAsia="宋体" w:cs="宋体"/>
          <w:b/>
          <w:bCs/>
          <w:i w:val="0"/>
          <w:iCs w:val="0"/>
          <w:caps w:val="0"/>
          <w:color w:val="auto"/>
          <w:spacing w:val="0"/>
          <w:sz w:val="24"/>
          <w:szCs w:val="24"/>
          <w:shd w:val="clear" w:fill="FFFFFF"/>
          <w:lang w:val="en-US" w:eastAsia="zh-CN"/>
        </w:rPr>
        <w:t>培训</w:t>
      </w:r>
      <w:r>
        <w:rPr>
          <w:rFonts w:hint="eastAsia" w:ascii="宋体" w:hAnsi="宋体" w:eastAsia="宋体" w:cs="宋体"/>
          <w:b/>
          <w:bCs/>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t>以教师培训培养为抓手，持续推进中职学校师资队伍建设。根据《关于做好2022年度职业院校教师素质提高计划培训任务的通知》要求，组织推荐</w:t>
      </w:r>
      <w:r>
        <w:rPr>
          <w:rFonts w:hint="eastAsia" w:ascii="宋体" w:hAnsi="宋体" w:eastAsia="宋体" w:cs="宋体"/>
          <w:i w:val="0"/>
          <w:iCs w:val="0"/>
          <w:caps w:val="0"/>
          <w:color w:val="auto"/>
          <w:spacing w:val="0"/>
          <w:sz w:val="24"/>
          <w:szCs w:val="24"/>
          <w:shd w:val="clear" w:fill="FFFFFF"/>
          <w:lang w:val="en-US" w:eastAsia="zh-CN"/>
        </w:rPr>
        <w:t>655</w:t>
      </w:r>
      <w:r>
        <w:rPr>
          <w:rFonts w:hint="eastAsia" w:ascii="宋体" w:hAnsi="宋体" w:eastAsia="宋体" w:cs="宋体"/>
          <w:i w:val="0"/>
          <w:iCs w:val="0"/>
          <w:caps w:val="0"/>
          <w:color w:val="auto"/>
          <w:spacing w:val="0"/>
          <w:sz w:val="24"/>
          <w:szCs w:val="24"/>
          <w:shd w:val="clear" w:fill="FFFFFF"/>
        </w:rPr>
        <w:t>人参加省级培训，。积极</w:t>
      </w:r>
      <w:r>
        <w:rPr>
          <w:rFonts w:hint="eastAsia" w:ascii="宋体" w:hAnsi="宋体" w:eastAsia="宋体" w:cs="宋体"/>
          <w:i w:val="0"/>
          <w:iCs w:val="0"/>
          <w:caps w:val="0"/>
          <w:color w:val="auto"/>
          <w:spacing w:val="0"/>
          <w:sz w:val="24"/>
          <w:szCs w:val="24"/>
          <w:shd w:val="clear" w:fill="FFFFFF"/>
          <w:lang w:eastAsia="zh-CN"/>
        </w:rPr>
        <w:t>落实《山西省中等职业学校“双师型”教师认定办法（试行）》</w:t>
      </w:r>
      <w:r>
        <w:rPr>
          <w:rFonts w:hint="eastAsia" w:ascii="宋体" w:hAnsi="宋体" w:eastAsia="宋体" w:cs="宋体"/>
          <w:i w:val="0"/>
          <w:iCs w:val="0"/>
          <w:caps w:val="0"/>
          <w:color w:val="auto"/>
          <w:spacing w:val="0"/>
          <w:sz w:val="24"/>
          <w:szCs w:val="24"/>
          <w:shd w:val="clear" w:fill="FFFFFF"/>
        </w:rPr>
        <w:t>。</w:t>
      </w:r>
    </w:p>
    <w:p>
      <w:pPr>
        <w:pStyle w:val="22"/>
        <w:keepNext w:val="0"/>
        <w:keepLines w:val="0"/>
        <w:pageBreakBefore w:val="0"/>
        <w:widowControl w:val="0"/>
        <w:kinsoku/>
        <w:wordWrap/>
        <w:overflowPunct/>
        <w:topLinePunct w:val="0"/>
        <w:autoSpaceDE/>
        <w:autoSpaceDN/>
        <w:bidi w:val="0"/>
        <w:adjustRightInd/>
        <w:snapToGrid w:val="0"/>
        <w:spacing w:before="0" w:beforeAutospacing="0" w:after="0" w:afterAutospacing="0" w:line="480" w:lineRule="exact"/>
        <w:ind w:left="0" w:firstLine="482" w:firstLineChars="200"/>
        <w:jc w:val="both"/>
        <w:textAlignment w:val="auto"/>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3.继续完善校外兼职教师管理。</w:t>
      </w:r>
      <w:r>
        <w:rPr>
          <w:rFonts w:hint="eastAsia" w:ascii="宋体" w:hAnsi="宋体" w:eastAsia="宋体" w:cs="宋体"/>
          <w:i w:val="0"/>
          <w:iCs w:val="0"/>
          <w:caps w:val="0"/>
          <w:color w:val="auto"/>
          <w:spacing w:val="0"/>
          <w:sz w:val="24"/>
          <w:szCs w:val="24"/>
          <w:shd w:val="clear" w:fill="FFFFFF"/>
          <w:lang w:val="en-US" w:eastAsia="zh-CN"/>
        </w:rPr>
        <w:t>随着校企合作的不断深入，对兼职教师的需求逐年增多，各学校积极推动企业工程技术人员、高技能人才和职业院校教师双向流动，企业人员到职业学校担任兼职教师纳入业绩评价，职业学校专业教师可在校企合作企业兼职。</w:t>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exact"/>
        <w:ind w:left="0" w:firstLine="480" w:firstLineChars="200"/>
        <w:jc w:val="both"/>
        <w:textAlignment w:val="auto"/>
        <w:rPr>
          <w:rFonts w:hint="eastAsia" w:ascii="宋体" w:hAnsi="宋体" w:eastAsia="宋体" w:cs="宋体"/>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eastAsia="宋体" w:cs="宋体"/>
          <w:b/>
          <w:color w:val="auto"/>
          <w:kern w:val="2"/>
          <w:sz w:val="30"/>
          <w:szCs w:val="30"/>
          <w:lang w:val="en-US" w:eastAsia="zh-CN" w:bidi="ar-SA"/>
        </w:rPr>
      </w:pPr>
      <w:bookmarkStart w:id="63" w:name="_Toc23462"/>
      <w:bookmarkStart w:id="64" w:name="_Toc22241"/>
      <w:bookmarkStart w:id="65" w:name="_Toc2734"/>
      <w:r>
        <w:rPr>
          <w:rFonts w:hint="eastAsia" w:ascii="宋体" w:hAnsi="宋体" w:eastAsia="宋体" w:cs="宋体"/>
          <w:b/>
          <w:color w:val="auto"/>
          <w:kern w:val="2"/>
          <w:sz w:val="30"/>
          <w:szCs w:val="30"/>
          <w:lang w:val="en-US" w:eastAsia="zh-CN" w:bidi="ar-SA"/>
        </w:rPr>
        <w:t>4．</w:t>
      </w:r>
      <w:r>
        <w:rPr>
          <w:rFonts w:hint="eastAsia" w:ascii="宋体" w:hAnsi="宋体" w:cs="宋体"/>
          <w:b/>
          <w:color w:val="auto"/>
          <w:kern w:val="2"/>
          <w:sz w:val="30"/>
          <w:szCs w:val="30"/>
          <w:lang w:val="en-US" w:eastAsia="zh-CN" w:bidi="ar-SA"/>
        </w:rPr>
        <w:t>政策保障</w:t>
      </w:r>
      <w:bookmarkEnd w:id="63"/>
      <w:bookmarkEnd w:id="64"/>
      <w:bookmarkEnd w:id="65"/>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66" w:name="_Toc5232"/>
      <w:bookmarkStart w:id="67" w:name="_Toc30739"/>
      <w:bookmarkStart w:id="68" w:name="_Toc29937"/>
      <w:r>
        <w:rPr>
          <w:rFonts w:hint="eastAsia" w:ascii="宋体" w:hAnsi="宋体" w:eastAsia="宋体" w:cs="宋体"/>
          <w:b/>
          <w:color w:val="auto"/>
          <w:kern w:val="2"/>
          <w:sz w:val="28"/>
          <w:szCs w:val="28"/>
          <w:lang w:val="en-US" w:eastAsia="zh-CN" w:bidi="ar-SA"/>
        </w:rPr>
        <w:t>4.1 经费</w:t>
      </w:r>
      <w:bookmarkEnd w:id="66"/>
      <w:bookmarkEnd w:id="67"/>
      <w:bookmarkEnd w:id="68"/>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1．中等职业教育免学费政策落实情况</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202</w:t>
      </w:r>
      <w:r>
        <w:rPr>
          <w:rFonts w:hint="eastAsia" w:ascii="宋体" w:hAnsi="宋体" w:cs="宋体"/>
          <w:b w:val="0"/>
          <w:bCs w:val="0"/>
          <w:color w:val="auto"/>
          <w:kern w:val="2"/>
          <w:sz w:val="24"/>
          <w:szCs w:val="24"/>
          <w:lang w:val="en-US" w:eastAsia="zh-CN" w:bidi="ar-SA"/>
        </w:rPr>
        <w:t>2</w:t>
      </w:r>
      <w:r>
        <w:rPr>
          <w:rFonts w:hint="eastAsia" w:ascii="宋体" w:hAnsi="宋体" w:eastAsia="宋体" w:cs="宋体"/>
          <w:b w:val="0"/>
          <w:bCs w:val="0"/>
          <w:color w:val="auto"/>
          <w:kern w:val="2"/>
          <w:sz w:val="24"/>
          <w:szCs w:val="24"/>
          <w:lang w:val="en-US" w:eastAsia="zh-CN" w:bidi="ar-SA"/>
        </w:rPr>
        <w:t>年度全市</w:t>
      </w:r>
      <w:r>
        <w:rPr>
          <w:rFonts w:hint="eastAsia" w:ascii="宋体" w:hAnsi="宋体" w:cs="宋体"/>
          <w:b w:val="0"/>
          <w:bCs w:val="0"/>
          <w:color w:val="auto"/>
          <w:kern w:val="2"/>
          <w:sz w:val="24"/>
          <w:szCs w:val="24"/>
          <w:lang w:val="en-US" w:eastAsia="zh-CN" w:bidi="ar-SA"/>
        </w:rPr>
        <w:t>市级</w:t>
      </w:r>
      <w:r>
        <w:rPr>
          <w:rFonts w:hint="eastAsia" w:ascii="宋体" w:hAnsi="宋体" w:eastAsia="宋体" w:cs="宋体"/>
          <w:b w:val="0"/>
          <w:bCs w:val="0"/>
          <w:color w:val="auto"/>
          <w:kern w:val="2"/>
          <w:sz w:val="24"/>
          <w:szCs w:val="24"/>
          <w:lang w:val="en-US" w:eastAsia="zh-CN" w:bidi="ar-SA"/>
        </w:rPr>
        <w:t>免学费应配套资金</w:t>
      </w:r>
      <w:r>
        <w:rPr>
          <w:rFonts w:hint="eastAsia" w:ascii="宋体" w:hAnsi="宋体" w:cs="宋体"/>
          <w:b w:val="0"/>
          <w:bCs w:val="0"/>
          <w:color w:val="auto"/>
          <w:kern w:val="2"/>
          <w:sz w:val="24"/>
          <w:szCs w:val="24"/>
          <w:lang w:val="en-US" w:eastAsia="zh-CN" w:bidi="ar-SA"/>
        </w:rPr>
        <w:t>857.98</w:t>
      </w:r>
      <w:r>
        <w:rPr>
          <w:rFonts w:hint="eastAsia" w:ascii="宋体" w:hAnsi="宋体" w:eastAsia="宋体" w:cs="宋体"/>
          <w:b w:val="0"/>
          <w:bCs w:val="0"/>
          <w:color w:val="auto"/>
          <w:kern w:val="2"/>
          <w:sz w:val="24"/>
          <w:szCs w:val="24"/>
          <w:lang w:val="en-US" w:eastAsia="zh-CN" w:bidi="ar-SA"/>
        </w:rPr>
        <w:t>万元，实际配套</w:t>
      </w:r>
      <w:r>
        <w:rPr>
          <w:rFonts w:hint="eastAsia" w:ascii="宋体" w:hAnsi="宋体" w:cs="宋体"/>
          <w:b w:val="0"/>
          <w:bCs w:val="0"/>
          <w:color w:val="auto"/>
          <w:kern w:val="2"/>
          <w:sz w:val="24"/>
          <w:szCs w:val="24"/>
          <w:lang w:val="en-US" w:eastAsia="zh-CN" w:bidi="ar-SA"/>
        </w:rPr>
        <w:t>857.98</w:t>
      </w:r>
      <w:r>
        <w:rPr>
          <w:rFonts w:hint="eastAsia" w:ascii="宋体" w:hAnsi="宋体" w:eastAsia="宋体" w:cs="宋体"/>
          <w:b w:val="0"/>
          <w:bCs w:val="0"/>
          <w:color w:val="auto"/>
          <w:kern w:val="2"/>
          <w:sz w:val="24"/>
          <w:szCs w:val="24"/>
          <w:lang w:val="en-US" w:eastAsia="zh-CN" w:bidi="ar-SA"/>
        </w:rPr>
        <w:t>万元，完成配套100%。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2．中等职业教育助学金政策落实情况</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202</w:t>
      </w:r>
      <w:r>
        <w:rPr>
          <w:rFonts w:hint="eastAsia" w:ascii="宋体" w:hAnsi="宋体" w:cs="宋体"/>
          <w:b w:val="0"/>
          <w:bCs w:val="0"/>
          <w:color w:val="auto"/>
          <w:kern w:val="2"/>
          <w:sz w:val="24"/>
          <w:szCs w:val="24"/>
          <w:lang w:val="en-US" w:eastAsia="zh-CN" w:bidi="ar-SA"/>
        </w:rPr>
        <w:t>2</w:t>
      </w:r>
      <w:r>
        <w:rPr>
          <w:rFonts w:hint="eastAsia" w:ascii="宋体" w:hAnsi="宋体" w:eastAsia="宋体" w:cs="宋体"/>
          <w:b w:val="0"/>
          <w:bCs w:val="0"/>
          <w:color w:val="auto"/>
          <w:kern w:val="2"/>
          <w:sz w:val="24"/>
          <w:szCs w:val="24"/>
          <w:lang w:val="en-US" w:eastAsia="zh-CN" w:bidi="ar-SA"/>
        </w:rPr>
        <w:t>年度全市</w:t>
      </w:r>
      <w:r>
        <w:rPr>
          <w:rFonts w:hint="eastAsia" w:ascii="宋体" w:hAnsi="宋体" w:cs="宋体"/>
          <w:b w:val="0"/>
          <w:bCs w:val="0"/>
          <w:color w:val="auto"/>
          <w:kern w:val="2"/>
          <w:sz w:val="24"/>
          <w:szCs w:val="24"/>
          <w:lang w:val="en-US" w:eastAsia="zh-CN" w:bidi="ar-SA"/>
        </w:rPr>
        <w:t>市级</w:t>
      </w:r>
      <w:r>
        <w:rPr>
          <w:rFonts w:hint="eastAsia" w:ascii="宋体" w:hAnsi="宋体" w:eastAsia="宋体" w:cs="宋体"/>
          <w:b w:val="0"/>
          <w:bCs w:val="0"/>
          <w:color w:val="auto"/>
          <w:kern w:val="2"/>
          <w:sz w:val="24"/>
          <w:szCs w:val="24"/>
          <w:lang w:val="en-US" w:eastAsia="zh-CN" w:bidi="ar-SA"/>
        </w:rPr>
        <w:t>助学金应配套资金</w:t>
      </w:r>
      <w:r>
        <w:rPr>
          <w:rFonts w:hint="eastAsia" w:ascii="宋体" w:hAnsi="宋体" w:cs="宋体"/>
          <w:b w:val="0"/>
          <w:bCs w:val="0"/>
          <w:color w:val="auto"/>
          <w:kern w:val="2"/>
          <w:sz w:val="24"/>
          <w:szCs w:val="24"/>
          <w:lang w:val="en-US" w:eastAsia="zh-CN" w:bidi="ar-SA"/>
        </w:rPr>
        <w:t>125.52</w:t>
      </w:r>
      <w:r>
        <w:rPr>
          <w:rFonts w:hint="eastAsia" w:ascii="宋体" w:hAnsi="宋体" w:eastAsia="宋体" w:cs="宋体"/>
          <w:b w:val="0"/>
          <w:bCs w:val="0"/>
          <w:color w:val="auto"/>
          <w:kern w:val="2"/>
          <w:sz w:val="24"/>
          <w:szCs w:val="24"/>
          <w:lang w:val="en-US" w:eastAsia="zh-CN" w:bidi="ar-SA"/>
        </w:rPr>
        <w:t>万元，实际配套</w:t>
      </w:r>
      <w:r>
        <w:rPr>
          <w:rFonts w:hint="eastAsia" w:ascii="宋体" w:hAnsi="宋体" w:cs="宋体"/>
          <w:b w:val="0"/>
          <w:bCs w:val="0"/>
          <w:color w:val="auto"/>
          <w:kern w:val="2"/>
          <w:sz w:val="24"/>
          <w:szCs w:val="24"/>
          <w:lang w:val="en-US" w:eastAsia="zh-CN" w:bidi="ar-SA"/>
        </w:rPr>
        <w:t>125.52</w:t>
      </w:r>
      <w:r>
        <w:rPr>
          <w:rFonts w:hint="eastAsia" w:ascii="宋体" w:hAnsi="宋体" w:eastAsia="宋体" w:cs="宋体"/>
          <w:b w:val="0"/>
          <w:bCs w:val="0"/>
          <w:color w:val="auto"/>
          <w:kern w:val="2"/>
          <w:sz w:val="24"/>
          <w:szCs w:val="24"/>
          <w:lang w:val="en-US" w:eastAsia="zh-CN" w:bidi="ar-SA"/>
        </w:rPr>
        <w:t>万元，完成配套100%。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firstLine="482" w:firstLineChars="200"/>
        <w:jc w:val="both"/>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3．生均经费情况</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202</w:t>
      </w:r>
      <w:r>
        <w:rPr>
          <w:rFonts w:hint="eastAsia" w:ascii="宋体" w:hAnsi="宋体" w:cs="宋体"/>
          <w:b w:val="0"/>
          <w:bCs w:val="0"/>
          <w:color w:val="auto"/>
          <w:kern w:val="2"/>
          <w:sz w:val="24"/>
          <w:szCs w:val="24"/>
          <w:lang w:val="en-US" w:eastAsia="zh-CN" w:bidi="ar-SA"/>
        </w:rPr>
        <w:t>2</w:t>
      </w:r>
      <w:r>
        <w:rPr>
          <w:rFonts w:hint="eastAsia" w:ascii="宋体" w:hAnsi="宋体" w:eastAsia="宋体" w:cs="宋体"/>
          <w:b w:val="0"/>
          <w:bCs w:val="0"/>
          <w:color w:val="auto"/>
          <w:kern w:val="2"/>
          <w:sz w:val="24"/>
          <w:szCs w:val="24"/>
          <w:lang w:val="en-US" w:eastAsia="zh-CN" w:bidi="ar-SA"/>
        </w:rPr>
        <w:t>年全市中等职业教育经费</w:t>
      </w:r>
      <w:r>
        <w:rPr>
          <w:rFonts w:hint="eastAsia" w:ascii="宋体" w:hAnsi="宋体" w:cs="宋体"/>
          <w:b w:val="0"/>
          <w:bCs w:val="0"/>
          <w:color w:val="auto"/>
          <w:kern w:val="2"/>
          <w:sz w:val="24"/>
          <w:szCs w:val="24"/>
          <w:lang w:val="en-US" w:eastAsia="zh-CN" w:bidi="ar-SA"/>
        </w:rPr>
        <w:t>62335</w:t>
      </w:r>
      <w:r>
        <w:rPr>
          <w:rFonts w:hint="eastAsia" w:ascii="宋体" w:hAnsi="宋体" w:eastAsia="宋体" w:cs="宋体"/>
          <w:b w:val="0"/>
          <w:bCs w:val="0"/>
          <w:color w:val="auto"/>
          <w:kern w:val="2"/>
          <w:sz w:val="24"/>
          <w:szCs w:val="24"/>
          <w:lang w:val="en-US" w:eastAsia="zh-CN" w:bidi="ar-SA"/>
        </w:rPr>
        <w:t>万元，中职学生人数</w:t>
      </w:r>
      <w:r>
        <w:rPr>
          <w:rFonts w:hint="eastAsia" w:ascii="宋体" w:hAnsi="宋体" w:cs="宋体"/>
          <w:b w:val="0"/>
          <w:bCs w:val="0"/>
          <w:color w:val="auto"/>
          <w:kern w:val="2"/>
          <w:sz w:val="24"/>
          <w:szCs w:val="24"/>
          <w:lang w:val="en-US" w:eastAsia="zh-CN" w:bidi="ar-SA"/>
        </w:rPr>
        <w:t>26860</w:t>
      </w:r>
      <w:r>
        <w:rPr>
          <w:rFonts w:hint="eastAsia" w:ascii="宋体" w:hAnsi="宋体" w:eastAsia="宋体" w:cs="宋体"/>
          <w:b w:val="0"/>
          <w:bCs w:val="0"/>
          <w:color w:val="auto"/>
          <w:kern w:val="2"/>
          <w:sz w:val="24"/>
          <w:szCs w:val="24"/>
          <w:lang w:val="en-US" w:eastAsia="zh-CN" w:bidi="ar-SA"/>
        </w:rPr>
        <w:t>人，生均拨款</w:t>
      </w:r>
      <w:r>
        <w:rPr>
          <w:rFonts w:hint="eastAsia" w:ascii="宋体" w:hAnsi="宋体" w:cs="宋体"/>
          <w:b w:val="0"/>
          <w:bCs w:val="0"/>
          <w:color w:val="auto"/>
          <w:kern w:val="2"/>
          <w:sz w:val="24"/>
          <w:szCs w:val="24"/>
          <w:lang w:val="en-US" w:eastAsia="zh-CN" w:bidi="ar-SA"/>
        </w:rPr>
        <w:t>23207</w:t>
      </w:r>
      <w:r>
        <w:rPr>
          <w:rFonts w:hint="eastAsia" w:ascii="宋体" w:hAnsi="宋体" w:eastAsia="宋体" w:cs="宋体"/>
          <w:b w:val="0"/>
          <w:bCs w:val="0"/>
          <w:color w:val="auto"/>
          <w:kern w:val="2"/>
          <w:sz w:val="24"/>
          <w:szCs w:val="24"/>
          <w:lang w:val="en-US" w:eastAsia="zh-CN" w:bidi="ar-SA"/>
        </w:rPr>
        <w:t>元。</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69" w:name="_Toc16970"/>
      <w:bookmarkStart w:id="70" w:name="_Toc8806"/>
      <w:bookmarkStart w:id="71" w:name="_Toc20781"/>
      <w:r>
        <w:rPr>
          <w:rFonts w:hint="eastAsia" w:ascii="宋体" w:hAnsi="宋体" w:eastAsia="宋体" w:cs="宋体"/>
          <w:b/>
          <w:color w:val="auto"/>
          <w:kern w:val="2"/>
          <w:sz w:val="28"/>
          <w:szCs w:val="28"/>
          <w:lang w:val="en-US" w:eastAsia="zh-CN" w:bidi="ar-SA"/>
        </w:rPr>
        <w:t>4.2 政策措施</w:t>
      </w:r>
      <w:bookmarkEnd w:id="69"/>
      <w:bookmarkEnd w:id="70"/>
      <w:bookmarkEnd w:id="71"/>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一是围绕资源整合，调研改革同步推进。2021年，市委、市政府出台的《关于办好人民满意教育的行动方案》(吕发〔2021〕17号）（以下简称《行动方案》）中，第30条明确提出“利用有关县区现有教育园区，整合吕梁卫校、吕梁会校、吕梁农校、吕梁经管学校、吕梁技校、吕梁职业中专等中职学校，建设吕梁职业教育园区，实现资源共享”。该《行动方案》出台以来，市委、市政府领导高度重视</w:t>
      </w:r>
      <w:r>
        <w:rPr>
          <w:rFonts w:hint="eastAsia" w:ascii="宋体" w:hAnsi="宋体" w:cs="宋体"/>
          <w:i w:val="0"/>
          <w:iCs w:val="0"/>
          <w:caps w:val="0"/>
          <w:color w:val="000000"/>
          <w:spacing w:val="0"/>
          <w:kern w:val="0"/>
          <w:sz w:val="24"/>
          <w:szCs w:val="24"/>
          <w:shd w:val="clear" w:fill="FFFFFF"/>
          <w:lang w:val="en-US" w:eastAsia="zh-CN" w:bidi="ar-SA"/>
        </w:rPr>
        <w:t>全市</w:t>
      </w:r>
      <w:r>
        <w:rPr>
          <w:rFonts w:hint="eastAsia" w:ascii="宋体" w:hAnsi="宋体" w:eastAsia="宋体" w:cs="宋体"/>
          <w:i w:val="0"/>
          <w:iCs w:val="0"/>
          <w:caps w:val="0"/>
          <w:color w:val="000000"/>
          <w:spacing w:val="0"/>
          <w:kern w:val="0"/>
          <w:sz w:val="24"/>
          <w:szCs w:val="24"/>
          <w:shd w:val="clear" w:fill="FFFFFF"/>
          <w:lang w:val="en-US" w:eastAsia="zh-CN" w:bidi="ar-SA"/>
        </w:rPr>
        <w:t>市直中职学校存在的问题和面临的困境，孙大军书记和张广勇市长多次深入有关职业学校校进行调研指导工作。2021年11月22日，市政协薛爱平副主席带队赴太原、晋中等地，围绕“推动市直中专学校发展改革发展”开展专题调研，形成《关于整合六所市直中专学校建设吕梁职业教育园区的工作建议》。2022年3月，薛爱平副主席</w:t>
      </w:r>
      <w:r>
        <w:rPr>
          <w:rFonts w:hint="eastAsia" w:ascii="宋体" w:hAnsi="宋体" w:cs="宋体"/>
          <w:i w:val="0"/>
          <w:iCs w:val="0"/>
          <w:caps w:val="0"/>
          <w:color w:val="000000"/>
          <w:spacing w:val="0"/>
          <w:kern w:val="0"/>
          <w:sz w:val="24"/>
          <w:szCs w:val="24"/>
          <w:shd w:val="clear" w:fill="FFFFFF"/>
          <w:lang w:val="en-US" w:eastAsia="zh-CN" w:bidi="ar-SA"/>
        </w:rPr>
        <w:t>带领</w:t>
      </w:r>
      <w:r>
        <w:rPr>
          <w:rFonts w:hint="eastAsia" w:ascii="宋体" w:hAnsi="宋体" w:eastAsia="宋体" w:cs="宋体"/>
          <w:i w:val="0"/>
          <w:iCs w:val="0"/>
          <w:caps w:val="0"/>
          <w:color w:val="000000"/>
          <w:spacing w:val="0"/>
          <w:kern w:val="0"/>
          <w:sz w:val="24"/>
          <w:szCs w:val="24"/>
          <w:shd w:val="clear" w:fill="FFFFFF"/>
          <w:lang w:val="en-US" w:eastAsia="zh-CN" w:bidi="ar-SA"/>
        </w:rPr>
        <w:t>市教育局原分管职业教育的任晋星副主任和省职教专家一行10余人深入农校、会校、技校、经管校、职业中专、卫校6所市直中职学校，收集了大量数据，包括固定资产、教师、学生、专业、实训条件、校企合作等方面，经过实地调研、集中研判、广泛论证、提炼归纳，形成《整合市直中职学校组建吕梁职业教育园区的调研报告》。</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000000"/>
          <w:spacing w:val="0"/>
          <w:kern w:val="0"/>
          <w:sz w:val="24"/>
          <w:szCs w:val="24"/>
          <w:shd w:val="clear" w:fill="FFFFFF"/>
          <w:lang w:val="en-US" w:eastAsia="zh-CN" w:bidi="ar-SA"/>
        </w:rPr>
      </w:pPr>
      <w:r>
        <w:rPr>
          <w:rFonts w:hint="eastAsia" w:ascii="宋体" w:hAnsi="宋体" w:eastAsia="宋体" w:cs="宋体"/>
          <w:i w:val="0"/>
          <w:iCs w:val="0"/>
          <w:caps w:val="0"/>
          <w:color w:val="000000"/>
          <w:spacing w:val="0"/>
          <w:kern w:val="0"/>
          <w:sz w:val="24"/>
          <w:szCs w:val="24"/>
          <w:shd w:val="clear" w:fill="FFFFFF"/>
          <w:lang w:val="en-US" w:eastAsia="zh-CN" w:bidi="ar-SA"/>
        </w:rPr>
        <w:t>二是结合专题调研，制定切实可行实施方案。在实地调研考察论证的基础上，市教育局召集相关中职学校书记</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校长</w:t>
      </w:r>
      <w:r>
        <w:rPr>
          <w:rFonts w:hint="eastAsia" w:ascii="宋体" w:hAnsi="宋体" w:cs="宋体"/>
          <w:i w:val="0"/>
          <w:iCs w:val="0"/>
          <w:caps w:val="0"/>
          <w:color w:val="000000"/>
          <w:spacing w:val="0"/>
          <w:kern w:val="0"/>
          <w:sz w:val="24"/>
          <w:szCs w:val="24"/>
          <w:shd w:val="clear" w:fill="FFFFFF"/>
          <w:lang w:val="en-US" w:eastAsia="zh-CN" w:bidi="ar-SA"/>
        </w:rPr>
        <w:t>）</w:t>
      </w:r>
      <w:r>
        <w:rPr>
          <w:rFonts w:hint="eastAsia" w:ascii="宋体" w:hAnsi="宋体" w:eastAsia="宋体" w:cs="宋体"/>
          <w:i w:val="0"/>
          <w:iCs w:val="0"/>
          <w:caps w:val="0"/>
          <w:color w:val="000000"/>
          <w:spacing w:val="0"/>
          <w:kern w:val="0"/>
          <w:sz w:val="24"/>
          <w:szCs w:val="24"/>
          <w:shd w:val="clear" w:fill="FFFFFF"/>
          <w:lang w:val="en-US" w:eastAsia="zh-CN" w:bidi="ar-SA"/>
        </w:rPr>
        <w:t>、柳林县教育局主要负责人进行多次座谈，市教育局赵雪宏局长多次召开局务会议研究市直中职学校资源整合工作，形成《关于整合市直六所中职学校建设吕梁职业教育园区的工作方案》（草案）并于5月27日上报市委市政府，该《工作方案》（草案）从六所学校的基本情况、目前存在的主要问题、园区建设的可行性、园区建设的</w:t>
      </w:r>
      <w:r>
        <w:rPr>
          <w:rFonts w:hint="eastAsia" w:ascii="宋体" w:hAnsi="宋体" w:cs="宋体"/>
          <w:i w:val="0"/>
          <w:iCs w:val="0"/>
          <w:caps w:val="0"/>
          <w:color w:val="000000"/>
          <w:spacing w:val="0"/>
          <w:kern w:val="0"/>
          <w:sz w:val="24"/>
          <w:szCs w:val="24"/>
          <w:shd w:val="clear" w:fill="FFFFFF"/>
          <w:lang w:val="en-US" w:eastAsia="zh-CN" w:bidi="ar-SA"/>
        </w:rPr>
        <w:t>必要</w:t>
      </w:r>
      <w:r>
        <w:rPr>
          <w:rFonts w:hint="eastAsia" w:ascii="宋体" w:hAnsi="宋体" w:eastAsia="宋体" w:cs="宋体"/>
          <w:i w:val="0"/>
          <w:iCs w:val="0"/>
          <w:caps w:val="0"/>
          <w:color w:val="000000"/>
          <w:spacing w:val="0"/>
          <w:kern w:val="0"/>
          <w:sz w:val="24"/>
          <w:szCs w:val="24"/>
          <w:shd w:val="clear" w:fill="FFFFFF"/>
          <w:lang w:val="en-US" w:eastAsia="zh-CN" w:bidi="ar-SA"/>
        </w:rPr>
        <w:t>性、园区建设的推进举措、保障机制六个方面</w:t>
      </w:r>
      <w:r>
        <w:rPr>
          <w:rFonts w:hint="eastAsia" w:ascii="宋体" w:hAnsi="宋体" w:cs="宋体"/>
          <w:i w:val="0"/>
          <w:iCs w:val="0"/>
          <w:caps w:val="0"/>
          <w:color w:val="000000"/>
          <w:spacing w:val="0"/>
          <w:kern w:val="0"/>
          <w:sz w:val="24"/>
          <w:szCs w:val="24"/>
          <w:shd w:val="clear" w:fill="FFFFFF"/>
          <w:lang w:val="en-US" w:eastAsia="zh-CN" w:bidi="ar-SA"/>
        </w:rPr>
        <w:t>进行了</w:t>
      </w:r>
      <w:r>
        <w:rPr>
          <w:rFonts w:hint="eastAsia" w:ascii="宋体" w:hAnsi="宋体" w:eastAsia="宋体" w:cs="宋体"/>
          <w:i w:val="0"/>
          <w:iCs w:val="0"/>
          <w:caps w:val="0"/>
          <w:color w:val="000000"/>
          <w:spacing w:val="0"/>
          <w:kern w:val="0"/>
          <w:sz w:val="24"/>
          <w:szCs w:val="24"/>
          <w:shd w:val="clear" w:fill="FFFFFF"/>
          <w:lang w:val="en-US" w:eastAsia="zh-CN" w:bidi="ar-SA"/>
        </w:rPr>
        <w:t>详细论述。</w:t>
      </w:r>
      <w:r>
        <w:rPr>
          <w:rFonts w:hint="eastAsia" w:ascii="宋体" w:hAnsi="宋体" w:cs="宋体"/>
          <w:i w:val="0"/>
          <w:iCs w:val="0"/>
          <w:caps w:val="0"/>
          <w:color w:val="000000"/>
          <w:spacing w:val="0"/>
          <w:kern w:val="0"/>
          <w:sz w:val="24"/>
          <w:szCs w:val="24"/>
          <w:shd w:val="clear" w:fill="FFFFFF"/>
          <w:lang w:val="en-US" w:eastAsia="zh-CN" w:bidi="ar-SA"/>
        </w:rPr>
        <w:t>2022</w:t>
      </w:r>
      <w:r>
        <w:rPr>
          <w:rFonts w:hint="eastAsia" w:ascii="宋体" w:hAnsi="宋体" w:eastAsia="宋体" w:cs="宋体"/>
          <w:i w:val="0"/>
          <w:iCs w:val="0"/>
          <w:caps w:val="0"/>
          <w:color w:val="000000"/>
          <w:spacing w:val="0"/>
          <w:kern w:val="0"/>
          <w:sz w:val="24"/>
          <w:szCs w:val="24"/>
          <w:shd w:val="clear" w:fill="FFFFFF"/>
          <w:lang w:val="en-US" w:eastAsia="zh-CN" w:bidi="ar-SA"/>
        </w:rPr>
        <w:t>年10月，市政府根据吕梁新区建设和市直中职学校未来发展的需要，提出了新的发展思路：拟在新区新征地建设吕梁职业中专学校和吕梁技师学院。</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outlineLvl w:val="9"/>
        <w:rPr>
          <w:rFonts w:hint="default" w:ascii="黑体" w:eastAsia="黑体" w:cs="黑体"/>
          <w:color w:val="auto"/>
          <w:sz w:val="32"/>
          <w:szCs w:val="32"/>
          <w:lang w:val="en-US" w:eastAsia="zh-CN"/>
        </w:rPr>
      </w:pPr>
      <w:r>
        <w:rPr>
          <w:rFonts w:hint="default" w:ascii="黑体" w:eastAsia="黑体" w:cs="黑体"/>
          <w:color w:val="auto"/>
          <w:sz w:val="32"/>
          <w:szCs w:val="32"/>
          <w:lang w:val="en-US" w:eastAsia="zh-CN"/>
        </w:rPr>
        <w:drawing>
          <wp:inline distT="0" distB="0" distL="114300" distR="114300">
            <wp:extent cx="4401820" cy="2557145"/>
            <wp:effectExtent l="0" t="0" r="17780" b="14605"/>
            <wp:docPr id="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
                    <pic:cNvPicPr>
                      <a:picLocks noChangeAspect="1"/>
                    </pic:cNvPicPr>
                  </pic:nvPicPr>
                  <pic:blipFill>
                    <a:blip r:embed="rId23"/>
                    <a:srcRect t="22587"/>
                    <a:stretch>
                      <a:fillRect/>
                    </a:stretch>
                  </pic:blipFill>
                  <pic:spPr>
                    <a:xfrm>
                      <a:off x="0" y="0"/>
                      <a:ext cx="4401820" cy="2557145"/>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center"/>
        <w:textAlignment w:val="auto"/>
        <w:outlineLvl w:val="3"/>
        <w:rPr>
          <w:rFonts w:hint="eastAsia" w:ascii="宋体" w:hAnsi="宋体" w:eastAsia="宋体" w:cs="宋体"/>
          <w:b/>
          <w:color w:val="auto"/>
          <w:sz w:val="21"/>
          <w:szCs w:val="21"/>
          <w:lang w:val="en-US" w:eastAsia="zh-CN"/>
        </w:rPr>
      </w:pPr>
      <w:bookmarkStart w:id="72" w:name="_Toc15101"/>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4</w:t>
      </w:r>
      <w:r>
        <w:rPr>
          <w:rFonts w:hint="eastAsia" w:ascii="宋体" w:hAnsi="宋体" w:eastAsia="宋体" w:cs="宋体"/>
          <w:b/>
          <w:color w:val="auto"/>
          <w:sz w:val="21"/>
          <w:szCs w:val="21"/>
        </w:rPr>
        <w:t>-1</w:t>
      </w:r>
      <w:r>
        <w:rPr>
          <w:rFonts w:hint="eastAsia" w:ascii="宋体" w:hAnsi="宋体" w:eastAsia="宋体" w:cs="宋体"/>
          <w:b/>
          <w:color w:val="auto"/>
          <w:sz w:val="21"/>
          <w:szCs w:val="21"/>
          <w:lang w:val="en-US" w:eastAsia="zh-CN"/>
        </w:rPr>
        <w:t xml:space="preserve">  市政协薛爱平副主席围绕“推动市直中专学校发展改革发展”开展专题调研</w:t>
      </w:r>
      <w:bookmarkEnd w:id="72"/>
    </w:p>
    <w:p>
      <w:pPr>
        <w:pStyle w:val="12"/>
        <w:bidi w:val="0"/>
        <w:jc w:val="center"/>
        <w:rPr>
          <w:color w:val="auto"/>
        </w:rPr>
      </w:pPr>
      <w:r>
        <w:rPr>
          <w:color w:val="auto"/>
        </w:rPr>
        <w:drawing>
          <wp:inline distT="0" distB="0" distL="114300" distR="114300">
            <wp:extent cx="2977515" cy="3629025"/>
            <wp:effectExtent l="0" t="0" r="1333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4"/>
                    <a:stretch>
                      <a:fillRect/>
                    </a:stretch>
                  </pic:blipFill>
                  <pic:spPr>
                    <a:xfrm>
                      <a:off x="0" y="0"/>
                      <a:ext cx="2977515" cy="3629025"/>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outlineLvl w:val="3"/>
        <w:rPr>
          <w:rFonts w:hint="eastAsia" w:ascii="宋体" w:hAnsi="宋体" w:eastAsia="宋体" w:cs="宋体"/>
          <w:b/>
          <w:color w:val="auto"/>
          <w:sz w:val="21"/>
          <w:szCs w:val="21"/>
          <w:lang w:val="en-US" w:eastAsia="zh-CN"/>
        </w:rPr>
      </w:pPr>
      <w:bookmarkStart w:id="73" w:name="_Toc7492"/>
      <w:r>
        <w:rPr>
          <w:rFonts w:hint="eastAsia" w:ascii="宋体" w:hAnsi="宋体" w:eastAsia="宋体" w:cs="宋体"/>
          <w:b/>
          <w:color w:val="auto"/>
          <w:sz w:val="21"/>
          <w:szCs w:val="21"/>
          <w:lang w:eastAsia="zh-CN"/>
        </w:rPr>
        <w:t>图</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lang w:val="en-US" w:eastAsia="zh-CN"/>
        </w:rPr>
        <w:t>2  市委、市政府《关于办好人民满意教育的行动方案》首页</w:t>
      </w:r>
      <w:bookmarkEnd w:id="73"/>
    </w:p>
    <w:p>
      <w:pPr>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0" w:firstLineChars="0"/>
        <w:jc w:val="center"/>
        <w:textAlignment w:val="auto"/>
        <w:outlineLvl w:val="9"/>
        <w:rPr>
          <w:rFonts w:hint="eastAsia" w:eastAsia="宋体"/>
          <w:lang w:eastAsia="zh-CN"/>
        </w:rPr>
      </w:pPr>
      <w:r>
        <w:rPr>
          <w:rFonts w:hint="eastAsia" w:eastAsia="宋体"/>
          <w:lang w:eastAsia="zh-CN"/>
        </w:rPr>
        <w:drawing>
          <wp:inline distT="0" distB="0" distL="114300" distR="114300">
            <wp:extent cx="3569970" cy="4476750"/>
            <wp:effectExtent l="0" t="0" r="11430" b="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25"/>
                    <a:stretch>
                      <a:fillRect/>
                    </a:stretch>
                  </pic:blipFill>
                  <pic:spPr>
                    <a:xfrm>
                      <a:off x="0" y="0"/>
                      <a:ext cx="3569970" cy="447675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outlineLvl w:val="3"/>
        <w:rPr>
          <w:rFonts w:hint="eastAsia" w:ascii="宋体" w:hAnsi="宋体" w:eastAsia="宋体" w:cs="宋体"/>
          <w:b/>
          <w:color w:val="auto"/>
          <w:sz w:val="21"/>
          <w:szCs w:val="21"/>
          <w:lang w:val="en-US" w:eastAsia="zh-CN"/>
        </w:rPr>
      </w:pPr>
      <w:bookmarkStart w:id="74" w:name="_Toc1405"/>
      <w:r>
        <w:rPr>
          <w:rFonts w:hint="eastAsia" w:ascii="宋体" w:hAnsi="宋体" w:eastAsia="宋体" w:cs="宋体"/>
          <w:b/>
          <w:color w:val="auto"/>
          <w:sz w:val="21"/>
          <w:szCs w:val="21"/>
          <w:lang w:eastAsia="zh-CN"/>
        </w:rPr>
        <w:t>图</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lang w:eastAsia="zh-CN"/>
        </w:rPr>
        <w:t>-</w:t>
      </w:r>
      <w:r>
        <w:rPr>
          <w:rFonts w:hint="eastAsia" w:ascii="宋体" w:hAnsi="宋体" w:cs="宋体"/>
          <w:b/>
          <w:color w:val="auto"/>
          <w:sz w:val="21"/>
          <w:szCs w:val="21"/>
          <w:lang w:val="en-US" w:eastAsia="zh-CN"/>
        </w:rPr>
        <w:t>3</w:t>
      </w:r>
      <w:r>
        <w:rPr>
          <w:rFonts w:hint="eastAsia" w:ascii="宋体" w:hAnsi="宋体" w:eastAsia="宋体" w:cs="宋体"/>
          <w:b/>
          <w:color w:val="auto"/>
          <w:sz w:val="21"/>
          <w:szCs w:val="21"/>
          <w:lang w:val="en-US" w:eastAsia="zh-CN"/>
        </w:rPr>
        <w:t xml:space="preserve">  《关于推进中等职业学校办学条件达标与资源整合工作的通知》首页</w:t>
      </w:r>
      <w:bookmarkEnd w:id="74"/>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40" w:firstLineChars="200"/>
        <w:jc w:val="both"/>
        <w:textAlignment w:val="auto"/>
        <w:outlineLvl w:val="9"/>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eastAsia="宋体" w:cs="宋体"/>
          <w:b/>
          <w:color w:val="auto"/>
          <w:kern w:val="2"/>
          <w:sz w:val="30"/>
          <w:szCs w:val="30"/>
          <w:lang w:val="en-US" w:eastAsia="zh-CN" w:bidi="ar-SA"/>
        </w:rPr>
      </w:pPr>
      <w:bookmarkStart w:id="75" w:name="_Toc32031"/>
      <w:bookmarkStart w:id="76" w:name="_Toc8042"/>
      <w:bookmarkStart w:id="77" w:name="_Toc9750"/>
      <w:r>
        <w:rPr>
          <w:rFonts w:hint="eastAsia" w:ascii="宋体" w:hAnsi="宋体" w:cs="宋体"/>
          <w:b/>
          <w:color w:val="auto"/>
          <w:kern w:val="2"/>
          <w:sz w:val="30"/>
          <w:szCs w:val="30"/>
          <w:lang w:val="en-US" w:eastAsia="zh-CN" w:bidi="ar-SA"/>
        </w:rPr>
        <w:t>5</w:t>
      </w:r>
      <w:r>
        <w:rPr>
          <w:rFonts w:hint="eastAsia" w:ascii="宋体" w:hAnsi="宋体" w:eastAsia="宋体" w:cs="宋体"/>
          <w:b/>
          <w:color w:val="auto"/>
          <w:kern w:val="2"/>
          <w:sz w:val="30"/>
          <w:szCs w:val="30"/>
          <w:lang w:val="en-US" w:eastAsia="zh-CN" w:bidi="ar-SA"/>
        </w:rPr>
        <w:t>．校企合作</w:t>
      </w:r>
      <w:bookmarkEnd w:id="75"/>
      <w:bookmarkEnd w:id="76"/>
      <w:bookmarkEnd w:id="77"/>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78" w:name="_Toc20139"/>
      <w:bookmarkStart w:id="79" w:name="_Toc25904"/>
      <w:bookmarkStart w:id="80" w:name="_Toc22632"/>
      <w:r>
        <w:rPr>
          <w:rFonts w:hint="eastAsia" w:ascii="宋体" w:hAnsi="宋体" w:cs="宋体"/>
          <w:b/>
          <w:color w:val="auto"/>
          <w:kern w:val="2"/>
          <w:sz w:val="28"/>
          <w:szCs w:val="28"/>
          <w:lang w:val="en-US" w:eastAsia="zh-CN" w:bidi="ar-SA"/>
        </w:rPr>
        <w:t>5</w:t>
      </w:r>
      <w:r>
        <w:rPr>
          <w:rFonts w:hint="eastAsia" w:ascii="宋体" w:hAnsi="宋体" w:eastAsia="宋体" w:cs="宋体"/>
          <w:b/>
          <w:color w:val="auto"/>
          <w:kern w:val="2"/>
          <w:sz w:val="28"/>
          <w:szCs w:val="28"/>
          <w:lang w:val="en-US" w:eastAsia="zh-CN" w:bidi="ar-SA"/>
        </w:rPr>
        <w:t>.1 校企合作开展情况和效果</w:t>
      </w:r>
      <w:bookmarkEnd w:id="78"/>
      <w:bookmarkEnd w:id="79"/>
      <w:bookmarkEnd w:id="80"/>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firstLine="480" w:firstLineChars="200"/>
        <w:jc w:val="both"/>
        <w:textAlignment w:val="auto"/>
        <w:outlineLvl w:val="9"/>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企业是职业教育的重要参与主体，行业对职业教育具有重要的指导、评价与服务职责。</w:t>
      </w:r>
      <w:r>
        <w:rPr>
          <w:rFonts w:hint="eastAsia" w:ascii="宋体" w:hAnsi="宋体" w:cs="宋体"/>
          <w:b w:val="0"/>
          <w:bCs w:val="0"/>
          <w:color w:val="auto"/>
          <w:kern w:val="2"/>
          <w:sz w:val="24"/>
          <w:szCs w:val="24"/>
          <w:lang w:val="en-US" w:eastAsia="zh-CN" w:bidi="ar-SA"/>
        </w:rPr>
        <w:t>吕梁市积极</w:t>
      </w:r>
      <w:r>
        <w:rPr>
          <w:rFonts w:hint="eastAsia" w:ascii="宋体" w:hAnsi="宋体" w:eastAsia="宋体" w:cs="宋体"/>
          <w:b w:val="0"/>
          <w:bCs w:val="0"/>
          <w:color w:val="auto"/>
          <w:kern w:val="2"/>
          <w:sz w:val="24"/>
          <w:szCs w:val="24"/>
          <w:lang w:val="en-US" w:eastAsia="zh-CN" w:bidi="ar-SA"/>
        </w:rPr>
        <w:t>发挥企业的办学、投资、培养、管理和评价方面的作用，</w:t>
      </w:r>
      <w:r>
        <w:rPr>
          <w:rFonts w:hint="eastAsia" w:ascii="宋体" w:hAnsi="宋体" w:cs="宋体"/>
          <w:b w:val="0"/>
          <w:bCs w:val="0"/>
          <w:color w:val="auto"/>
          <w:kern w:val="2"/>
          <w:sz w:val="24"/>
          <w:szCs w:val="24"/>
          <w:lang w:val="en-US" w:eastAsia="zh-CN" w:bidi="ar-SA"/>
        </w:rPr>
        <w:t>不断建立</w:t>
      </w:r>
      <w:r>
        <w:rPr>
          <w:rFonts w:hint="eastAsia" w:ascii="宋体" w:hAnsi="宋体" w:eastAsia="宋体" w:cs="宋体"/>
          <w:b w:val="0"/>
          <w:bCs w:val="0"/>
          <w:color w:val="auto"/>
          <w:kern w:val="2"/>
          <w:sz w:val="24"/>
          <w:szCs w:val="24"/>
          <w:lang w:val="en-US" w:eastAsia="zh-CN" w:bidi="ar-SA"/>
        </w:rPr>
        <w:t>健全企业参与制度，研究制定促进校企合作</w:t>
      </w:r>
      <w:r>
        <w:rPr>
          <w:rFonts w:hint="eastAsia" w:ascii="宋体"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工学结合的办法和激励政策，</w:t>
      </w:r>
      <w:r>
        <w:rPr>
          <w:rFonts w:hint="eastAsia" w:ascii="宋体" w:hAnsi="宋体" w:cs="宋体"/>
          <w:b w:val="0"/>
          <w:bCs w:val="0"/>
          <w:color w:val="auto"/>
          <w:kern w:val="2"/>
          <w:sz w:val="24"/>
          <w:szCs w:val="24"/>
          <w:lang w:val="en-US" w:eastAsia="zh-CN" w:bidi="ar-SA"/>
        </w:rPr>
        <w:t>持续</w:t>
      </w:r>
      <w:r>
        <w:rPr>
          <w:rFonts w:hint="eastAsia" w:ascii="宋体" w:hAnsi="宋体" w:eastAsia="宋体" w:cs="宋体"/>
          <w:b w:val="0"/>
          <w:bCs w:val="0"/>
          <w:color w:val="auto"/>
          <w:kern w:val="2"/>
          <w:sz w:val="24"/>
          <w:szCs w:val="24"/>
          <w:lang w:val="en-US" w:eastAsia="zh-CN" w:bidi="ar-SA"/>
        </w:rPr>
        <w:t>加强行业指导、评价和服务能力建设。</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firstLine="480" w:firstLineChars="200"/>
        <w:jc w:val="both"/>
        <w:textAlignment w:val="auto"/>
        <w:outlineLvl w:val="9"/>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全市</w:t>
      </w:r>
      <w:r>
        <w:rPr>
          <w:rFonts w:hint="eastAsia" w:ascii="宋体" w:hAnsi="宋体" w:eastAsia="宋体" w:cs="宋体"/>
          <w:b w:val="0"/>
          <w:bCs w:val="0"/>
          <w:color w:val="auto"/>
          <w:kern w:val="2"/>
          <w:sz w:val="24"/>
          <w:szCs w:val="24"/>
          <w:lang w:val="en-US" w:eastAsia="zh-CN" w:bidi="ar-SA"/>
        </w:rPr>
        <w:t>深入贯彻《山西省人民政府关于印发山西省促进产教融合实施方案的通知》，鼓励行业企业参与人才培养全过程，引导职业院校与企业共建实训基地，建设“双师型”教师队伍。部分学校聘请行业企业专家、技术能手、能工巧匠、职业教育专家等参与职业教育，定期召开座谈会，讨论和制定校企合作计划，共同制定专业人才培养方案、课程标准，共同开发教材，共同进行实习实训室建设，共同对学生职业技能进行培训。</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firstLine="480" w:firstLineChars="200"/>
        <w:jc w:val="both"/>
        <w:textAlignment w:val="auto"/>
        <w:outlineLvl w:val="9"/>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落实教师定期到企业实践制度。制定企业实践管理办法,将到企业实践纳入职业教育教师继续教育统筹管理,加强对企业实践工作的指导、监督和评估，要求专业教师每年不少于1个月的企业实践，公共基础课教师定期到企业进行考察、调研和学习活动，积极探索建立职业学校新任教师到企业进行实践后上岗任教的制度，教师到企业实践情况的考核结果，计入本人继续教育档案。</w:t>
      </w:r>
    </w:p>
    <w:p>
      <w:pPr>
        <w:pStyle w:val="2"/>
        <w:rPr>
          <w:rFonts w:hint="eastAsia"/>
          <w:lang w:val="en-US" w:eastAsia="zh-CN"/>
        </w:rPr>
      </w:pPr>
      <w:r>
        <w:rPr>
          <w:rFonts w:hint="eastAsia" w:ascii="微软雅黑" w:hAnsi="微软雅黑" w:eastAsia="宋体" w:cs="微软雅黑"/>
          <w:b w:val="0"/>
          <w:i w:val="0"/>
          <w:iCs w:val="0"/>
          <w:caps w:val="0"/>
          <w:color w:val="auto"/>
          <w:spacing w:val="0"/>
          <w:sz w:val="24"/>
          <w:szCs w:val="28"/>
          <w:shd w:val="clear" w:fill="FFFFFF"/>
          <w:lang w:eastAsia="zh-CN"/>
        </w:rPr>
        <w:drawing>
          <wp:inline distT="0" distB="0" distL="114935" distR="114935">
            <wp:extent cx="5219700" cy="2379980"/>
            <wp:effectExtent l="0" t="0" r="0" b="1270"/>
            <wp:docPr id="73" name="图片 73"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3(1)"/>
                    <pic:cNvPicPr>
                      <a:picLocks noChangeAspect="1"/>
                    </pic:cNvPicPr>
                  </pic:nvPicPr>
                  <pic:blipFill>
                    <a:blip r:embed="rId26">
                      <a:lum bright="12000" contrast="12000"/>
                    </a:blip>
                    <a:srcRect t="30561" b="8617"/>
                    <a:stretch>
                      <a:fillRect/>
                    </a:stretch>
                  </pic:blipFill>
                  <pic:spPr>
                    <a:xfrm>
                      <a:off x="0" y="0"/>
                      <a:ext cx="5219700" cy="237998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outlineLvl w:val="3"/>
        <w:rPr>
          <w:rFonts w:hint="eastAsia" w:ascii="宋体" w:hAnsi="宋体" w:eastAsia="宋体" w:cs="宋体"/>
          <w:b/>
          <w:color w:val="auto"/>
          <w:sz w:val="21"/>
          <w:szCs w:val="21"/>
          <w:lang w:val="en-US" w:eastAsia="zh-CN"/>
        </w:rPr>
      </w:pPr>
      <w:bookmarkStart w:id="81" w:name="_Toc32023"/>
      <w:bookmarkStart w:id="82" w:name="_Toc30186"/>
      <w:bookmarkStart w:id="83" w:name="_Toc12771"/>
      <w:bookmarkStart w:id="84" w:name="_Toc25933"/>
      <w:bookmarkStart w:id="85" w:name="_Toc32544"/>
      <w:r>
        <w:rPr>
          <w:rFonts w:hint="eastAsia" w:ascii="宋体" w:hAnsi="宋体" w:eastAsia="宋体" w:cs="宋体"/>
          <w:b/>
          <w:color w:val="auto"/>
          <w:sz w:val="21"/>
          <w:szCs w:val="21"/>
          <w:lang w:val="en-US" w:eastAsia="zh-CN"/>
        </w:rPr>
        <w:t>图</w:t>
      </w:r>
      <w:r>
        <w:rPr>
          <w:rFonts w:hint="eastAsia" w:ascii="宋体" w:hAnsi="宋体" w:cs="宋体"/>
          <w:b/>
          <w:color w:val="auto"/>
          <w:sz w:val="21"/>
          <w:szCs w:val="21"/>
          <w:lang w:val="en-US" w:eastAsia="zh-CN"/>
        </w:rPr>
        <w:t>5</w:t>
      </w:r>
      <w:r>
        <w:rPr>
          <w:rFonts w:hint="eastAsia" w:ascii="宋体" w:hAnsi="宋体" w:eastAsia="宋体" w:cs="宋体"/>
          <w:b/>
          <w:color w:val="auto"/>
          <w:sz w:val="21"/>
          <w:szCs w:val="21"/>
          <w:lang w:val="en-US" w:eastAsia="zh-CN"/>
        </w:rPr>
        <w:t xml:space="preserve">-1 </w:t>
      </w:r>
      <w:r>
        <w:rPr>
          <w:rFonts w:hint="eastAsia" w:ascii="宋体" w:hAnsi="宋体" w:cs="宋体"/>
          <w:b/>
          <w:color w:val="auto"/>
          <w:sz w:val="21"/>
          <w:szCs w:val="21"/>
          <w:lang w:val="en-US" w:eastAsia="zh-CN"/>
        </w:rPr>
        <w:t>汾阳市高级职业中学邀请</w:t>
      </w:r>
      <w:r>
        <w:rPr>
          <w:rFonts w:hint="eastAsia" w:ascii="宋体" w:hAnsi="宋体" w:eastAsia="宋体" w:cs="宋体"/>
          <w:b/>
          <w:color w:val="auto"/>
          <w:sz w:val="21"/>
          <w:szCs w:val="21"/>
          <w:lang w:val="en-US" w:eastAsia="zh-CN"/>
        </w:rPr>
        <w:t>企业</w:t>
      </w:r>
      <w:r>
        <w:rPr>
          <w:rFonts w:hint="eastAsia" w:ascii="宋体" w:hAnsi="宋体" w:cs="宋体"/>
          <w:b/>
          <w:color w:val="auto"/>
          <w:sz w:val="21"/>
          <w:szCs w:val="21"/>
          <w:lang w:val="en-US" w:eastAsia="zh-CN"/>
        </w:rPr>
        <w:t>技</w:t>
      </w:r>
      <w:r>
        <w:rPr>
          <w:rFonts w:hint="eastAsia" w:ascii="宋体" w:hAnsi="宋体" w:eastAsia="宋体" w:cs="宋体"/>
          <w:b/>
          <w:color w:val="auto"/>
          <w:sz w:val="21"/>
          <w:szCs w:val="21"/>
          <w:lang w:val="en-US" w:eastAsia="zh-CN"/>
        </w:rPr>
        <w:t>师讲专业理论课</w:t>
      </w:r>
      <w:bookmarkEnd w:id="81"/>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firstLine="480" w:firstLineChars="200"/>
        <w:jc w:val="both"/>
        <w:textAlignment w:val="auto"/>
        <w:outlineLvl w:val="9"/>
        <w:rPr>
          <w:rFonts w:hint="eastAsia" w:ascii="宋体" w:hAnsi="宋体" w:cs="宋体"/>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以吕梁煤炭工业学校和吕梁高级技工学校为龙头的各职业技术类院校积极探索校企合作新渠道，完善技能人才培训培养体系。一是探索产教融合新模式</w:t>
      </w:r>
      <w:r>
        <w:rPr>
          <w:rFonts w:hint="eastAsia" w:ascii="宋体"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本着合作共赢的思路，继续完善与现合作企业开展的产教融合、校企合作模式，积极推进校企“双元”育人模式。二是坚持知行合一、工学结合积极推进校企“双元”育人模式，联合相关企业开展专业共建，校企双方共同研究制定人才培养方案，及时将新技术、新工艺、新规范纳入教学标准和教学内容，强化学生实习实训。落实教材创新改革方案，实现专业教材随信息技术发展和产业升级情况及时动态更新。适应“互联网+职业教育”发展需求，运用现代信息技术改进教学方式方法，推进网络学习空间建设和普遍应用。三是进一步推动校企深度合作</w:t>
      </w:r>
      <w:r>
        <w:rPr>
          <w:rFonts w:hint="eastAsia" w:ascii="宋体"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与北京中关村、孝义金岩、孝义金达、腾讯云、河北铁宇，华讯科技、鹏飞集团、厦门三安、友锐教育等10余家企业开展合作，通过企业标准、企业管理、企业文化与育人过程的深度融合，形成“人才共育、过程共管、成果共享”的紧密型校企双主体教学模式，推进多层次、多形式、多领域的深度合作。四是开展专业共建、订单式人才培养</w:t>
      </w:r>
      <w:r>
        <w:rPr>
          <w:rFonts w:hint="eastAsia" w:ascii="宋体"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遵循工学结合的原则，通过“工学交替”、“岗位实习”、“订单式培养”等模式，积极展开与相关企业的密切合作。企业参与学生的培养过程，部分实践性较强的课程由企业人员承担</w:t>
      </w:r>
      <w:r>
        <w:rPr>
          <w:rFonts w:hint="eastAsia" w:ascii="宋体" w:hAnsi="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t>使学校和企业形成一种稳定的互惠互利机制。与孝义金晖集团、孝义金岩集团、孝义鹏飞集团、孝义金达集团等企业签订校企合作、订单培养协议，建立了长期、稳定的学生实习与就业平台；与河北铁宇科技有限公司、河北华讯科技有限公司、北京哲铭基文化传播有限公司（北京中关村软件园人才基地）、厦门三安光电集团、友锐教育、河北天泰科技有限公司等企业开展专业共建，涉及煤炭深加工与利用、计算机应用技术、计算机网络技术、大数据技术与应用、云计算技术应用、信息安全与管理、旅游管理、机电一体化技术、电气自动化技术等专业，校企之间充分发挥各自资源优势，共搭管理平台、共组师资队伍、共创培养模式、共商专业规划、共议课程开发、共同招工招生、共评培养质量、实现资源共享、优势互补、校企双赢、共同发展。</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86" w:name="_Toc3418"/>
      <w:bookmarkStart w:id="87" w:name="_Toc15812"/>
      <w:bookmarkStart w:id="88" w:name="_Toc23207"/>
      <w:bookmarkStart w:id="89" w:name="_Toc24138"/>
      <w:r>
        <w:rPr>
          <w:rFonts w:hint="eastAsia" w:ascii="宋体" w:hAnsi="宋体" w:cs="宋体"/>
          <w:b/>
          <w:color w:val="auto"/>
          <w:kern w:val="2"/>
          <w:sz w:val="28"/>
          <w:szCs w:val="28"/>
          <w:lang w:val="en-US" w:eastAsia="zh-CN" w:bidi="ar-SA"/>
        </w:rPr>
        <w:t>5</w:t>
      </w:r>
      <w:r>
        <w:rPr>
          <w:rFonts w:hint="eastAsia" w:ascii="宋体" w:hAnsi="宋体" w:eastAsia="宋体" w:cs="宋体"/>
          <w:b/>
          <w:color w:val="auto"/>
          <w:kern w:val="2"/>
          <w:sz w:val="28"/>
          <w:szCs w:val="28"/>
          <w:lang w:val="en-US" w:eastAsia="zh-CN" w:bidi="ar-SA"/>
        </w:rPr>
        <w:t>.2 学生实习情况</w:t>
      </w:r>
      <w:bookmarkEnd w:id="86"/>
      <w:bookmarkEnd w:id="87"/>
      <w:bookmarkEnd w:id="88"/>
    </w:p>
    <w:bookmarkEnd w:id="89"/>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480" w:firstLineChars="200"/>
        <w:jc w:val="both"/>
        <w:textAlignment w:val="auto"/>
        <w:outlineLvl w:val="9"/>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为保证学生实习安全有效，根据《职业学校学生实习管理规定》，加大了对中等职业学校专项排查力度，确保中等职业学校加强与企业之间的合作，指导学校详细制定学生实习计划，选择合法经营、管理规范、实习设备完备、符合安全生产法律法规的实习单位安排学生实习，签订</w:t>
      </w:r>
      <w:r>
        <w:rPr>
          <w:rFonts w:hint="eastAsia" w:ascii="宋体" w:hAnsi="宋体" w:cs="宋体"/>
          <w:i w:val="0"/>
          <w:iCs w:val="0"/>
          <w:caps w:val="0"/>
          <w:color w:val="333333"/>
          <w:spacing w:val="0"/>
          <w:sz w:val="24"/>
          <w:szCs w:val="24"/>
          <w:shd w:val="clear" w:fill="FFFFFF"/>
          <w:lang w:val="en-US" w:eastAsia="zh-CN"/>
        </w:rPr>
        <w:t>学生</w:t>
      </w:r>
      <w:r>
        <w:rPr>
          <w:rFonts w:hint="eastAsia" w:ascii="宋体" w:hAnsi="宋体" w:eastAsia="宋体" w:cs="宋体"/>
          <w:i w:val="0"/>
          <w:iCs w:val="0"/>
          <w:caps w:val="0"/>
          <w:color w:val="333333"/>
          <w:spacing w:val="0"/>
          <w:sz w:val="24"/>
          <w:szCs w:val="24"/>
          <w:shd w:val="clear" w:fill="FFFFFF"/>
        </w:rPr>
        <w:t>实习三方协议书，并选派优秀指导老师跟踪指导，为学生实训实习学习提供了良好的平台。</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eastAsia="宋体" w:cs="宋体"/>
          <w:b/>
          <w:color w:val="auto"/>
          <w:kern w:val="2"/>
          <w:sz w:val="28"/>
          <w:szCs w:val="28"/>
          <w:lang w:val="en-US" w:eastAsia="zh-CN" w:bidi="ar-SA"/>
        </w:rPr>
      </w:pPr>
      <w:bookmarkStart w:id="90" w:name="_Toc4586"/>
      <w:bookmarkStart w:id="91" w:name="_Toc26094"/>
      <w:bookmarkStart w:id="92" w:name="_Toc12617"/>
      <w:r>
        <w:rPr>
          <w:rFonts w:hint="eastAsia" w:ascii="宋体" w:hAnsi="宋体" w:cs="宋体"/>
          <w:b/>
          <w:color w:val="auto"/>
          <w:kern w:val="2"/>
          <w:sz w:val="28"/>
          <w:szCs w:val="28"/>
          <w:lang w:val="en-US" w:eastAsia="zh-CN" w:bidi="ar-SA"/>
        </w:rPr>
        <w:t>5</w:t>
      </w:r>
      <w:r>
        <w:rPr>
          <w:rFonts w:hint="eastAsia" w:ascii="宋体" w:hAnsi="宋体" w:eastAsia="宋体" w:cs="宋体"/>
          <w:b/>
          <w:color w:val="auto"/>
          <w:kern w:val="2"/>
          <w:sz w:val="28"/>
          <w:szCs w:val="28"/>
          <w:lang w:val="en-US" w:eastAsia="zh-CN" w:bidi="ar-SA"/>
        </w:rPr>
        <w:t>.3 集团化办学</w:t>
      </w:r>
      <w:bookmarkEnd w:id="90"/>
      <w:bookmarkEnd w:id="91"/>
      <w:bookmarkEnd w:id="92"/>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firstLine="480" w:firstLineChars="200"/>
        <w:jc w:val="both"/>
        <w:textAlignment w:val="auto"/>
        <w:rPr>
          <w:rFonts w:hint="eastAsia" w:ascii="宋体" w:hAnsi="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kern w:val="2"/>
          <w:sz w:val="24"/>
          <w:szCs w:val="24"/>
          <w:lang w:val="en-US" w:eastAsia="zh-CN" w:bidi="ar-SA"/>
          <w14:textFill>
            <w14:solidFill>
              <w14:schemeClr w14:val="tx1"/>
            </w14:solidFill>
          </w14:textFill>
        </w:rPr>
        <w:t>文水县徐特立高级职业中学牵头举办了财经商贸产教联盟暨产教融合校企合作协调发展交流会，辐射了30余家周边企业和中高职院校，有效推进县域内集团化办学进程。全市部分中职学校已加入职教集团并发挥其优势，如：汾阳市高级职业中学、山西徐特立高级职业中学、交城县职业中学成为山西省装备制造职教集团常务理事单位。积极加强集团内校际之间、校企之间的合作，发挥集团内骨干学校、品牌企业的主导辐射作用，对集团内的薄弱校在招生、就业、师资、实训设备等方面进行资源共享，加快了全市职业教育改革和发展步伐。</w:t>
      </w:r>
    </w:p>
    <w:p>
      <w:pPr>
        <w:pStyle w:val="2"/>
        <w:keepNext w:val="0"/>
        <w:keepLines w:val="0"/>
        <w:pageBreakBefore w:val="0"/>
        <w:widowControl w:val="0"/>
        <w:kinsoku/>
        <w:wordWrap/>
        <w:overflowPunct/>
        <w:topLinePunct w:val="0"/>
        <w:autoSpaceDE/>
        <w:autoSpaceDN/>
        <w:bidi w:val="0"/>
        <w:adjustRightInd/>
        <w:snapToGrid/>
        <w:spacing w:after="0" w:line="480" w:lineRule="exact"/>
        <w:ind w:firstLine="420" w:firstLineChars="200"/>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cs="宋体"/>
          <w:b/>
          <w:color w:val="auto"/>
          <w:kern w:val="2"/>
          <w:sz w:val="30"/>
          <w:szCs w:val="30"/>
          <w:lang w:val="en-US" w:eastAsia="zh-CN" w:bidi="ar-SA"/>
        </w:rPr>
      </w:pPr>
      <w:bookmarkStart w:id="93" w:name="_Toc4239"/>
      <w:bookmarkStart w:id="94" w:name="_Toc2100"/>
      <w:bookmarkStart w:id="95" w:name="_Toc25825"/>
      <w:r>
        <w:rPr>
          <w:rFonts w:hint="eastAsia" w:ascii="宋体" w:hAnsi="宋体" w:cs="宋体"/>
          <w:b/>
          <w:color w:val="auto"/>
          <w:kern w:val="2"/>
          <w:sz w:val="30"/>
          <w:szCs w:val="30"/>
          <w:lang w:val="en-US" w:eastAsia="zh-CN" w:bidi="ar-SA"/>
        </w:rPr>
        <w:t>6．服务贡献</w:t>
      </w:r>
      <w:bookmarkEnd w:id="93"/>
      <w:bookmarkEnd w:id="94"/>
      <w:bookmarkEnd w:id="95"/>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96" w:name="_Toc17677"/>
      <w:bookmarkStart w:id="97" w:name="_Toc22182"/>
      <w:bookmarkStart w:id="98" w:name="_Toc23089"/>
      <w:r>
        <w:rPr>
          <w:rFonts w:hint="eastAsia" w:ascii="宋体" w:hAnsi="宋体" w:cs="宋体"/>
          <w:b/>
          <w:color w:val="auto"/>
          <w:kern w:val="2"/>
          <w:sz w:val="28"/>
          <w:szCs w:val="28"/>
          <w:lang w:val="en-US" w:eastAsia="zh-CN" w:bidi="ar-SA"/>
        </w:rPr>
        <w:t>6.1 技术技能人才培养</w:t>
      </w:r>
      <w:bookmarkEnd w:id="96"/>
      <w:bookmarkEnd w:id="97"/>
      <w:bookmarkEnd w:id="98"/>
    </w:p>
    <w:p>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firstLine="482" w:firstLineChars="200"/>
        <w:jc w:val="both"/>
        <w:textAlignment w:val="auto"/>
        <w:rPr>
          <w:rFonts w:hint="default"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1.市级技能比赛成绩突出</w:t>
      </w:r>
    </w:p>
    <w:p>
      <w:pPr>
        <w:pStyle w:val="14"/>
        <w:keepNext w:val="0"/>
        <w:keepLines w:val="0"/>
        <w:pageBreakBefore w:val="0"/>
        <w:widowControl w:val="0"/>
        <w:kinsoku/>
        <w:wordWrap/>
        <w:overflowPunct/>
        <w:topLinePunct w:val="0"/>
        <w:autoSpaceDE/>
        <w:autoSpaceDN/>
        <w:bidi w:val="0"/>
        <w:adjustRightInd/>
        <w:snapToGrid w:val="0"/>
        <w:spacing w:after="0" w:line="480" w:lineRule="exact"/>
        <w:ind w:left="0" w:leftChars="0" w:firstLine="480" w:firstLineChars="200"/>
        <w:textAlignment w:val="auto"/>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pPr>
      <w:r>
        <w:rPr>
          <w:rFonts w:hint="eastAsia" w:ascii="宋体" w:hAnsi="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全市学校积极参加</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第三届吕梁职业技能大赛</w:t>
      </w:r>
      <w:r>
        <w:rPr>
          <w:rFonts w:hint="eastAsia" w:ascii="宋体" w:hAnsi="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根据《第三届吕梁职业技能大赛组委会关于表扬第三届吕梁职业技能大赛获奖选手和团体的决定》（吕职赛组发</w:t>
      </w:r>
      <w:r>
        <w:rPr>
          <w:rFonts w:hint="eastAsia" w:ascii="仿宋_GB2312" w:hAnsi="仿宋_GB2312" w:eastAsia="仿宋_GB2312" w:cs="仿宋_GB2312"/>
          <w:i w:val="0"/>
          <w:iCs w:val="0"/>
          <w:caps w:val="0"/>
          <w:color w:val="000000" w:themeColor="text1"/>
          <w:spacing w:val="0"/>
          <w:kern w:val="2"/>
          <w:sz w:val="24"/>
          <w:szCs w:val="24"/>
          <w:shd w:val="clear" w:fill="FFFFFF"/>
          <w:lang w:val="en-US" w:eastAsia="zh-CN" w:bidi="ar-SA"/>
          <w14:textFill>
            <w14:solidFill>
              <w14:schemeClr w14:val="tx1"/>
            </w14:solidFill>
          </w14:textFill>
        </w:rPr>
        <w:t>〔</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2022</w:t>
      </w:r>
      <w:r>
        <w:rPr>
          <w:rFonts w:hint="eastAsia" w:ascii="仿宋_GB2312" w:hAnsi="仿宋_GB2312" w:eastAsia="仿宋_GB2312" w:cs="仿宋_GB2312"/>
          <w:i w:val="0"/>
          <w:iCs w:val="0"/>
          <w:caps w:val="0"/>
          <w:color w:val="000000" w:themeColor="text1"/>
          <w:spacing w:val="0"/>
          <w:kern w:val="2"/>
          <w:sz w:val="24"/>
          <w:szCs w:val="24"/>
          <w:shd w:val="clear" w:fill="FFFFFF"/>
          <w:lang w:val="en-US" w:eastAsia="zh-CN" w:bidi="ar-SA"/>
          <w14:textFill>
            <w14:solidFill>
              <w14:schemeClr w14:val="tx1"/>
            </w14:solidFill>
          </w14:textFill>
        </w:rPr>
        <w:t>〕</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9号）文件，</w:t>
      </w:r>
      <w:r>
        <w:rPr>
          <w:rFonts w:hint="eastAsia" w:ascii="宋体" w:hAnsi="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全市</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42名“吕梁技术状元”中有14名职业学校师生，81名“吕梁技术能手”中有17名职业学校师生。</w:t>
      </w:r>
      <w:r>
        <w:rPr>
          <w:rFonts w:hint="eastAsia" w:ascii="宋体" w:hAnsi="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全市</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中职学校师生在吕梁市第三届技能大赛中表现优异、成绩突出。</w:t>
      </w:r>
    </w:p>
    <w:p>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leftChars="0" w:firstLine="482" w:firstLineChars="200"/>
        <w:jc w:val="both"/>
        <w:textAlignment w:val="auto"/>
        <w:rPr>
          <w:rFonts w:hint="default" w:ascii="宋体" w:hAnsi="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2.加大职业技能等级证书取证力度</w:t>
      </w:r>
    </w:p>
    <w:p>
      <w:pPr>
        <w:keepNext w:val="0"/>
        <w:keepLines w:val="0"/>
        <w:pageBreakBefore w:val="0"/>
        <w:widowControl w:val="0"/>
        <w:kinsoku/>
        <w:wordWrap/>
        <w:overflowPunct/>
        <w:topLinePunct w:val="0"/>
        <w:autoSpaceDE/>
        <w:autoSpaceDN/>
        <w:bidi w:val="0"/>
        <w:adjustRightInd/>
        <w:snapToGrid w:val="0"/>
        <w:spacing w:beforeAutospacing="0" w:afterAutospacing="0" w:line="480" w:lineRule="exact"/>
        <w:ind w:left="0" w:firstLine="480" w:firstLineChars="200"/>
        <w:jc w:val="both"/>
        <w:textAlignment w:val="auto"/>
        <w:rPr>
          <w:rFonts w:hint="default"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加强技术技能培养是提高毕业生就业能力、竞争能力的核心。各学校立足校内师资资源和实训基地资源的优势，依托校企合作平台和校外实训基地资源，紧密对接行业产业发展需求，一方面积极开展在校生职业技能培训，另一方面与行业企业合作，积极开展社会培训，为社会培养高素质的技术技能型人才，加大社会服务力度。我们要求市属高、中职学校在完成学业获得学历证书的同时，积极考取专项职业能力证书、职业资格证书、职业技能等级证书，促进学生掌握一技之长甚至多技之长，提升就业创业能力。根据市人社局、市教育局《关于申报2022年初次取得中、高级职业技能等级证书计划的通知》（吕人社函</w:t>
      </w:r>
      <w:r>
        <w:rPr>
          <w:rFonts w:hint="eastAsia" w:ascii="仿宋_GB2312" w:hAnsi="仿宋_GB2312" w:eastAsia="仿宋_GB2312" w:cs="仿宋_GB2312"/>
          <w:i w:val="0"/>
          <w:iCs w:val="0"/>
          <w:caps w:val="0"/>
          <w:color w:val="000000" w:themeColor="text1"/>
          <w:spacing w:val="0"/>
          <w:kern w:val="2"/>
          <w:sz w:val="24"/>
          <w:szCs w:val="24"/>
          <w:shd w:val="clear" w:fill="FFFFFF"/>
          <w:lang w:val="en-US" w:eastAsia="zh-CN" w:bidi="ar-SA"/>
          <w14:textFill>
            <w14:solidFill>
              <w14:schemeClr w14:val="tx1"/>
            </w14:solidFill>
          </w14:textFill>
        </w:rPr>
        <w:t>〔</w:t>
      </w:r>
      <w:r>
        <w:rPr>
          <w:rFonts w:hint="eastAsia" w:ascii="宋体" w:hAnsi="宋体" w:eastAsia="宋体" w:cs="宋体"/>
          <w:i w:val="0"/>
          <w:iCs w:val="0"/>
          <w:caps w:val="0"/>
          <w:color w:val="000000" w:themeColor="text1"/>
          <w:spacing w:val="0"/>
          <w:kern w:val="2"/>
          <w:sz w:val="24"/>
          <w:szCs w:val="24"/>
          <w:shd w:val="clear" w:fill="FFFFFF"/>
          <w:lang w:val="en-US" w:eastAsia="zh-CN" w:bidi="ar-SA"/>
          <w14:textFill>
            <w14:solidFill>
              <w14:schemeClr w14:val="tx1"/>
            </w14:solidFill>
          </w14:textFill>
        </w:rPr>
        <w:t>2022</w:t>
      </w:r>
      <w:r>
        <w:rPr>
          <w:rFonts w:hint="eastAsia" w:ascii="仿宋_GB2312" w:hAnsi="仿宋_GB2312" w:eastAsia="仿宋_GB2312" w:cs="仿宋_GB2312"/>
          <w:i w:val="0"/>
          <w:iCs w:val="0"/>
          <w:caps w:val="0"/>
          <w:color w:val="000000" w:themeColor="text1"/>
          <w:spacing w:val="0"/>
          <w:kern w:val="2"/>
          <w:sz w:val="24"/>
          <w:szCs w:val="24"/>
          <w:shd w:val="clear" w:fill="FFFFFF"/>
          <w:lang w:val="en-US" w:eastAsia="zh-CN" w:bidi="ar-SA"/>
          <w14:textFill>
            <w14:solidFill>
              <w14:schemeClr w14:val="tx1"/>
            </w14:solidFill>
          </w14:textFill>
        </w:rPr>
        <w:t>〕</w:t>
      </w:r>
      <w:r>
        <w:rPr>
          <w:rFonts w:hint="eastAsia" w:ascii="宋体" w:hAnsi="宋体" w:cs="宋体"/>
          <w:color w:val="auto"/>
          <w:kern w:val="2"/>
          <w:sz w:val="24"/>
          <w:szCs w:val="24"/>
          <w:lang w:val="en-US" w:eastAsia="zh-CN" w:bidi="ar-SA"/>
        </w:rPr>
        <w:t>259号）要求，2022年全年全市共有9所学校开展职业技能培训，66个工种共培训6659人，其中有生涯规划指导职业技能等级证书、不动产数据采集与建库职业技能等级证书、建筑工程识图职业技能等级证书、吕梁山护工、智能财税职业技能等级证书等。由于受疫情影响，2022年全市开展培训人数不多，2023年将大力开展职业技能培训。</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99" w:name="_Toc27242"/>
      <w:bookmarkStart w:id="100" w:name="_Toc22016"/>
      <w:bookmarkStart w:id="101" w:name="_Toc30379"/>
      <w:r>
        <w:rPr>
          <w:rFonts w:hint="eastAsia" w:ascii="宋体" w:hAnsi="宋体" w:cs="宋体"/>
          <w:b/>
          <w:color w:val="auto"/>
          <w:kern w:val="2"/>
          <w:sz w:val="28"/>
          <w:szCs w:val="28"/>
          <w:lang w:val="en-US" w:eastAsia="zh-CN" w:bidi="ar-SA"/>
        </w:rPr>
        <w:t>6.2 社会服务</w:t>
      </w:r>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大力开展职业教育助力脱贫攻坚、服务乡村振兴作用，发挥职业教育扶贫的“造血”功能。组织未升入普通高中的初中毕业生免费接受中等职业教育,帮助建档立卡贫困家庭学生免费接受职业技能培训。对中等职业学校全日制正式学籍建档立卡贫困家庭学生,按照每生每年不低于2000元标准发放国家助学金补助。</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受疫情影响，</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202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年，全市中等职业学校共完成各类职业培训</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6659</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人次，为当地经济社会发展和现代化建设做出了重要贡献。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全市</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中职学校大力开展护理护工、农村</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两委</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干部等短期培训。依据吕梁山护工培训就业领导组文件精神，</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全市</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职业学校大力实施就业优先战略，切实做好吕梁山护工培训工作。吕梁市卫生学校、吕梁学院汾阳师范分校、吕梁市经济管理学校、吕梁市职业中专学校、临县白文职业技校等学校近年来为全市护理护工做出了不可磨灭的贡献，各学校至今共培训护理护工33536余人，其中吕梁卫校培训赴日介护69人。由吕梁市农业学校承办的高素质农民、农村两委干部、和龙头企业负责人教育培训工作紧紧围绕深入贯彻习近平总书记关于“三农”工作的重要论述，更好落实巩固脱贫攻坚成果和乡村振兴有效衔接的总体要求，近三年来合计培训人数1585人，为</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全市</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乡村人才振兴、产业振兴打下良好的基础。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kern w:val="0"/>
          <w:sz w:val="24"/>
          <w:szCs w:val="24"/>
          <w:lang w:val="en-US" w:eastAsia="zh-CN" w:bidi="ar-SA"/>
        </w:rPr>
      </w:pPr>
      <w:r>
        <w:rPr>
          <w:rFonts w:hint="eastAsia" w:ascii="宋体" w:hAnsi="宋体" w:cs="宋体"/>
          <w:color w:val="auto"/>
          <w:kern w:val="2"/>
          <w:sz w:val="24"/>
          <w:szCs w:val="24"/>
          <w:lang w:val="en-US" w:eastAsia="zh-CN" w:bidi="ar-SA"/>
        </w:rPr>
        <w:t>贯彻落实教育部《关于推进职业院校服务经济转型升级面向企业开展职工继续教育的意见》精神，落实学历教育与职业培训并举并重的法定职责，把职业技能培训作为保持就业稳定的关键举措，推动各学校扩大培训规模，全面提升劳动者职业技能水平和就业创业能力，聚焦农村转移劳动力、未就业的毕业大学生、失业人员、脱贫劳动力等就业重点群体，实施精准职业技能</w:t>
      </w:r>
      <w:r>
        <w:rPr>
          <w:rFonts w:hint="eastAsia" w:ascii="宋体" w:hAnsi="宋体" w:eastAsia="宋体" w:cs="宋体"/>
          <w:color w:val="auto"/>
          <w:kern w:val="0"/>
          <w:sz w:val="24"/>
          <w:szCs w:val="24"/>
          <w:lang w:val="en-US" w:eastAsia="zh-CN" w:bidi="ar-SA"/>
        </w:rPr>
        <w:t>培训；推进现代学徒制，推动企业与职业院校深入合作。</w:t>
      </w:r>
    </w:p>
    <w:p>
      <w:pPr>
        <w:pStyle w:val="14"/>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lang w:val="en-US" w:eastAsia="zh-CN"/>
        </w:rPr>
      </w:pPr>
      <w:r>
        <w:drawing>
          <wp:inline distT="0" distB="0" distL="0" distR="0">
            <wp:extent cx="5184140" cy="2585720"/>
            <wp:effectExtent l="0" t="0" r="16510" b="5080"/>
            <wp:docPr id="16" name="IM 111"/>
            <wp:cNvGraphicFramePr/>
            <a:graphic xmlns:a="http://schemas.openxmlformats.org/drawingml/2006/main">
              <a:graphicData uri="http://schemas.openxmlformats.org/drawingml/2006/picture">
                <pic:pic xmlns:pic="http://schemas.openxmlformats.org/drawingml/2006/picture">
                  <pic:nvPicPr>
                    <pic:cNvPr id="16" name="IM 111"/>
                    <pic:cNvPicPr/>
                  </pic:nvPicPr>
                  <pic:blipFill>
                    <a:blip r:embed="rId27"/>
                    <a:srcRect t="5871"/>
                    <a:stretch>
                      <a:fillRect/>
                    </a:stretch>
                  </pic:blipFill>
                  <pic:spPr>
                    <a:xfrm>
                      <a:off x="0" y="0"/>
                      <a:ext cx="5184140" cy="258572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center"/>
        <w:textAlignment w:val="auto"/>
        <w:outlineLvl w:val="3"/>
        <w:rPr>
          <w:rFonts w:ascii="仿宋_GB2312" w:eastAsia="仿宋_GB2312" w:cs="仿宋_GB2312"/>
          <w:color w:val="auto"/>
          <w:kern w:val="0"/>
          <w:sz w:val="21"/>
          <w:szCs w:val="21"/>
          <w:lang w:val="en-US" w:eastAsia="zh-CN" w:bidi="ar-SA"/>
        </w:rPr>
      </w:pPr>
      <w:bookmarkStart w:id="102" w:name="_Toc13071"/>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6</w:t>
      </w:r>
      <w:r>
        <w:rPr>
          <w:rFonts w:hint="eastAsia" w:ascii="宋体" w:hAnsi="宋体" w:eastAsia="宋体" w:cs="宋体"/>
          <w:b/>
          <w:color w:val="auto"/>
          <w:sz w:val="21"/>
          <w:szCs w:val="21"/>
        </w:rPr>
        <w:t>-</w:t>
      </w:r>
      <w:r>
        <w:rPr>
          <w:rFonts w:hint="eastAsia" w:ascii="宋体" w:hAnsi="宋体" w:cs="宋体"/>
          <w:b/>
          <w:color w:val="auto"/>
          <w:sz w:val="21"/>
          <w:szCs w:val="21"/>
          <w:lang w:val="en-US" w:eastAsia="zh-CN"/>
        </w:rPr>
        <w:t>1 孝义市职教中心</w:t>
      </w:r>
      <w:r>
        <w:rPr>
          <w:rFonts w:hint="eastAsia" w:ascii="宋体" w:hAnsi="宋体" w:cs="宋体"/>
          <w:b/>
          <w:sz w:val="21"/>
          <w:szCs w:val="21"/>
          <w:lang w:val="en-US" w:eastAsia="zh-CN"/>
        </w:rPr>
        <w:t>专业指导服务社区幼儿园</w:t>
      </w:r>
      <w:bookmarkEnd w:id="102"/>
      <w:r>
        <w:rPr>
          <w:rFonts w:hint="eastAsia" w:ascii="宋体" w:hAnsi="宋体" w:eastAsia="宋体" w:cs="宋体"/>
          <w:b/>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为进一步落实省委、省政府“人人持证、技能社会”建设的总要求，我们下发了《关于开展</w:t>
      </w:r>
      <w:r>
        <w:rPr>
          <w:rFonts w:hint="eastAsia" w:ascii="宋体" w:hAnsi="宋体" w:cs="宋体"/>
          <w:color w:val="auto"/>
          <w:kern w:val="0"/>
          <w:sz w:val="24"/>
          <w:szCs w:val="24"/>
          <w:lang w:val="en-US" w:eastAsia="zh-CN" w:bidi="ar-SA"/>
        </w:rPr>
        <w:t>全市</w:t>
      </w:r>
      <w:r>
        <w:rPr>
          <w:rFonts w:hint="eastAsia" w:ascii="宋体" w:hAnsi="宋体" w:eastAsia="宋体" w:cs="宋体"/>
          <w:color w:val="auto"/>
          <w:kern w:val="0"/>
          <w:sz w:val="24"/>
          <w:szCs w:val="24"/>
          <w:lang w:val="en-US" w:eastAsia="zh-CN" w:bidi="ar-SA"/>
        </w:rPr>
        <w:t>2021年高、中职学校“送教下乡送技下乡”活动的通知》，要求</w:t>
      </w:r>
      <w:r>
        <w:rPr>
          <w:rFonts w:hint="eastAsia" w:ascii="宋体" w:hAnsi="宋体" w:cs="宋体"/>
          <w:color w:val="auto"/>
          <w:kern w:val="0"/>
          <w:sz w:val="24"/>
          <w:szCs w:val="24"/>
          <w:lang w:val="en-US" w:eastAsia="zh-CN" w:bidi="ar-SA"/>
        </w:rPr>
        <w:t>全市</w:t>
      </w:r>
      <w:r>
        <w:rPr>
          <w:rFonts w:hint="eastAsia" w:ascii="宋体" w:hAnsi="宋体" w:eastAsia="宋体" w:cs="宋体"/>
          <w:color w:val="auto"/>
          <w:kern w:val="0"/>
          <w:sz w:val="24"/>
          <w:szCs w:val="24"/>
          <w:lang w:val="en-US" w:eastAsia="zh-CN" w:bidi="ar-SA"/>
        </w:rPr>
        <w:t>11所高、中职学校对接13个县（市、区），2021度学校对县（市、区）农村转移劳动力、未就业的毕业大学生、失业人员、脱贫劳动力等就业重点群体培训为期一周，全市培训任务共1万人。各</w:t>
      </w:r>
      <w:r>
        <w:rPr>
          <w:rFonts w:hint="eastAsia" w:ascii="宋体" w:hAnsi="宋体" w:cs="宋体"/>
          <w:color w:val="auto"/>
          <w:kern w:val="0"/>
          <w:sz w:val="24"/>
          <w:szCs w:val="24"/>
          <w:lang w:val="en-US" w:eastAsia="zh-CN" w:bidi="ar-SA"/>
        </w:rPr>
        <w:t>中职</w:t>
      </w:r>
      <w:r>
        <w:rPr>
          <w:rFonts w:hint="eastAsia" w:ascii="宋体" w:hAnsi="宋体" w:eastAsia="宋体" w:cs="宋体"/>
          <w:color w:val="auto"/>
          <w:kern w:val="0"/>
          <w:sz w:val="24"/>
          <w:szCs w:val="24"/>
          <w:lang w:val="en-US" w:eastAsia="zh-CN" w:bidi="ar-SA"/>
        </w:rPr>
        <w:t>学校动员广大农民积极报名参加培训，坚持送技术到乡到村，将“课堂”开在群众家门口，让每一位参加培训的村民不走远路、不耽误生产，学到生产生活中的实用技术。通过一周的培训，使农民学有所获，助推地方经济更好的发展。</w:t>
      </w:r>
    </w:p>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ind w:left="0" w:leftChars="0" w:firstLine="0" w:firstLineChars="0"/>
        <w:jc w:val="center"/>
        <w:textAlignment w:val="auto"/>
        <w:rPr>
          <w:rFonts w:hint="eastAsia" w:ascii="楷体_GB2312" w:eastAsia="楷体_GB2312" w:cs="楷体_GB2312"/>
          <w:color w:val="auto"/>
          <w:sz w:val="32"/>
          <w:szCs w:val="32"/>
          <w:lang w:val="en-US" w:eastAsia="zh-CN"/>
        </w:rPr>
      </w:pPr>
      <w:r>
        <w:rPr>
          <w:rFonts w:hint="eastAsia"/>
          <w:sz w:val="24"/>
          <w:szCs w:val="24"/>
          <w:lang w:val="en-US" w:eastAsia="zh-CN"/>
        </w:rPr>
        <w:drawing>
          <wp:inline distT="0" distB="0" distL="114300" distR="114300">
            <wp:extent cx="5219700" cy="3092450"/>
            <wp:effectExtent l="0" t="0" r="0" b="12700"/>
            <wp:docPr id="32" name="图片 32" descr="81dd656481273fc6133a42435066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1dd656481273fc6133a424350662e2"/>
                    <pic:cNvPicPr>
                      <a:picLocks noChangeAspect="1"/>
                    </pic:cNvPicPr>
                  </pic:nvPicPr>
                  <pic:blipFill>
                    <a:blip r:embed="rId28"/>
                    <a:srcRect t="941" b="20039"/>
                    <a:stretch>
                      <a:fillRect/>
                    </a:stretch>
                  </pic:blipFill>
                  <pic:spPr>
                    <a:xfrm>
                      <a:off x="0" y="0"/>
                      <a:ext cx="5219700" cy="309245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center"/>
        <w:textAlignment w:val="auto"/>
        <w:outlineLvl w:val="3"/>
        <w:rPr>
          <w:rFonts w:ascii="仿宋_GB2312" w:eastAsia="仿宋_GB2312" w:cs="仿宋_GB2312"/>
          <w:color w:val="auto"/>
          <w:kern w:val="0"/>
          <w:sz w:val="21"/>
          <w:szCs w:val="21"/>
          <w:lang w:val="en-US" w:eastAsia="zh-CN" w:bidi="ar-SA"/>
        </w:rPr>
      </w:pPr>
      <w:bookmarkStart w:id="103" w:name="_Toc29497"/>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6</w:t>
      </w:r>
      <w:r>
        <w:rPr>
          <w:rFonts w:hint="eastAsia" w:ascii="宋体" w:hAnsi="宋体" w:eastAsia="宋体" w:cs="宋体"/>
          <w:b/>
          <w:color w:val="auto"/>
          <w:sz w:val="21"/>
          <w:szCs w:val="21"/>
        </w:rPr>
        <w:t>-</w:t>
      </w:r>
      <w:r>
        <w:rPr>
          <w:rFonts w:hint="eastAsia" w:ascii="宋体" w:hAnsi="宋体" w:cs="宋体"/>
          <w:b/>
          <w:color w:val="auto"/>
          <w:sz w:val="21"/>
          <w:szCs w:val="21"/>
          <w:lang w:val="en-US" w:eastAsia="zh-CN"/>
        </w:rPr>
        <w:t>2 汾阳市高级职业中学</w:t>
      </w:r>
      <w:r>
        <w:rPr>
          <w:rFonts w:hint="eastAsia" w:ascii="宋体" w:hAnsi="宋体" w:eastAsia="宋体" w:cs="宋体"/>
          <w:b/>
          <w:sz w:val="21"/>
          <w:szCs w:val="21"/>
          <w:lang w:val="en-US" w:eastAsia="zh-CN"/>
        </w:rPr>
        <w:t>电子商务短视频直播培训</w:t>
      </w:r>
      <w:bookmarkEnd w:id="103"/>
      <w:r>
        <w:rPr>
          <w:rFonts w:hint="eastAsia" w:ascii="宋体" w:hAnsi="宋体" w:eastAsia="宋体" w:cs="宋体"/>
          <w:b/>
          <w:color w:val="auto"/>
          <w:sz w:val="21"/>
          <w:szCs w:val="21"/>
          <w:lang w:val="en-US" w:eastAsia="zh-CN"/>
        </w:rPr>
        <w:t xml:space="preserve">  </w:t>
      </w:r>
    </w:p>
    <w:p>
      <w:pPr>
        <w:pStyle w:val="12"/>
        <w:keepNext w:val="0"/>
        <w:keepLines w:val="0"/>
        <w:pageBreakBefore w:val="0"/>
        <w:widowControl w:val="0"/>
        <w:kinsoku/>
        <w:wordWrap/>
        <w:overflowPunct/>
        <w:topLinePunct w:val="0"/>
        <w:autoSpaceDE/>
        <w:autoSpaceDN/>
        <w:bidi w:val="0"/>
        <w:adjustRightInd/>
        <w:snapToGrid/>
        <w:spacing w:after="0" w:line="480" w:lineRule="exact"/>
        <w:ind w:left="0" w:leftChars="0"/>
        <w:jc w:val="center"/>
        <w:textAlignment w:val="auto"/>
        <w:rPr>
          <w:rFonts w:hint="default"/>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cs="宋体"/>
          <w:b/>
          <w:color w:val="auto"/>
          <w:kern w:val="2"/>
          <w:sz w:val="30"/>
          <w:szCs w:val="30"/>
          <w:lang w:val="en-US" w:eastAsia="zh-CN" w:bidi="ar-SA"/>
        </w:rPr>
      </w:pPr>
      <w:bookmarkStart w:id="104" w:name="_Toc12967"/>
      <w:bookmarkStart w:id="105" w:name="_Toc25967"/>
      <w:bookmarkStart w:id="106" w:name="_Toc18398"/>
      <w:r>
        <w:rPr>
          <w:rFonts w:hint="eastAsia" w:ascii="宋体" w:hAnsi="宋体" w:cs="宋体"/>
          <w:b/>
          <w:color w:val="auto"/>
          <w:kern w:val="2"/>
          <w:sz w:val="30"/>
          <w:szCs w:val="30"/>
          <w:lang w:val="en-US" w:eastAsia="zh-CN" w:bidi="ar-SA"/>
        </w:rPr>
        <w:t>7.特色创新</w:t>
      </w:r>
      <w:bookmarkEnd w:id="104"/>
      <w:bookmarkEnd w:id="105"/>
      <w:bookmarkEnd w:id="106"/>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107" w:name="_Toc28611"/>
      <w:bookmarkStart w:id="108" w:name="_Toc25367"/>
      <w:bookmarkStart w:id="109" w:name="_Toc1386"/>
      <w:bookmarkStart w:id="110" w:name="_Toc5326"/>
      <w:r>
        <w:rPr>
          <w:rFonts w:hint="eastAsia" w:ascii="宋体" w:hAnsi="宋体" w:cs="宋体"/>
          <w:b/>
          <w:color w:val="auto"/>
          <w:kern w:val="2"/>
          <w:sz w:val="28"/>
          <w:szCs w:val="28"/>
          <w:lang w:val="en-US" w:eastAsia="zh-CN" w:bidi="ar-SA"/>
        </w:rPr>
        <w:t xml:space="preserve">7.1 </w:t>
      </w:r>
      <w:bookmarkEnd w:id="107"/>
      <w:r>
        <w:rPr>
          <w:rFonts w:hint="eastAsia" w:ascii="宋体" w:hAnsi="宋体" w:cs="宋体"/>
          <w:b/>
          <w:color w:val="auto"/>
          <w:kern w:val="2"/>
          <w:sz w:val="28"/>
          <w:szCs w:val="28"/>
          <w:lang w:val="en-US" w:eastAsia="zh-CN" w:bidi="ar-SA"/>
        </w:rPr>
        <w:t>孝义市职教中心正思立行崇孝尚义思政教育工作室</w:t>
      </w:r>
      <w:bookmarkEnd w:id="108"/>
      <w:bookmarkEnd w:id="109"/>
      <w:bookmarkEnd w:id="110"/>
    </w:p>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一、工作室成立背景意义</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思政教育工作室于2020年12月成立，以立德树人为目标，以习近平新时代中国特色社会主义思想和习近平总书记对思想政治教育工作的重要讲话和重要指示精神为指导，以教研教改、课题研究、实践教育、品牌社团为载体，以示范观摩、交流研讨、集中培训、研学活动为基本形式，围绕“理想信念”“职业素养”“孝义文化”，通过“三进”持续推进习近平新时代中国特色社会主义思想、社会主义核心价值观、“四史”、优秀传统文化的学习教育，构筑学校铸魂育人新高地，构建“三全育人”新格局，引导学生树立正确的思政意识、同时结合孝义本土文化，引导学生尊崇孝道文化和义举文化，形成具有地方特色的中职学生实践育人体系的思政教育工作室。</w:t>
      </w:r>
    </w:p>
    <w:tbl>
      <w:tblPr>
        <w:tblStyle w:val="41"/>
        <w:tblW w:w="8839" w:type="dxa"/>
        <w:tblInd w:w="14" w:type="dxa"/>
        <w:tblBorders>
          <w:top w:val="single" w:color="1F497D" w:sz="8" w:space="0"/>
          <w:left w:val="single" w:color="1F497D" w:sz="8" w:space="0"/>
          <w:bottom w:val="single" w:color="1F497D" w:sz="8" w:space="0"/>
          <w:right w:val="single" w:color="1F497D" w:sz="8" w:space="0"/>
          <w:insideH w:val="none" w:color="auto" w:sz="0" w:space="0"/>
          <w:insideV w:val="none" w:color="auto" w:sz="0" w:space="0"/>
        </w:tblBorders>
        <w:tblLayout w:type="fixed"/>
        <w:tblCellMar>
          <w:top w:w="0" w:type="dxa"/>
          <w:left w:w="0" w:type="dxa"/>
          <w:bottom w:w="0" w:type="dxa"/>
          <w:right w:w="0" w:type="dxa"/>
        </w:tblCellMar>
      </w:tblPr>
      <w:tblGrid>
        <w:gridCol w:w="8839"/>
      </w:tblGrid>
      <w:tr>
        <w:tblPrEx>
          <w:tblBorders>
            <w:top w:val="single" w:color="1F497D" w:sz="8" w:space="0"/>
            <w:left w:val="single" w:color="1F497D" w:sz="8" w:space="0"/>
            <w:bottom w:val="single" w:color="1F497D" w:sz="8" w:space="0"/>
            <w:right w:val="single" w:color="1F497D" w:sz="8" w:space="0"/>
            <w:insideH w:val="none" w:color="auto" w:sz="0" w:space="0"/>
            <w:insideV w:val="none" w:color="auto" w:sz="0" w:space="0"/>
          </w:tblBorders>
          <w:tblCellMar>
            <w:top w:w="0" w:type="dxa"/>
            <w:left w:w="0" w:type="dxa"/>
            <w:bottom w:w="0" w:type="dxa"/>
            <w:right w:w="0" w:type="dxa"/>
          </w:tblCellMar>
        </w:tblPrEx>
        <w:trPr>
          <w:trHeight w:val="4142" w:hRule="atLeast"/>
        </w:trPr>
        <w:tc>
          <w:tcPr>
            <w:tcW w:w="8839" w:type="dxa"/>
            <w:vAlign w:val="top"/>
          </w:tcPr>
          <w:p>
            <w:pPr>
              <w:spacing w:line="4142" w:lineRule="exact"/>
              <w:jc w:val="center"/>
              <w:textAlignment w:val="center"/>
            </w:pPr>
            <w:r>
              <w:drawing>
                <wp:inline distT="0" distB="0" distL="0" distR="0">
                  <wp:extent cx="5600065" cy="2893060"/>
                  <wp:effectExtent l="0" t="0" r="635" b="2540"/>
                  <wp:docPr id="6" name="IM 155"/>
                  <wp:cNvGraphicFramePr/>
                  <a:graphic xmlns:a="http://schemas.openxmlformats.org/drawingml/2006/main">
                    <a:graphicData uri="http://schemas.openxmlformats.org/drawingml/2006/picture">
                      <pic:pic xmlns:pic="http://schemas.openxmlformats.org/drawingml/2006/picture">
                        <pic:nvPicPr>
                          <pic:cNvPr id="6" name="IM 155"/>
                          <pic:cNvPicPr/>
                        </pic:nvPicPr>
                        <pic:blipFill>
                          <a:blip r:embed="rId29"/>
                          <a:stretch>
                            <a:fillRect/>
                          </a:stretch>
                        </pic:blipFill>
                        <pic:spPr>
                          <a:xfrm>
                            <a:off x="0" y="0"/>
                            <a:ext cx="5600065" cy="2893060"/>
                          </a:xfrm>
                          <a:prstGeom prst="rect">
                            <a:avLst/>
                          </a:prstGeom>
                        </pic:spPr>
                      </pic:pic>
                    </a:graphicData>
                  </a:graphic>
                </wp:inline>
              </w:drawing>
            </w:r>
          </w:p>
        </w:tc>
      </w:tr>
    </w:tbl>
    <w:p>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outlineLvl w:val="3"/>
        <w:rPr>
          <w:rFonts w:hint="eastAsia" w:ascii="宋体" w:hAnsi="宋体" w:eastAsia="宋体" w:cs="宋体"/>
          <w:b/>
          <w:color w:val="auto"/>
          <w:sz w:val="21"/>
          <w:szCs w:val="21"/>
          <w:lang w:eastAsia="zh-CN"/>
        </w:rPr>
      </w:pPr>
      <w:bookmarkStart w:id="111" w:name="_Toc27764"/>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 xml:space="preserve">7-1 </w:t>
      </w:r>
      <w:r>
        <w:rPr>
          <w:rFonts w:hint="eastAsia" w:ascii="宋体" w:hAnsi="宋体" w:eastAsia="宋体" w:cs="宋体"/>
          <w:b/>
          <w:color w:val="auto"/>
          <w:sz w:val="21"/>
          <w:szCs w:val="21"/>
          <w:lang w:eastAsia="zh-CN"/>
        </w:rPr>
        <w:t>思政工作室成立仪式</w:t>
      </w:r>
      <w:bookmarkEnd w:id="111"/>
    </w:p>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bCs/>
          <w:kern w:val="2"/>
          <w:sz w:val="24"/>
          <w:szCs w:val="24"/>
          <w:lang w:val="en-US" w:eastAsia="zh-CN" w:bidi="ar-SA"/>
        </w:rPr>
      </w:pPr>
      <w:bookmarkStart w:id="112" w:name="_bookmark205"/>
      <w:bookmarkEnd w:id="112"/>
      <w:bookmarkStart w:id="113" w:name="_bookmark105"/>
      <w:bookmarkEnd w:id="113"/>
      <w:r>
        <w:rPr>
          <w:rFonts w:hint="eastAsia" w:ascii="宋体" w:hAnsi="宋体" w:eastAsia="宋体" w:cs="宋体"/>
          <w:b/>
          <w:bCs/>
          <w:kern w:val="2"/>
          <w:sz w:val="24"/>
          <w:szCs w:val="24"/>
          <w:lang w:val="en-US" w:eastAsia="zh-CN" w:bidi="ar-SA"/>
        </w:rPr>
        <w:t>二、工作内容与实效</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发挥课程育人功能，落实立德树人根本任务。依据教育部办公厅《关于加强和改进新时代中等职业学校德育工作的意见》要求，中等职业学校应按照规定开足开齐开好思想政治必修课程，并按照规定选用国家统编教材。目前我校已按要求开设了四门思想政治课：《中国特色社会主义》《心理健康与职业生涯》《职业道德与法治》《哲学与人生》，同时以语文和历史课程来加强文化引导和德育渗透，授课学期和课时都按国家统一课标要求进行课程安排。</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发挥管理育人功能，凝聚“三全育人”落实基础。校党支部、校委会高度重视学校“思政课程+课程思政”建设，将课程思政与思政课程同向同行形成协同效应，将思政课建设与学校高水平中等职业学校建设内容融合，组成了结构合理的思政工作室团队，将思政元素与文化课、专业课程相结合，保证课程思政建设落实，实现三全育人。</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(3)发挥组织育人功能，引领全校思政教育。学校充分发挥党组织思想引领和育人保障功能，推动学校党支部自觉担负起管党治党、办学治校、育人育才的主体责任。</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发挥文化育人功能，实现“五进四导”德育建设。学校将中华优秀传统文化教育与校园德育养成教育有机结合，将孝义本地历史传统孝义文化作为德育建设的引擎，以习近平新时代中国特色社会主义思想为主调，将“以孝立德，崇德励志，精技乐业”作为传承文脉、培植理念的总抓手，弘扬孝义地方孝道文化(孝家、孝国)和义举文化(忠义、情义、诚义、义捐、义演、义助、义慈、义善、义信等)，紧紧围绕提高学生德育建设水平，提升教师德育培养能力，实现“五进四导”德育建设，即让孝义文化和德育培养进楼宇，让孝义文化和德育培养进教材，让孝义文化和德育培养进课堂，让孝义文化和德育培养进班会，让孝义文化和德育培养进活动；现身辅导、实践引导、典型指导、家校疏导。</w:t>
      </w:r>
    </w:p>
    <w:p>
      <w:pPr>
        <w:pStyle w:val="14"/>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pPr>
      <w:r>
        <w:drawing>
          <wp:inline distT="0" distB="0" distL="114300" distR="114300">
            <wp:extent cx="5396230" cy="2585720"/>
            <wp:effectExtent l="0" t="0" r="1397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0"/>
                    <a:srcRect l="5156" t="22747"/>
                    <a:stretch>
                      <a:fillRect/>
                    </a:stretch>
                  </pic:blipFill>
                  <pic:spPr>
                    <a:xfrm>
                      <a:off x="0" y="0"/>
                      <a:ext cx="5396230" cy="2585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3"/>
        <w:rPr>
          <w:sz w:val="21"/>
          <w:szCs w:val="21"/>
        </w:rPr>
      </w:pPr>
      <w:bookmarkStart w:id="114" w:name="_Toc3293"/>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 xml:space="preserve">7-2 </w:t>
      </w:r>
      <w:r>
        <w:rPr>
          <w:rFonts w:hint="eastAsia" w:ascii="宋体" w:hAnsi="宋体" w:eastAsia="宋体" w:cs="宋体"/>
          <w:b/>
          <w:color w:val="auto"/>
          <w:sz w:val="21"/>
          <w:szCs w:val="21"/>
          <w:lang w:eastAsia="zh-CN"/>
        </w:rPr>
        <w:t>工作室思政教育示范课</w:t>
      </w:r>
      <w:bookmarkEnd w:id="114"/>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115" w:name="_Toc4228"/>
      <w:bookmarkStart w:id="116" w:name="_Toc7391"/>
      <w:bookmarkStart w:id="117" w:name="_Toc15169"/>
      <w:bookmarkStart w:id="118" w:name="_Toc32627"/>
      <w:bookmarkStart w:id="119" w:name="_Toc28362"/>
      <w:bookmarkStart w:id="120" w:name="_Toc465"/>
      <w:bookmarkStart w:id="121" w:name="_Toc14000"/>
      <w:bookmarkStart w:id="122" w:name="_Toc26480"/>
      <w:bookmarkStart w:id="123" w:name="_Toc1240"/>
      <w:bookmarkStart w:id="124" w:name="_Toc20330"/>
      <w:bookmarkStart w:id="125" w:name="_Toc4624"/>
      <w:bookmarkStart w:id="126" w:name="_Toc29410"/>
      <w:bookmarkStart w:id="127" w:name="_Toc13283"/>
      <w:bookmarkStart w:id="128" w:name="_Toc12050"/>
      <w:bookmarkStart w:id="129" w:name="_Toc15532"/>
      <w:bookmarkStart w:id="130" w:name="_Toc6649"/>
      <w:bookmarkStart w:id="131" w:name="_Toc11102"/>
      <w:r>
        <w:rPr>
          <w:rFonts w:hint="eastAsia" w:ascii="宋体" w:hAnsi="宋体" w:cs="宋体"/>
          <w:b/>
          <w:color w:val="auto"/>
          <w:kern w:val="2"/>
          <w:sz w:val="28"/>
          <w:szCs w:val="28"/>
          <w:lang w:val="en-US" w:eastAsia="zh-CN" w:bidi="ar-SA"/>
        </w:rPr>
        <w:t>7.2 山西徐特立高级职业中学</w:t>
      </w:r>
      <w:bookmarkStart w:id="132" w:name="_Toc6793"/>
      <w:bookmarkStart w:id="133" w:name="_Toc19217"/>
      <w:r>
        <w:rPr>
          <w:rFonts w:hint="eastAsia" w:ascii="宋体" w:hAnsi="宋体" w:cs="宋体"/>
          <w:b/>
          <w:color w:val="auto"/>
          <w:kern w:val="2"/>
          <w:sz w:val="28"/>
          <w:szCs w:val="28"/>
          <w:lang w:val="en-US" w:eastAsia="zh-CN" w:bidi="ar-SA"/>
        </w:rPr>
        <w:t>技能大赛引领教学改革，“岗课赛证”融合提升育人水平</w:t>
      </w:r>
      <w:bookmarkEnd w:id="115"/>
      <w:bookmarkEnd w:id="116"/>
      <w:bookmarkEnd w:id="132"/>
      <w:bookmarkEnd w:id="133"/>
    </w:p>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bCs/>
          <w:kern w:val="2"/>
          <w:sz w:val="24"/>
          <w:szCs w:val="24"/>
          <w:lang w:val="en-US" w:eastAsia="zh-CN" w:bidi="ar-SA"/>
        </w:rPr>
      </w:pPr>
      <w:bookmarkStart w:id="134" w:name="_Toc3660"/>
      <w:bookmarkStart w:id="135" w:name="_Toc7604"/>
      <w:bookmarkStart w:id="136" w:name="_Toc27322"/>
      <w:bookmarkStart w:id="137" w:name="_Toc27762"/>
      <w:bookmarkStart w:id="138" w:name="_Toc7024"/>
      <w:bookmarkStart w:id="139" w:name="_Toc26217"/>
      <w:bookmarkStart w:id="140" w:name="_Toc22941"/>
      <w:r>
        <w:rPr>
          <w:rFonts w:hint="eastAsia" w:ascii="宋体" w:hAnsi="宋体" w:eastAsia="宋体" w:cs="宋体"/>
          <w:b/>
          <w:bCs/>
          <w:kern w:val="2"/>
          <w:sz w:val="24"/>
          <w:szCs w:val="24"/>
          <w:lang w:val="en-US" w:eastAsia="zh-CN" w:bidi="ar-SA"/>
        </w:rPr>
        <w:t>1.以赛促教，引领教学改革</w:t>
      </w:r>
      <w:bookmarkEnd w:id="134"/>
      <w:bookmarkEnd w:id="135"/>
      <w:bookmarkEnd w:id="136"/>
      <w:bookmarkEnd w:id="137"/>
      <w:bookmarkEnd w:id="138"/>
      <w:bookmarkEnd w:id="139"/>
      <w:bookmarkEnd w:id="140"/>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bookmarkStart w:id="141" w:name="_Toc32148"/>
      <w:bookmarkStart w:id="142" w:name="_Toc22949"/>
      <w:bookmarkStart w:id="143" w:name="_Toc1906"/>
      <w:bookmarkStart w:id="144" w:name="_Toc26172"/>
      <w:bookmarkStart w:id="145" w:name="_Toc31814"/>
      <w:bookmarkStart w:id="146" w:name="_Toc1696"/>
      <w:bookmarkStart w:id="147" w:name="_Toc7974"/>
      <w:bookmarkStart w:id="148" w:name="_Toc20671"/>
      <w:r>
        <w:rPr>
          <w:rFonts w:hint="eastAsia" w:ascii="宋体" w:hAnsi="宋体" w:eastAsia="宋体" w:cs="宋体"/>
          <w:kern w:val="2"/>
          <w:sz w:val="24"/>
          <w:szCs w:val="24"/>
          <w:lang w:val="en-US" w:eastAsia="zh-CN" w:bidi="ar-SA"/>
        </w:rPr>
        <w:t>（1）以技能大赛为抓手优化专业设置、课程体系和教学方法改革</w:t>
      </w:r>
      <w:bookmarkEnd w:id="141"/>
      <w:bookmarkEnd w:id="142"/>
      <w:bookmarkEnd w:id="143"/>
      <w:bookmarkEnd w:id="144"/>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校赛赛项规程对接省赛标准，内容紧跟教学实际，推进行动导向教学改革，赛课融合；对接真实工作岗位，把工作过程、项目任务和要求融入比赛环节，岗赛融通；结合“1+X”证书制度试点，研制赛项内容及评价标准，进一步转化为教学要求、职业技能等级证书标准等，实现赛证融通。通过竞赛规范、技术分析、竞赛成果的整理和优化，结合“1+X”证书标准体系建设，构建“岗课赛证”育人机制。</w:t>
      </w:r>
    </w:p>
    <w:p>
      <w:pPr>
        <w:jc w:val="center"/>
        <w:rPr>
          <w:rFonts w:hint="default"/>
          <w:lang w:val="en-US" w:eastAsia="zh-CN"/>
        </w:rPr>
      </w:pPr>
      <w:r>
        <w:rPr>
          <w:rFonts w:hint="default"/>
          <w:lang w:val="en-US" w:eastAsia="zh-CN"/>
        </w:rPr>
        <w:drawing>
          <wp:inline distT="0" distB="0" distL="114300" distR="114300">
            <wp:extent cx="4448810" cy="2322830"/>
            <wp:effectExtent l="0" t="0" r="8890" b="1270"/>
            <wp:docPr id="122" name="图片 122" descr="167342302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73423024928"/>
                    <pic:cNvPicPr>
                      <a:picLocks noChangeAspect="1"/>
                    </pic:cNvPicPr>
                  </pic:nvPicPr>
                  <pic:blipFill>
                    <a:blip r:embed="rId31"/>
                    <a:stretch>
                      <a:fillRect/>
                    </a:stretch>
                  </pic:blipFill>
                  <pic:spPr>
                    <a:xfrm>
                      <a:off x="0" y="0"/>
                      <a:ext cx="4448810" cy="2322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3"/>
        <w:rPr>
          <w:rFonts w:hint="eastAsia" w:ascii="宋体" w:hAnsi="宋体" w:eastAsia="宋体" w:cs="宋体"/>
          <w:b/>
          <w:color w:val="auto"/>
          <w:sz w:val="21"/>
          <w:szCs w:val="21"/>
          <w:lang w:val="en-US" w:eastAsia="zh-CN"/>
        </w:rPr>
      </w:pPr>
      <w:bookmarkStart w:id="149" w:name="_Toc27263"/>
      <w:bookmarkStart w:id="150" w:name="_Toc2659"/>
      <w:bookmarkStart w:id="151" w:name="_Toc21441"/>
      <w:bookmarkStart w:id="152" w:name="_Toc10305"/>
      <w:bookmarkStart w:id="153" w:name="_Toc14554"/>
      <w:bookmarkStart w:id="154" w:name="_Toc1560"/>
      <w:bookmarkStart w:id="155" w:name="_Toc12251"/>
      <w:bookmarkStart w:id="156" w:name="_Toc6485"/>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7-3</w:t>
      </w:r>
      <w:bookmarkStart w:id="157" w:name="_Toc3023"/>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lang w:eastAsia="zh-CN"/>
        </w:rPr>
        <w:t>1+X证书融入课程</w:t>
      </w:r>
      <w:bookmarkEnd w:id="149"/>
      <w:bookmarkEnd w:id="150"/>
      <w:bookmarkEnd w:id="151"/>
      <w:bookmarkEnd w:id="152"/>
      <w:bookmarkEnd w:id="153"/>
      <w:bookmarkEnd w:id="154"/>
      <w:bookmarkEnd w:id="155"/>
      <w:bookmarkEnd w:id="156"/>
      <w:bookmarkEnd w:id="157"/>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bookmarkStart w:id="158" w:name="_Toc17417"/>
      <w:bookmarkStart w:id="159" w:name="_Toc17166"/>
      <w:bookmarkStart w:id="160" w:name="_Toc9711"/>
      <w:bookmarkStart w:id="161" w:name="_Toc24477"/>
      <w:bookmarkStart w:id="162" w:name="_Toc10942"/>
      <w:bookmarkStart w:id="163" w:name="_Toc1204"/>
      <w:bookmarkStart w:id="164" w:name="_Toc6722"/>
      <w:bookmarkStart w:id="165" w:name="_Toc7961"/>
      <w:r>
        <w:rPr>
          <w:rFonts w:hint="eastAsia" w:ascii="宋体" w:hAnsi="宋体" w:eastAsia="宋体" w:cs="宋体"/>
          <w:kern w:val="2"/>
          <w:sz w:val="24"/>
          <w:szCs w:val="24"/>
          <w:lang w:val="en-US" w:eastAsia="zh-CN" w:bidi="ar-SA"/>
        </w:rPr>
        <w:t>（2）以赛促建，改善学校实习实训条件</w:t>
      </w:r>
      <w:bookmarkEnd w:id="158"/>
      <w:bookmarkEnd w:id="159"/>
      <w:bookmarkEnd w:id="160"/>
      <w:bookmarkEnd w:id="161"/>
      <w:bookmarkEnd w:id="162"/>
      <w:bookmarkEnd w:id="163"/>
      <w:bookmarkEnd w:id="164"/>
      <w:bookmarkEnd w:id="165"/>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以赛促建，促进实习实训建设，从根本上解决“学习难以致用”“理论与实践脱节”的问题。将技能大赛成果转化为教学资源，按照技能大赛技术技能训练的需求，稳步推进实习实训基地建设。</w:t>
      </w:r>
    </w:p>
    <w:p>
      <w:pPr>
        <w:jc w:val="center"/>
        <w:rPr>
          <w:rFonts w:hint="default"/>
          <w:lang w:val="en-US" w:eastAsia="zh-CN"/>
        </w:rPr>
      </w:pPr>
      <w:bookmarkStart w:id="166" w:name="_Toc383"/>
      <w:r>
        <w:rPr>
          <w:rFonts w:hint="default"/>
          <w:lang w:val="en-US" w:eastAsia="zh-CN"/>
        </w:rPr>
        <w:drawing>
          <wp:inline distT="0" distB="0" distL="114300" distR="114300">
            <wp:extent cx="4221480" cy="2543810"/>
            <wp:effectExtent l="0" t="0" r="7620" b="8890"/>
            <wp:docPr id="127" name="图片 127" descr="机电系开展理实体化教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机电系开展理实体化教学"/>
                    <pic:cNvPicPr>
                      <a:picLocks noChangeAspect="1"/>
                    </pic:cNvPicPr>
                  </pic:nvPicPr>
                  <pic:blipFill>
                    <a:blip r:embed="rId32"/>
                    <a:srcRect t="9657" b="10010"/>
                    <a:stretch>
                      <a:fillRect/>
                    </a:stretch>
                  </pic:blipFill>
                  <pic:spPr>
                    <a:xfrm>
                      <a:off x="0" y="0"/>
                      <a:ext cx="4221480" cy="2543810"/>
                    </a:xfrm>
                    <a:prstGeom prst="rect">
                      <a:avLst/>
                    </a:prstGeom>
                  </pic:spPr>
                </pic:pic>
              </a:graphicData>
            </a:graphic>
          </wp:inline>
        </w:drawing>
      </w:r>
      <w:bookmarkEnd w:id="166"/>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3"/>
        <w:rPr>
          <w:rFonts w:hint="eastAsia" w:ascii="宋体" w:hAnsi="宋体" w:eastAsia="宋体" w:cs="宋体"/>
          <w:b/>
          <w:color w:val="auto"/>
          <w:sz w:val="21"/>
          <w:szCs w:val="21"/>
          <w:lang w:val="en-US" w:eastAsia="zh-CN"/>
        </w:rPr>
      </w:pPr>
      <w:bookmarkStart w:id="167" w:name="_Toc11750"/>
      <w:bookmarkStart w:id="168" w:name="_Toc11828"/>
      <w:bookmarkStart w:id="169" w:name="_Toc5509"/>
      <w:bookmarkStart w:id="170" w:name="_Toc18177"/>
      <w:bookmarkStart w:id="171" w:name="_Toc4750"/>
      <w:bookmarkStart w:id="172" w:name="_Toc21213"/>
      <w:bookmarkStart w:id="173" w:name="_Toc24134"/>
      <w:bookmarkStart w:id="174" w:name="_Toc22064"/>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7-4</w:t>
      </w:r>
      <w:bookmarkStart w:id="175" w:name="_Toc14949"/>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lang w:val="en-US" w:eastAsia="zh-CN"/>
        </w:rPr>
        <w:t>汽车运用与维修专业理实一体实训基地</w:t>
      </w:r>
      <w:bookmarkEnd w:id="167"/>
      <w:bookmarkEnd w:id="168"/>
      <w:bookmarkEnd w:id="169"/>
      <w:bookmarkEnd w:id="170"/>
      <w:bookmarkEnd w:id="171"/>
      <w:bookmarkEnd w:id="172"/>
      <w:bookmarkEnd w:id="173"/>
      <w:bookmarkEnd w:id="174"/>
      <w:bookmarkEnd w:id="175"/>
      <w:bookmarkStart w:id="176" w:name="_Toc13811"/>
      <w:bookmarkStart w:id="177" w:name="_Toc7577"/>
    </w:p>
    <w:p>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textAlignment w:val="auto"/>
        <w:rPr>
          <w:rFonts w:hint="eastAsia" w:ascii="宋体" w:hAnsi="宋体" w:eastAsia="宋体" w:cs="宋体"/>
          <w:b/>
          <w:bCs/>
          <w:kern w:val="2"/>
          <w:sz w:val="24"/>
          <w:szCs w:val="24"/>
          <w:lang w:val="en-US" w:eastAsia="zh-CN" w:bidi="ar-SA"/>
        </w:rPr>
      </w:pPr>
      <w:bookmarkStart w:id="178" w:name="_Toc2870"/>
      <w:bookmarkStart w:id="179" w:name="_Toc12098"/>
      <w:bookmarkStart w:id="180" w:name="_Toc7041"/>
      <w:bookmarkStart w:id="181" w:name="_Toc28246"/>
      <w:bookmarkStart w:id="182" w:name="_Toc5317"/>
      <w:r>
        <w:rPr>
          <w:rFonts w:hint="eastAsia" w:ascii="宋体" w:hAnsi="宋体" w:eastAsia="宋体" w:cs="宋体"/>
          <w:b/>
          <w:bCs/>
          <w:kern w:val="2"/>
          <w:sz w:val="24"/>
          <w:szCs w:val="24"/>
          <w:lang w:val="en-US" w:eastAsia="zh-CN" w:bidi="ar-SA"/>
        </w:rPr>
        <w:t>2.“岗课赛证”融合，探索育人新模式</w:t>
      </w:r>
      <w:bookmarkEnd w:id="176"/>
      <w:bookmarkEnd w:id="177"/>
      <w:bookmarkEnd w:id="178"/>
      <w:bookmarkEnd w:id="179"/>
      <w:bookmarkEnd w:id="180"/>
      <w:bookmarkEnd w:id="181"/>
      <w:bookmarkEnd w:id="182"/>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bookmarkStart w:id="183" w:name="_Toc2919"/>
      <w:bookmarkStart w:id="184" w:name="_Toc31291"/>
      <w:bookmarkStart w:id="185" w:name="_Toc30710"/>
      <w:bookmarkStart w:id="186" w:name="_Toc15567"/>
      <w:bookmarkStart w:id="187" w:name="_Toc17103"/>
      <w:bookmarkStart w:id="188" w:name="_Toc22172"/>
      <w:bookmarkStart w:id="189" w:name="_Toc16809"/>
      <w:bookmarkStart w:id="190" w:name="_Toc31397"/>
      <w:r>
        <w:rPr>
          <w:rFonts w:hint="eastAsia" w:ascii="宋体" w:hAnsi="宋体" w:eastAsia="宋体" w:cs="宋体"/>
          <w:kern w:val="2"/>
          <w:sz w:val="24"/>
          <w:szCs w:val="24"/>
          <w:lang w:val="en-US" w:eastAsia="zh-CN" w:bidi="ar-SA"/>
        </w:rPr>
        <w:t>（1）建立课随岗动的人才培养方案的修订机制</w:t>
      </w:r>
      <w:bookmarkEnd w:id="183"/>
      <w:bookmarkEnd w:id="184"/>
      <w:bookmarkEnd w:id="185"/>
      <w:bookmarkEnd w:id="186"/>
      <w:bookmarkEnd w:id="187"/>
      <w:bookmarkEnd w:id="188"/>
      <w:bookmarkEnd w:id="189"/>
      <w:bookmarkEnd w:id="190"/>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“因岗而课，因课而赛，因赛而证”，把课程内容、竞赛项目、证书培训内容与企业培训内容融合到一起，从而做到把教学过程、赛训过程、证书考试与生产过程相融合。</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bookmarkStart w:id="191" w:name="_Toc2591"/>
      <w:bookmarkStart w:id="192" w:name="_Toc3207"/>
      <w:bookmarkStart w:id="193" w:name="_Toc26537"/>
      <w:bookmarkStart w:id="194" w:name="_Toc31991"/>
      <w:bookmarkStart w:id="195" w:name="_Toc19071"/>
      <w:bookmarkStart w:id="196" w:name="_Toc4443"/>
      <w:bookmarkStart w:id="197" w:name="_Toc23717"/>
      <w:bookmarkStart w:id="198" w:name="_Toc19468"/>
      <w:r>
        <w:rPr>
          <w:rFonts w:hint="eastAsia" w:ascii="宋体" w:hAnsi="宋体" w:eastAsia="宋体" w:cs="宋体"/>
          <w:kern w:val="2"/>
          <w:sz w:val="24"/>
          <w:szCs w:val="24"/>
          <w:lang w:val="en-US" w:eastAsia="zh-CN" w:bidi="ar-SA"/>
        </w:rPr>
        <w:t>（2）“岗课赛证”融合培养，深化产教融合育人模式</w:t>
      </w:r>
      <w:bookmarkEnd w:id="191"/>
      <w:bookmarkEnd w:id="192"/>
      <w:bookmarkEnd w:id="193"/>
      <w:bookmarkEnd w:id="194"/>
      <w:bookmarkEnd w:id="195"/>
      <w:bookmarkEnd w:id="196"/>
      <w:bookmarkEnd w:id="197"/>
      <w:bookmarkEnd w:id="198"/>
    </w:p>
    <w:p>
      <w:pPr>
        <w:jc w:val="center"/>
        <w:rPr>
          <w:rFonts w:hint="default"/>
          <w:lang w:val="en-US" w:eastAsia="zh-CN"/>
        </w:rPr>
      </w:pPr>
      <w:r>
        <w:rPr>
          <w:rFonts w:hint="default"/>
          <w:lang w:val="en-US" w:eastAsia="zh-CN"/>
        </w:rPr>
        <w:drawing>
          <wp:inline distT="0" distB="0" distL="114300" distR="114300">
            <wp:extent cx="3721735" cy="2047240"/>
            <wp:effectExtent l="0" t="0" r="12065" b="10160"/>
            <wp:docPr id="124" name="图片 124" descr="建筑专业岗课赛证融通教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建筑专业岗课赛证融通教学"/>
                    <pic:cNvPicPr>
                      <a:picLocks noChangeAspect="1"/>
                    </pic:cNvPicPr>
                  </pic:nvPicPr>
                  <pic:blipFill>
                    <a:blip r:embed="rId33"/>
                    <a:srcRect t="21832" b="4823"/>
                    <a:stretch>
                      <a:fillRect/>
                    </a:stretch>
                  </pic:blipFill>
                  <pic:spPr>
                    <a:xfrm>
                      <a:off x="0" y="0"/>
                      <a:ext cx="3721735" cy="2047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3"/>
        <w:rPr>
          <w:rFonts w:hint="eastAsia" w:ascii="宋体" w:hAnsi="宋体" w:eastAsia="宋体" w:cs="宋体"/>
          <w:b/>
          <w:color w:val="auto"/>
          <w:sz w:val="21"/>
          <w:szCs w:val="21"/>
          <w:lang w:val="en-US" w:eastAsia="zh-CN"/>
        </w:rPr>
      </w:pPr>
      <w:bookmarkStart w:id="199" w:name="_Toc30079"/>
      <w:bookmarkStart w:id="200" w:name="_Toc10871"/>
      <w:bookmarkStart w:id="201" w:name="_Toc8328"/>
      <w:bookmarkStart w:id="202" w:name="_Toc19150"/>
      <w:bookmarkStart w:id="203" w:name="_Toc29207"/>
      <w:bookmarkStart w:id="204" w:name="_Toc28981"/>
      <w:bookmarkStart w:id="205" w:name="_Toc31776"/>
      <w:bookmarkStart w:id="206" w:name="_Toc28308"/>
      <w:r>
        <w:rPr>
          <w:rFonts w:hint="eastAsia" w:ascii="宋体" w:hAnsi="宋体" w:eastAsia="宋体" w:cs="宋体"/>
          <w:b/>
          <w:color w:val="auto"/>
          <w:sz w:val="21"/>
          <w:szCs w:val="21"/>
          <w:lang w:eastAsia="zh-CN"/>
        </w:rPr>
        <w:t>图</w:t>
      </w:r>
      <w:r>
        <w:rPr>
          <w:rFonts w:hint="eastAsia" w:ascii="宋体" w:hAnsi="宋体" w:cs="宋体"/>
          <w:b/>
          <w:color w:val="auto"/>
          <w:sz w:val="21"/>
          <w:szCs w:val="21"/>
          <w:lang w:val="en-US" w:eastAsia="zh-CN"/>
        </w:rPr>
        <w:t>7-5</w:t>
      </w:r>
      <w:bookmarkStart w:id="207" w:name="_Toc6450"/>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lang w:val="en-US" w:eastAsia="zh-CN"/>
        </w:rPr>
        <w:t>建筑专业学生参加省技能大赛</w:t>
      </w:r>
      <w:bookmarkEnd w:id="199"/>
      <w:bookmarkEnd w:id="200"/>
      <w:bookmarkEnd w:id="201"/>
      <w:bookmarkEnd w:id="202"/>
      <w:bookmarkEnd w:id="203"/>
      <w:bookmarkEnd w:id="204"/>
      <w:bookmarkEnd w:id="205"/>
      <w:bookmarkEnd w:id="206"/>
      <w:bookmarkEnd w:id="207"/>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用技能大赛引导课程改革、检验课程效果，反过来倒推课程改革以工作岗位需求为标准，推进学校与行业企业进一步密切合作，推行工学结合、校企合作、顶岗实习，提高人才培养质量。</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208" w:name="_Toc3479"/>
      <w:bookmarkStart w:id="209" w:name="_Toc6811"/>
      <w:r>
        <w:rPr>
          <w:rFonts w:hint="eastAsia" w:ascii="宋体" w:hAnsi="宋体" w:cs="宋体"/>
          <w:b/>
          <w:color w:val="auto"/>
          <w:kern w:val="2"/>
          <w:sz w:val="28"/>
          <w:szCs w:val="28"/>
          <w:lang w:val="en-US" w:eastAsia="zh-CN" w:bidi="ar-SA"/>
        </w:rPr>
        <w:t>7.3 汾阳市高级职业中学 “三个一”工程 铸魂育人新途径</w:t>
      </w:r>
      <w:bookmarkEnd w:id="117"/>
      <w:bookmarkEnd w:id="118"/>
      <w:bookmarkEnd w:id="119"/>
      <w:bookmarkEnd w:id="120"/>
      <w:bookmarkEnd w:id="121"/>
      <w:bookmarkEnd w:id="122"/>
      <w:bookmarkEnd w:id="123"/>
      <w:bookmarkEnd w:id="124"/>
      <w:bookmarkEnd w:id="125"/>
      <w:bookmarkEnd w:id="126"/>
      <w:bookmarkEnd w:id="127"/>
      <w:bookmarkEnd w:id="128"/>
      <w:bookmarkEnd w:id="208"/>
      <w:bookmarkEnd w:id="209"/>
    </w:p>
    <w:p>
      <w:pPr>
        <w:pStyle w:val="2"/>
        <w:keepNext w:val="0"/>
        <w:keepLines w:val="0"/>
        <w:pageBreakBefore w:val="0"/>
        <w:widowControl w:val="0"/>
        <w:kinsoku/>
        <w:wordWrap/>
        <w:overflowPunct/>
        <w:topLinePunct w:val="0"/>
        <w:autoSpaceDE w:val="0"/>
        <w:autoSpaceDN w:val="0"/>
        <w:bidi w:val="0"/>
        <w:adjustRightInd/>
        <w:snapToGrid/>
        <w:spacing w:before="0" w:after="0" w:line="48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校秉承儒家文化传统，以“仁爱”为核心，厚植社会主义核心价值观，将传统经典与学校的教学内容相结合，立足学校实际与学生基本情况，常态化开展中外名篇诵读活动与书写青春竞赛，认真落实经典背诵写“三个一”工程，即全校所有学生每周背诵一篇国学经典，每周诵读一篇英语短文，每周书写一份汉字习作。</w:t>
      </w:r>
    </w:p>
    <w:p>
      <w:pPr>
        <w:pStyle w:val="2"/>
        <w:keepNext w:val="0"/>
        <w:keepLines w:val="0"/>
        <w:pageBreakBefore w:val="0"/>
        <w:widowControl w:val="0"/>
        <w:kinsoku/>
        <w:wordWrap/>
        <w:overflowPunct/>
        <w:topLinePunct w:val="0"/>
        <w:autoSpaceDE w:val="0"/>
        <w:autoSpaceDN w:val="0"/>
        <w:bidi w:val="0"/>
        <w:adjustRightInd/>
        <w:snapToGrid/>
        <w:spacing w:before="0" w:after="0"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校本教材，政教处以周为单位组织学校各部各班落实背诵写任务，每周五上午进行抽签，进行国学经典、英语短文与汉字习作评比与展示，第二周借助升旗仪式进行颁奖。其中，每周全校学生利用晨读、晚自习与课余活动时间落实背诵国学经典与英语短文、练习汉字习作任务，培养学生学习习惯，坚定文化自信，营造良好的书香文化校园氛围，传承中华优秀传统文化，达到文化育人、环境育人与习惯育人效果，创建“人人有舞台，全校师生齐参与”的书香文化校园，形成学校特色文化铸魂育人品牌。</w:t>
      </w:r>
    </w:p>
    <w:p>
      <w:pPr>
        <w:pStyle w:val="2"/>
        <w:keepNext w:val="0"/>
        <w:keepLines w:val="0"/>
        <w:pageBreakBefore w:val="0"/>
        <w:widowControl w:val="0"/>
        <w:kinsoku/>
        <w:wordWrap/>
        <w:overflowPunct/>
        <w:topLinePunct w:val="0"/>
        <w:autoSpaceDE w:val="0"/>
        <w:autoSpaceDN w:val="0"/>
        <w:bidi w:val="0"/>
        <w:adjustRightInd/>
        <w:snapToGrid/>
        <w:spacing w:before="0" w:after="0" w:line="5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经过一年多的实践，经典背诵写活动体系不断健全，学生参与性高、适用范围广，充分发挥了学生的主体作用，营造了积极向上的文化氛围；将国学经典、英语短文、古诗词等文化内涵深化于学生的日常生活中，从不同方向落实立德树人任务，提高学生学习能力，发散创新思维，提升思维品质，引领学生实践社会主义核心价值观，体悟传统文化精髓，激发学生文化创新创造活力，促进学生德智共同发展；在实践过程中，国学经典的内涵不断深化，英文短文的文化逐渐吸收，汉字习作的古韵陆续延绵，全校师生在浓厚的书香文化氛围中享受美好的校园生活，引导全校师生坚定文化自信，提高人文素养；每周五全校师生参与的诵读展示中，学生抑扬顿挫、激情澎湃地背诵国学经典的场面尤为震撼，曾受邀参加其他学校的活动，带领当地其他学校传承传统文化，深化经典内涵，践行了铸魂育人目标。</w:t>
      </w:r>
    </w:p>
    <w:p>
      <w:pPr>
        <w:pStyle w:val="29"/>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宋体" w:hAnsi="宋体" w:eastAsia="宋体" w:cs="宋体"/>
          <w:b/>
          <w:lang w:eastAsia="zh-CN"/>
        </w:rPr>
      </w:pPr>
      <w:bookmarkStart w:id="210" w:name="_Toc13062"/>
      <w:bookmarkStart w:id="211" w:name="_Toc27895"/>
      <w:bookmarkStart w:id="212" w:name="_Toc2155"/>
      <w:bookmarkStart w:id="213" w:name="_Toc17080"/>
      <w:bookmarkStart w:id="214" w:name="_Toc16674"/>
      <w:bookmarkStart w:id="215" w:name="_Toc20659"/>
      <w:bookmarkStart w:id="216" w:name="_Toc29426"/>
      <w:bookmarkStart w:id="217" w:name="_Toc6057"/>
      <w:bookmarkStart w:id="218" w:name="_Toc518"/>
      <w:bookmarkStart w:id="219" w:name="_Toc8011"/>
      <w:r>
        <w:rPr>
          <w:rFonts w:hint="eastAsia" w:ascii="宋体" w:hAnsi="宋体" w:eastAsia="宋体" w:cs="宋体"/>
          <w:b/>
          <w:lang w:val="en-US" w:eastAsia="zh-CN"/>
        </w:rPr>
        <w:drawing>
          <wp:inline distT="0" distB="0" distL="114300" distR="114300">
            <wp:extent cx="5219700" cy="3479800"/>
            <wp:effectExtent l="0" t="0" r="0" b="6350"/>
            <wp:docPr id="18" name="图片 18" descr="微信图片_2022102100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021004645"/>
                    <pic:cNvPicPr>
                      <a:picLocks noChangeAspect="1"/>
                    </pic:cNvPicPr>
                  </pic:nvPicPr>
                  <pic:blipFill>
                    <a:blip r:embed="rId34"/>
                    <a:stretch>
                      <a:fillRect/>
                    </a:stretch>
                  </pic:blipFill>
                  <pic:spPr>
                    <a:xfrm>
                      <a:off x="1244600" y="0"/>
                      <a:ext cx="5219700" cy="3479800"/>
                    </a:xfrm>
                    <a:prstGeom prst="rect">
                      <a:avLst/>
                    </a:prstGeom>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outlineLvl w:val="3"/>
        <w:rPr>
          <w:rFonts w:hint="eastAsia" w:ascii="宋体" w:hAnsi="宋体" w:eastAsia="宋体" w:cs="宋体"/>
          <w:b/>
          <w:lang w:val="en-US" w:eastAsia="zh-CN"/>
        </w:rPr>
      </w:pPr>
      <w:r>
        <w:rPr>
          <w:rFonts w:hint="eastAsia" w:ascii="宋体" w:hAnsi="宋体" w:eastAsia="宋体" w:cs="宋体"/>
          <w:b/>
          <w:lang w:eastAsia="zh-CN"/>
        </w:rPr>
        <w:t>图</w:t>
      </w:r>
      <w:r>
        <w:rPr>
          <w:rFonts w:hint="eastAsia" w:cs="宋体"/>
          <w:b/>
          <w:lang w:val="en-US" w:eastAsia="zh-CN"/>
        </w:rPr>
        <w:t>7</w:t>
      </w:r>
      <w:r>
        <w:rPr>
          <w:rFonts w:hint="eastAsia" w:ascii="宋体" w:hAnsi="宋体" w:eastAsia="宋体" w:cs="宋体"/>
          <w:b/>
          <w:lang w:val="en-US" w:eastAsia="zh-CN"/>
        </w:rPr>
        <w:t>-</w:t>
      </w:r>
      <w:r>
        <w:rPr>
          <w:rFonts w:hint="eastAsia" w:cs="宋体"/>
          <w:b/>
          <w:lang w:val="en-US" w:eastAsia="zh-CN"/>
        </w:rPr>
        <w:t>6</w:t>
      </w:r>
      <w:r>
        <w:rPr>
          <w:rFonts w:hint="eastAsia" w:ascii="宋体" w:hAnsi="宋体" w:eastAsia="宋体" w:cs="宋体"/>
          <w:b/>
          <w:lang w:val="en-US" w:eastAsia="zh-CN"/>
        </w:rPr>
        <w:t xml:space="preserve"> </w:t>
      </w:r>
      <w:r>
        <w:rPr>
          <w:rFonts w:hint="eastAsia" w:cs="宋体"/>
          <w:b/>
          <w:lang w:val="en-US" w:eastAsia="zh-CN"/>
        </w:rPr>
        <w:t>汾阳市高级职业中学</w:t>
      </w:r>
      <w:r>
        <w:rPr>
          <w:rFonts w:hint="eastAsia" w:ascii="宋体" w:hAnsi="宋体" w:eastAsia="宋体" w:cs="宋体"/>
          <w:b/>
          <w:lang w:val="en-US" w:eastAsia="zh-CN"/>
        </w:rPr>
        <w:t>“三个一”工程智2102班英语诵读展示</w:t>
      </w:r>
      <w:bookmarkEnd w:id="210"/>
      <w:bookmarkEnd w:id="211"/>
      <w:bookmarkEnd w:id="212"/>
      <w:bookmarkEnd w:id="213"/>
      <w:bookmarkEnd w:id="214"/>
      <w:bookmarkEnd w:id="215"/>
      <w:bookmarkEnd w:id="216"/>
      <w:bookmarkEnd w:id="217"/>
      <w:bookmarkEnd w:id="218"/>
      <w:bookmarkEnd w:id="219"/>
    </w:p>
    <w:p>
      <w:pPr>
        <w:keepNext w:val="0"/>
        <w:keepLines w:val="0"/>
        <w:pageBreakBefore w:val="0"/>
        <w:widowControl w:val="0"/>
        <w:kinsoku/>
        <w:wordWrap/>
        <w:overflowPunct/>
        <w:topLinePunct w:val="0"/>
        <w:autoSpaceDE/>
        <w:autoSpaceDN/>
        <w:bidi w:val="0"/>
        <w:adjustRightInd/>
        <w:snapToGrid/>
        <w:spacing w:before="0" w:after="0" w:line="480" w:lineRule="exact"/>
        <w:ind w:firstLine="482" w:firstLineChars="200"/>
        <w:textAlignment w:val="auto"/>
        <w:outlineLvl w:val="9"/>
        <w:rPr>
          <w:rFonts w:hint="eastAsia" w:ascii="宋体" w:hAnsi="宋体" w:eastAsia="宋体" w:cs="宋体"/>
          <w:b/>
          <w:bCs w:val="0"/>
          <w:color w:val="auto"/>
          <w:kern w:val="2"/>
          <w:sz w:val="24"/>
          <w:szCs w:val="24"/>
          <w:lang w:val="en-US" w:eastAsia="zh-CN" w:bidi="zh-CN"/>
        </w:rPr>
      </w:pPr>
    </w:p>
    <w:bookmarkEnd w:id="129"/>
    <w:bookmarkEnd w:id="130"/>
    <w:bookmarkEnd w:id="131"/>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cs="宋体"/>
          <w:b/>
          <w:color w:val="auto"/>
          <w:kern w:val="2"/>
          <w:sz w:val="30"/>
          <w:szCs w:val="30"/>
          <w:lang w:val="en-US" w:eastAsia="zh-CN" w:bidi="ar-SA"/>
        </w:rPr>
      </w:pPr>
      <w:bookmarkStart w:id="220" w:name="_Toc10774"/>
      <w:bookmarkStart w:id="221" w:name="_Toc15761"/>
      <w:bookmarkStart w:id="222" w:name="_Toc30688"/>
      <w:r>
        <w:rPr>
          <w:rFonts w:hint="eastAsia" w:ascii="宋体" w:hAnsi="宋体" w:cs="宋体"/>
          <w:b/>
          <w:color w:val="auto"/>
          <w:kern w:val="2"/>
          <w:sz w:val="30"/>
          <w:szCs w:val="30"/>
          <w:lang w:val="en-US" w:eastAsia="zh-CN" w:bidi="ar-SA"/>
        </w:rPr>
        <w:t>8.学校党建工作</w:t>
      </w:r>
      <w:bookmarkEnd w:id="220"/>
      <w:bookmarkEnd w:id="221"/>
      <w:bookmarkEnd w:id="222"/>
    </w:p>
    <w:p>
      <w:pPr>
        <w:pStyle w:val="12"/>
        <w:keepNext w:val="0"/>
        <w:keepLines w:val="0"/>
        <w:pageBreakBefore w:val="0"/>
        <w:widowControl w:val="0"/>
        <w:kinsoku/>
        <w:wordWrap/>
        <w:overflowPunct/>
        <w:topLinePunct w:val="0"/>
        <w:autoSpaceDE/>
        <w:autoSpaceDN/>
        <w:bidi w:val="0"/>
        <w:adjustRightInd/>
        <w:snapToGrid w:val="0"/>
        <w:spacing w:after="0"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全市中职学校坚持以习近平新时代</w:t>
      </w:r>
      <w:r>
        <w:rPr>
          <w:rFonts w:hint="eastAsia" w:ascii="宋体" w:hAnsi="宋体" w:cs="宋体"/>
          <w:color w:val="auto"/>
          <w:kern w:val="2"/>
          <w:sz w:val="24"/>
          <w:szCs w:val="24"/>
          <w:lang w:val="en-US" w:eastAsia="zh-CN" w:bidi="ar-SA"/>
        </w:rPr>
        <w:t>中国</w:t>
      </w:r>
      <w:bookmarkStart w:id="232" w:name="_GoBack"/>
      <w:bookmarkEnd w:id="232"/>
      <w:r>
        <w:rPr>
          <w:rFonts w:hint="eastAsia" w:ascii="宋体" w:hAnsi="宋体" w:eastAsia="宋体" w:cs="宋体"/>
          <w:color w:val="auto"/>
          <w:kern w:val="2"/>
          <w:sz w:val="24"/>
          <w:szCs w:val="24"/>
          <w:lang w:val="en-US" w:eastAsia="zh-CN" w:bidi="ar-SA"/>
        </w:rPr>
        <w:t>特色社会主义思想为指导，紧密结合学校工作实际，全面加强党建工作，牢牢把握新时代党的建设总要求，着力加强思想、作风和制度建设，为实现职业教育持续和谐发展，提供了坚强的政治和组织保证。</w:t>
      </w:r>
    </w:p>
    <w:p>
      <w:pPr>
        <w:pStyle w:val="12"/>
        <w:keepNext w:val="0"/>
        <w:keepLines w:val="0"/>
        <w:pageBreakBefore w:val="0"/>
        <w:widowControl w:val="0"/>
        <w:numPr>
          <w:ilvl w:val="0"/>
          <w:numId w:val="1"/>
        </w:numPr>
        <w:kinsoku/>
        <w:wordWrap/>
        <w:overflowPunct/>
        <w:topLinePunct w:val="0"/>
        <w:autoSpaceDE/>
        <w:autoSpaceDN/>
        <w:bidi w:val="0"/>
        <w:adjustRightInd/>
        <w:snapToGrid w:val="0"/>
        <w:spacing w:after="0"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组织建设规范化。建立全面覆盖、责任明晰、一管到底的学校组织体系，优化支部设置，健全党家工作机构。严格落实任期制度，规范环节选举，配齐培强党务干部。</w:t>
      </w:r>
    </w:p>
    <w:p>
      <w:pPr>
        <w:pStyle w:val="12"/>
        <w:keepNext w:val="0"/>
        <w:keepLines w:val="0"/>
        <w:pageBreakBefore w:val="0"/>
        <w:widowControl w:val="0"/>
        <w:numPr>
          <w:ilvl w:val="0"/>
          <w:numId w:val="1"/>
        </w:numPr>
        <w:kinsoku/>
        <w:wordWrap/>
        <w:overflowPunct/>
        <w:topLinePunct w:val="0"/>
        <w:autoSpaceDE/>
        <w:autoSpaceDN/>
        <w:bidi w:val="0"/>
        <w:adjustRightInd/>
        <w:snapToGrid w:val="0"/>
        <w:spacing w:after="0"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组织生活规范化。严格落实“三会一课”、组织生会、民主生活会、谈心谈话、民主评议党员、党员领导干部参加双重组织生活等基本制度。认真落实组织生活备案制度，规范组织生活记实。</w:t>
      </w:r>
    </w:p>
    <w:p>
      <w:pPr>
        <w:pStyle w:val="12"/>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（三）教育管理规范化。扎实推进“两学一做”学习教育常态化制度化，认真组织开展</w:t>
      </w:r>
      <w:r>
        <w:rPr>
          <w:rFonts w:hint="eastAsia" w:ascii="宋体" w:hAnsi="宋体" w:cs="宋体"/>
          <w:color w:val="auto"/>
          <w:kern w:val="2"/>
          <w:sz w:val="24"/>
          <w:szCs w:val="24"/>
          <w:lang w:val="en-US" w:eastAsia="zh-CN" w:bidi="ar-SA"/>
        </w:rPr>
        <w:t>党史学习</w:t>
      </w:r>
      <w:r>
        <w:rPr>
          <w:rFonts w:hint="eastAsia" w:ascii="宋体" w:hAnsi="宋体" w:eastAsia="宋体" w:cs="宋体"/>
          <w:color w:val="auto"/>
          <w:kern w:val="2"/>
          <w:sz w:val="24"/>
          <w:szCs w:val="24"/>
          <w:lang w:val="en-US" w:eastAsia="zh-CN" w:bidi="ar-SA"/>
        </w:rPr>
        <w:t>教育。严格党员发展、党费收缴使用管理，用好用活“学习强国”学习教育平台。加强网络阵地建设，引导师生增强网络安全意识，抵制网络不良信息对校园的冲击。</w:t>
      </w:r>
    </w:p>
    <w:p>
      <w:pPr>
        <w:pStyle w:val="12"/>
        <w:keepNext w:val="0"/>
        <w:keepLines w:val="0"/>
        <w:pageBreakBefore w:val="0"/>
        <w:widowControl w:val="0"/>
        <w:kinsoku/>
        <w:wordWrap/>
        <w:overflowPunct/>
        <w:topLinePunct w:val="0"/>
        <w:autoSpaceDE/>
        <w:autoSpaceDN/>
        <w:bidi w:val="0"/>
        <w:adjustRightInd/>
        <w:snapToGrid w:val="0"/>
        <w:spacing w:after="0"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（四）作风建设规范化。进一步转变工作作风，用心用情用力抓落实、求突破，开展“我为群众办实事”大走访大排查大提升活动。全面深入排查风险，切实强化风险意识教育。</w:t>
      </w:r>
    </w:p>
    <w:p>
      <w:pPr>
        <w:pStyle w:val="12"/>
        <w:keepNext w:val="0"/>
        <w:keepLines w:val="0"/>
        <w:pageBreakBefore w:val="0"/>
        <w:widowControl w:val="0"/>
        <w:kinsoku/>
        <w:wordWrap/>
        <w:overflowPunct/>
        <w:topLinePunct w:val="0"/>
        <w:autoSpaceDE/>
        <w:autoSpaceDN/>
        <w:bidi w:val="0"/>
        <w:adjustRightInd/>
        <w:snapToGrid w:val="0"/>
        <w:spacing w:after="0"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602" w:firstLineChars="200"/>
        <w:jc w:val="both"/>
        <w:textAlignment w:val="auto"/>
        <w:outlineLvl w:val="0"/>
        <w:rPr>
          <w:rFonts w:hint="eastAsia" w:ascii="宋体" w:hAnsi="宋体" w:cs="宋体"/>
          <w:b/>
          <w:color w:val="auto"/>
          <w:kern w:val="2"/>
          <w:sz w:val="30"/>
          <w:szCs w:val="30"/>
          <w:lang w:val="en-US" w:eastAsia="zh-CN" w:bidi="ar-SA"/>
        </w:rPr>
      </w:pPr>
      <w:bookmarkStart w:id="223" w:name="_Toc26285"/>
      <w:bookmarkStart w:id="224" w:name="_Toc30199"/>
      <w:bookmarkStart w:id="225" w:name="_Toc5523"/>
      <w:r>
        <w:rPr>
          <w:rFonts w:hint="eastAsia" w:ascii="宋体" w:hAnsi="宋体" w:cs="宋体"/>
          <w:b/>
          <w:color w:val="auto"/>
          <w:kern w:val="2"/>
          <w:sz w:val="30"/>
          <w:szCs w:val="30"/>
          <w:lang w:val="en-US" w:eastAsia="zh-CN" w:bidi="ar-SA"/>
        </w:rPr>
        <w:t>9．面临挑战</w:t>
      </w:r>
      <w:bookmarkEnd w:id="223"/>
      <w:bookmarkEnd w:id="224"/>
      <w:bookmarkEnd w:id="225"/>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226" w:name="_Toc12576"/>
      <w:bookmarkStart w:id="227" w:name="_Toc21367"/>
      <w:bookmarkStart w:id="228" w:name="_Toc22308"/>
      <w:r>
        <w:rPr>
          <w:rFonts w:hint="eastAsia" w:ascii="宋体" w:hAnsi="宋体" w:cs="宋体"/>
          <w:b/>
          <w:color w:val="auto"/>
          <w:kern w:val="2"/>
          <w:sz w:val="28"/>
          <w:szCs w:val="28"/>
          <w:lang w:val="en-US" w:eastAsia="zh-CN" w:bidi="ar-SA"/>
        </w:rPr>
        <w:t>9.1 主要问题</w:t>
      </w:r>
      <w:bookmarkEnd w:id="226"/>
      <w:bookmarkEnd w:id="227"/>
      <w:bookmarkEnd w:id="22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1.随着社会的不断进步，中职学校的发展定位难以满足人们对学历教育的渴望需求。职业教育与普通教育同等重要。家长对升学的需求日趋增强。招生数量与普高仍然有较大差距。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2.部分职业院校办学条件不达标，服务发展的能力不强。</w:t>
      </w:r>
      <w:r>
        <w:rPr>
          <w:rFonts w:hint="eastAsia" w:ascii="宋体" w:hAnsi="宋体" w:cs="宋体"/>
          <w:color w:val="auto"/>
          <w:kern w:val="2"/>
          <w:sz w:val="24"/>
          <w:szCs w:val="24"/>
          <w:lang w:val="en-US" w:eastAsia="zh-CN" w:bidi="ar-SA"/>
        </w:rPr>
        <w:t>全市</w:t>
      </w:r>
      <w:r>
        <w:rPr>
          <w:rFonts w:hint="eastAsia" w:ascii="宋体" w:hAnsi="宋体" w:eastAsia="宋体" w:cs="宋体"/>
          <w:color w:val="auto"/>
          <w:kern w:val="2"/>
          <w:sz w:val="24"/>
          <w:szCs w:val="24"/>
          <w:lang w:val="en-US" w:eastAsia="zh-CN" w:bidi="ar-SA"/>
        </w:rPr>
        <w:t>部分中职学校职教中心建设工程推进缓慢，基础课教师较多，专业师资队伍年龄老化，自主招聘专业教师的政策落实不到位，影响了急需人才的培养质量。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3.师资队伍整体素质有待提升。一是对于公办职业学校来说，受职称职数比例的限制，难于引进人才。二是职业学校缺乏激励教师机制，教师动力干劲不足。</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4.产教融合校企合作不够深入</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各学校在校企合作上仅有合作协议和顶岗实习合作内容，合作水平、合作育人等环节上缺乏深度，企业缺乏合作的动力。</w:t>
      </w:r>
    </w:p>
    <w:p>
      <w:pPr>
        <w:keepNext w:val="0"/>
        <w:keepLines w:val="0"/>
        <w:pageBreakBefore w:val="0"/>
        <w:widowControl w:val="0"/>
        <w:kinsoku/>
        <w:wordWrap/>
        <w:overflowPunct/>
        <w:topLinePunct w:val="0"/>
        <w:autoSpaceDE/>
        <w:autoSpaceDN/>
        <w:bidi w:val="0"/>
        <w:adjustRightInd/>
        <w:snapToGrid w:val="0"/>
        <w:spacing w:before="0" w:after="0" w:line="480" w:lineRule="exact"/>
        <w:ind w:left="0" w:right="0" w:firstLine="562" w:firstLineChars="200"/>
        <w:jc w:val="both"/>
        <w:textAlignment w:val="auto"/>
        <w:outlineLvl w:val="1"/>
        <w:rPr>
          <w:rFonts w:hint="eastAsia" w:ascii="宋体" w:hAnsi="宋体" w:cs="宋体"/>
          <w:b/>
          <w:color w:val="auto"/>
          <w:kern w:val="2"/>
          <w:sz w:val="28"/>
          <w:szCs w:val="28"/>
          <w:lang w:val="en-US" w:eastAsia="zh-CN" w:bidi="ar-SA"/>
        </w:rPr>
      </w:pPr>
      <w:bookmarkStart w:id="229" w:name="_Toc249"/>
      <w:bookmarkStart w:id="230" w:name="_Toc18382"/>
      <w:bookmarkStart w:id="231" w:name="_Toc20857"/>
      <w:r>
        <w:rPr>
          <w:rFonts w:hint="eastAsia" w:ascii="宋体" w:hAnsi="宋体" w:cs="宋体"/>
          <w:b/>
          <w:color w:val="auto"/>
          <w:kern w:val="2"/>
          <w:sz w:val="28"/>
          <w:szCs w:val="28"/>
          <w:lang w:val="en-US" w:eastAsia="zh-CN" w:bidi="ar-SA"/>
        </w:rPr>
        <w:t>9.2 改进措施</w:t>
      </w:r>
      <w:bookmarkEnd w:id="229"/>
      <w:bookmarkEnd w:id="230"/>
      <w:bookmarkEnd w:id="23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提高职业教育办学质量。统筹市区中职学校发展规划，根据地方经济社会发展需求，优化学校空间布局，合理确定办学规模。统筹专业设置调整，依据地方产业发展，鼓励学校开设地方急需的新兴专业和紧缺专业，优化提升传统专业，探索职普融通，扩大中职学校办学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2.创新人才培养模式。每年逐步扩大招生规模，不断扩宽中职学生升学渠道，增强中职教育发展吸引力。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加强中职师资队伍建设。全面实施中职教师素质提升工程，强化中职教师培训力度，提高教师教学水平。严格落实《中等职业教师专业标准》，加强“双师型”教师队伍建设，提高中职学校“双师型”教师比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4.强化教育质量督导。充分发挥“教育督导”的作用，定期加强对</w:t>
      </w:r>
      <w:r>
        <w:rPr>
          <w:rFonts w:hint="eastAsia" w:ascii="宋体" w:hAnsi="宋体" w:cs="宋体"/>
          <w:color w:val="auto"/>
          <w:kern w:val="2"/>
          <w:sz w:val="24"/>
          <w:szCs w:val="24"/>
          <w:lang w:val="en-US" w:eastAsia="zh-CN" w:bidi="ar-SA"/>
        </w:rPr>
        <w:t>全市</w:t>
      </w:r>
      <w:r>
        <w:rPr>
          <w:rFonts w:hint="eastAsia" w:ascii="宋体" w:hAnsi="宋体" w:eastAsia="宋体" w:cs="宋体"/>
          <w:color w:val="auto"/>
          <w:kern w:val="2"/>
          <w:sz w:val="24"/>
          <w:szCs w:val="24"/>
          <w:lang w:val="en-US" w:eastAsia="zh-CN" w:bidi="ar-SA"/>
        </w:rPr>
        <w:t>中职学校办学思路、办学目标、日常管理、专业建设、评价体系、课程建设、校企合作、师资队伍建设、教学质量、学生就业等方面进行全方位、全过程督导，整体提升</w:t>
      </w:r>
      <w:r>
        <w:rPr>
          <w:rFonts w:hint="eastAsia" w:ascii="宋体" w:hAnsi="宋体" w:cs="宋体"/>
          <w:color w:val="auto"/>
          <w:kern w:val="2"/>
          <w:sz w:val="24"/>
          <w:szCs w:val="24"/>
          <w:lang w:val="en-US" w:eastAsia="zh-CN" w:bidi="ar-SA"/>
        </w:rPr>
        <w:t>全市</w:t>
      </w:r>
      <w:r>
        <w:rPr>
          <w:rFonts w:hint="eastAsia" w:ascii="宋体" w:hAnsi="宋体" w:eastAsia="宋体" w:cs="宋体"/>
          <w:color w:val="auto"/>
          <w:kern w:val="2"/>
          <w:sz w:val="24"/>
          <w:szCs w:val="24"/>
          <w:lang w:val="en-US" w:eastAsia="zh-CN" w:bidi="ar-SA"/>
        </w:rPr>
        <w:t>中职教育水平。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5.继续深化校企合作。坚持以市场为主导，促进职业学校的人才培养与企业的“零距离对接”，形成职业学校与企业之间的良性互动，引导各职业院校对接品牌影响力强的龙头企业</w:t>
      </w:r>
      <w:r>
        <w:rPr>
          <w:rFonts w:hint="eastAsia" w:ascii="宋体" w:hAnsi="宋体" w:cs="宋体"/>
          <w:color w:val="auto"/>
          <w:kern w:val="2"/>
          <w:sz w:val="24"/>
          <w:szCs w:val="24"/>
          <w:lang w:val="en-US" w:eastAsia="zh-CN" w:bidi="ar-SA"/>
        </w:rPr>
        <w:t>。</w:t>
      </w:r>
    </w:p>
    <w:sectPr>
      <w:headerReference r:id="rId10" w:type="first"/>
      <w:footerReference r:id="rId13" w:type="first"/>
      <w:headerReference r:id="rId9" w:type="default"/>
      <w:footerReference r:id="rId11" w:type="default"/>
      <w:footerReference r:id="rId12" w:type="even"/>
      <w:pgSz w:w="11906" w:h="16838"/>
      <w:pgMar w:top="1417" w:right="1417" w:bottom="1417" w:left="1701" w:header="851" w:footer="992" w:gutter="0"/>
      <w:pgNumType w:fmt="numberInDash" w:start="1"/>
      <w:cols w:space="0" w:num="1"/>
      <w:titlePg/>
      <w:rtlGutter w:val="1"/>
      <w:docGrid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3665" distR="113665" simplePos="0" relativeHeight="251659264" behindDoc="0" locked="0" layoutInCell="1" allowOverlap="1">
              <wp:simplePos x="0" y="0"/>
              <wp:positionH relativeFrom="margin">
                <wp:align>outside</wp:align>
              </wp:positionH>
              <wp:positionV relativeFrom="paragraph">
                <wp:posOffset>0</wp:posOffset>
              </wp:positionV>
              <wp:extent cx="133350" cy="172720"/>
              <wp:effectExtent l="0" t="0" r="0" b="0"/>
              <wp:wrapNone/>
              <wp:docPr id="1" name="文本框 3"/>
              <wp:cNvGraphicFramePr/>
              <a:graphic xmlns:a="http://schemas.openxmlformats.org/drawingml/2006/main">
                <a:graphicData uri="http://schemas.microsoft.com/office/word/2010/wordprocessingShape">
                  <wps:wsp>
                    <wps:cNvSpPr/>
                    <wps:spPr>
                      <a:xfrm>
                        <a:off x="0" y="0"/>
                        <a:ext cx="133350" cy="172687"/>
                      </a:xfrm>
                      <a:prstGeom prst="rect">
                        <a:avLst/>
                      </a:prstGeom>
                      <a:noFill/>
                      <a:ln w="9525" cap="flat" cmpd="sng">
                        <a:noFill/>
                        <a:prstDash val="solid"/>
                        <a:round/>
                      </a:ln>
                    </wps:spPr>
                    <wps:txbx>
                      <w:txbxContent>
                        <w:p>
                          <w:pPr>
                            <w:pStyle w:val="16"/>
                            <w:rPr>
                              <w:rFonts w:hint="eastAsia" w:ascii="宋体" w:eastAsia="宋体" w:cs="宋体"/>
                              <w:sz w:val="21"/>
                              <w:szCs w:val="21"/>
                            </w:rPr>
                          </w:pPr>
                          <w:r>
                            <w:rPr>
                              <w:rFonts w:hint="eastAsia" w:ascii="宋体" w:eastAsia="宋体" w:cs="宋体"/>
                              <w:sz w:val="21"/>
                              <w:szCs w:val="21"/>
                            </w:rPr>
                            <w:fldChar w:fldCharType="begin"/>
                          </w:r>
                          <w:r>
                            <w:rPr>
                              <w:rFonts w:hint="eastAsia" w:ascii="宋体" w:eastAsia="宋体" w:cs="宋体"/>
                              <w:sz w:val="21"/>
                              <w:szCs w:val="21"/>
                            </w:rPr>
                            <w:instrText xml:space="preserve"> PAGE  \* MERGEFORMAT </w:instrText>
                          </w:r>
                          <w:r>
                            <w:rPr>
                              <w:rFonts w:hint="eastAsia" w:ascii="宋体" w:eastAsia="宋体" w:cs="宋体"/>
                              <w:sz w:val="21"/>
                              <w:szCs w:val="21"/>
                            </w:rPr>
                            <w:fldChar w:fldCharType="separate"/>
                          </w:r>
                          <w:r>
                            <w:rPr>
                              <w:rFonts w:hint="eastAsia" w:ascii="宋体" w:eastAsia="宋体" w:cs="宋体"/>
                              <w:sz w:val="21"/>
                              <w:szCs w:val="21"/>
                            </w:rPr>
                            <w:t>1</w:t>
                          </w:r>
                          <w:r>
                            <w:rPr>
                              <w:rFonts w:hint="eastAsia" w:ascii="宋体" w:eastAsia="宋体" w:cs="宋体"/>
                              <w:sz w:val="21"/>
                              <w:szCs w:val="21"/>
                            </w:rPr>
                            <w:fldChar w:fldCharType="end"/>
                          </w:r>
                        </w:p>
                      </w:txbxContent>
                    </wps:txbx>
                    <wps:bodyPr vert="horz" wrap="none" lIns="0" tIns="0" rIns="0" bIns="0" anchor="t" anchorCtr="0" upright="1">
                      <a:spAutoFit/>
                    </wps:bodyPr>
                  </wps:wsp>
                </a:graphicData>
              </a:graphic>
            </wp:anchor>
          </w:drawing>
        </mc:Choice>
        <mc:Fallback>
          <w:pict>
            <v:rect id="文本框 3" o:spid="_x0000_s1026" o:spt="1" style="position:absolute;left:0pt;margin-top:0pt;height:13.6pt;width:10.5pt;mso-position-horizontal:outside;mso-position-horizontal-relative:margin;mso-wrap-style:none;z-index:251659264;mso-width-relative:page;mso-height-relative:page;" filled="f" stroked="f" coordsize="21600,21600" o:gfxdata="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fGC2tAAAAADAQAADwAAAAAAAAABACAAAAAiAAAAZHJzL2Rvd25yZXYu&#10;eG1sUEsBAhQAFAAAAAgAh07iQHq9qdEDAgAA9AMAAA4AAAAAAAAAAQAgAAAAHwEAAGRycy9lMm9E&#10;b2MueG1sUEsFBgAAAAAGAAYAWQEAAJQFAAAAAA==&#10;">
              <v:fill on="f" focussize="0,0"/>
              <v:stroke on="f" joinstyle="round"/>
              <v:imagedata o:title=""/>
              <o:lock v:ext="edit" aspectratio="f"/>
              <v:textbox inset="0mm,0mm,0mm,0mm" style="mso-fit-shape-to-text:t;">
                <w:txbxContent>
                  <w:p>
                    <w:pPr>
                      <w:pStyle w:val="16"/>
                      <w:rPr>
                        <w:rFonts w:hint="eastAsia" w:ascii="宋体" w:eastAsia="宋体" w:cs="宋体"/>
                        <w:sz w:val="21"/>
                        <w:szCs w:val="21"/>
                      </w:rPr>
                    </w:pPr>
                    <w:r>
                      <w:rPr>
                        <w:rFonts w:hint="eastAsia" w:ascii="宋体" w:eastAsia="宋体" w:cs="宋体"/>
                        <w:sz w:val="21"/>
                        <w:szCs w:val="21"/>
                      </w:rPr>
                      <w:fldChar w:fldCharType="begin"/>
                    </w:r>
                    <w:r>
                      <w:rPr>
                        <w:rFonts w:hint="eastAsia" w:ascii="宋体" w:eastAsia="宋体" w:cs="宋体"/>
                        <w:sz w:val="21"/>
                        <w:szCs w:val="21"/>
                      </w:rPr>
                      <w:instrText xml:space="preserve"> PAGE  \* MERGEFORMAT </w:instrText>
                    </w:r>
                    <w:r>
                      <w:rPr>
                        <w:rFonts w:hint="eastAsia" w:ascii="宋体" w:eastAsia="宋体" w:cs="宋体"/>
                        <w:sz w:val="21"/>
                        <w:szCs w:val="21"/>
                      </w:rPr>
                      <w:fldChar w:fldCharType="separate"/>
                    </w:r>
                    <w:r>
                      <w:rPr>
                        <w:rFonts w:hint="eastAsia" w:ascii="宋体" w:eastAsia="宋体" w:cs="宋体"/>
                        <w:sz w:val="21"/>
                        <w:szCs w:val="21"/>
                      </w:rPr>
                      <w:t>1</w:t>
                    </w:r>
                    <w:r>
                      <w:rPr>
                        <w:rFonts w:hint="eastAsia" w:ascii="宋体" w:eastAsia="宋体" w:cs="宋体"/>
                        <w:sz w:val="21"/>
                        <w:szCs w:val="21"/>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- 2 -</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6"/>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- 2 -</w:t>
                    </w:r>
                    <w:r>
                      <w:rPr>
                        <w:rFonts w:hint="eastAsia" w:ascii="宋体" w:hAnsi="宋体" w:eastAsia="宋体" w:cs="宋体"/>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- 1 -</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- 1 -</w:t>
                    </w:r>
                    <w:r>
                      <w:rPr>
                        <w:rFonts w:hint="eastAsia" w:ascii="宋体" w:hAnsi="宋体" w:eastAsia="宋体" w:cs="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r>
      <w:rPr>
        <w:rFonts w:hint="eastAsia" w:ascii="宋体" w:hAnsi="宋体" w:eastAsia="宋体" w:cs="宋体"/>
        <w:sz w:val="21"/>
        <w:szCs w:val="21"/>
        <w:lang w:eastAsia="zh-CN"/>
      </w:rPr>
      <w:t>吕梁市中等职业教育质量年度报告（</w:t>
    </w:r>
    <w:r>
      <w:rPr>
        <w:rFonts w:hint="eastAsia" w:ascii="宋体" w:hAnsi="宋体" w:eastAsia="宋体" w:cs="宋体"/>
        <w:sz w:val="21"/>
        <w:szCs w:val="21"/>
        <w:lang w:val="en-US" w:eastAsia="zh-CN"/>
      </w:rPr>
      <w:t>202</w:t>
    </w:r>
    <w:r>
      <w:rPr>
        <w:rFonts w:hint="eastAsia" w:ascii="宋体" w:hAnsi="宋体" w:cs="宋体"/>
        <w:sz w:val="21"/>
        <w:szCs w:val="21"/>
        <w:lang w:val="en-US" w:eastAsia="zh-CN"/>
      </w:rPr>
      <w:t>3</w:t>
    </w:r>
    <w:r>
      <w:rPr>
        <w:rFonts w:hint="eastAsia" w:ascii="宋体" w:hAnsi="宋体" w:eastAsia="宋体" w:cs="宋体"/>
        <w:sz w:val="21"/>
        <w:szCs w:val="21"/>
        <w:lang w:eastAsia="zh-CN"/>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left="0" w:firstLine="0"/>
      <w:jc w:val="right"/>
      <w:rPr>
        <w:rFonts w:hint="eastAsia"/>
        <w:lang w:val="en-US" w:eastAsia="zh-CN"/>
      </w:rPr>
    </w:pPr>
  </w:p>
  <w:p>
    <w:pPr>
      <w:pStyle w:val="15"/>
      <w:pBdr>
        <w:bottom w:val="single" w:color="auto" w:sz="4" w:space="0"/>
      </w:pBdr>
      <w:ind w:left="0" w:firstLine="0"/>
      <w:jc w:val="right"/>
      <w:rPr>
        <w:sz w:val="21"/>
        <w:szCs w:val="21"/>
        <w:lang w:val="en-US" w:eastAsia="zh-CN"/>
      </w:rPr>
    </w:pPr>
    <w:r>
      <w:rPr>
        <w:rFonts w:hint="eastAsia"/>
        <w:b w:val="0"/>
        <w:bCs w:val="0"/>
        <w:sz w:val="21"/>
        <w:szCs w:val="21"/>
        <w:lang w:val="en-US" w:eastAsia="zh-CN"/>
      </w:rPr>
      <w:t>吕梁市中等职业教育质量年度报告（2021）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hint="eastAsia" w:ascii="宋体" w:hAnsi="宋体" w:eastAsia="宋体" w:cs="宋体"/>
        <w:sz w:val="21"/>
        <w:szCs w:val="21"/>
        <w:lang w:eastAsia="zh-CN"/>
      </w:rPr>
    </w:pPr>
    <w:r>
      <w:rPr>
        <w:rFonts w:hint="eastAsia" w:ascii="宋体" w:hAnsi="宋体" w:eastAsia="宋体" w:cs="宋体"/>
        <w:sz w:val="21"/>
        <w:szCs w:val="21"/>
        <w:lang w:eastAsia="zh-CN"/>
      </w:rPr>
      <w:t>吕梁市中等职业教育质量年度报告（</w:t>
    </w:r>
    <w:r>
      <w:rPr>
        <w:rFonts w:hint="eastAsia" w:ascii="宋体" w:hAnsi="宋体" w:eastAsia="宋体" w:cs="宋体"/>
        <w:sz w:val="21"/>
        <w:szCs w:val="21"/>
        <w:lang w:val="en-US" w:eastAsia="zh-CN"/>
      </w:rPr>
      <w:t>202</w:t>
    </w:r>
    <w:r>
      <w:rPr>
        <w:rFonts w:hint="eastAsia" w:ascii="宋体" w:hAnsi="宋体" w:cs="宋体"/>
        <w:sz w:val="21"/>
        <w:szCs w:val="21"/>
        <w:lang w:val="en-US" w:eastAsia="zh-CN"/>
      </w:rPr>
      <w:t>3</w:t>
    </w:r>
    <w:r>
      <w:rPr>
        <w:rFonts w:hint="eastAsia" w:ascii="宋体" w:hAnsi="宋体" w:eastAsia="宋体" w:cs="宋体"/>
        <w:sz w:val="21"/>
        <w:szCs w:val="21"/>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B788B1"/>
    <w:multiLevelType w:val="singleLevel"/>
    <w:tmpl w:val="12B788B1"/>
    <w:lvl w:ilvl="0" w:tentative="0">
      <w:start w:val="1"/>
      <w:numFmt w:val="chineseCounting"/>
      <w:suff w:val="nothing"/>
      <w:lvlText w:val="（%1）"/>
      <w:lvlJc w:val="left"/>
      <w:pPr>
        <w:tabs>
          <w:tab w:val="left" w:pos="0"/>
        </w:tabs>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320"/>
  <w:drawingGridVerticalSpacing w:val="99999990"/>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MjQwOTc3MGU5YTM3ODY3ZTc3YTlkM2UyYTQzNDViMWUifQ=="/>
  </w:docVars>
  <w:rsids>
    <w:rsidRoot w:val="00000000"/>
    <w:rsid w:val="000E7B1F"/>
    <w:rsid w:val="003532FE"/>
    <w:rsid w:val="00895541"/>
    <w:rsid w:val="01B36BD0"/>
    <w:rsid w:val="027A5940"/>
    <w:rsid w:val="03157416"/>
    <w:rsid w:val="032D6F3F"/>
    <w:rsid w:val="0392072B"/>
    <w:rsid w:val="03D76B06"/>
    <w:rsid w:val="03E73A87"/>
    <w:rsid w:val="03EF7C67"/>
    <w:rsid w:val="040035E2"/>
    <w:rsid w:val="04E97E95"/>
    <w:rsid w:val="05046ED1"/>
    <w:rsid w:val="05B0250D"/>
    <w:rsid w:val="05BD29DA"/>
    <w:rsid w:val="06AE51B6"/>
    <w:rsid w:val="06B74BC8"/>
    <w:rsid w:val="06FF6413"/>
    <w:rsid w:val="072445AB"/>
    <w:rsid w:val="07AC659B"/>
    <w:rsid w:val="07BE5EF2"/>
    <w:rsid w:val="094E71DE"/>
    <w:rsid w:val="09A942F8"/>
    <w:rsid w:val="09E71B0D"/>
    <w:rsid w:val="0A3E36FC"/>
    <w:rsid w:val="0A474359"/>
    <w:rsid w:val="0AEB2876"/>
    <w:rsid w:val="0B1B7594"/>
    <w:rsid w:val="0B381EF4"/>
    <w:rsid w:val="0B633415"/>
    <w:rsid w:val="0C3E0F6F"/>
    <w:rsid w:val="0C48183A"/>
    <w:rsid w:val="0C9910B8"/>
    <w:rsid w:val="0C9A0AA5"/>
    <w:rsid w:val="0CEC11E8"/>
    <w:rsid w:val="0CFD1647"/>
    <w:rsid w:val="0D731909"/>
    <w:rsid w:val="0DF02F5A"/>
    <w:rsid w:val="0E0F1814"/>
    <w:rsid w:val="0E6A4ABA"/>
    <w:rsid w:val="0F5C3E92"/>
    <w:rsid w:val="0F7C2CF7"/>
    <w:rsid w:val="0FAA07F4"/>
    <w:rsid w:val="0FB87AA7"/>
    <w:rsid w:val="0FC2211C"/>
    <w:rsid w:val="0FDD12BC"/>
    <w:rsid w:val="1008428F"/>
    <w:rsid w:val="10196798"/>
    <w:rsid w:val="10926C64"/>
    <w:rsid w:val="10DB57FB"/>
    <w:rsid w:val="11134779"/>
    <w:rsid w:val="11866F8D"/>
    <w:rsid w:val="118C11EC"/>
    <w:rsid w:val="11EC3A38"/>
    <w:rsid w:val="127E0301"/>
    <w:rsid w:val="13152CDA"/>
    <w:rsid w:val="1330669E"/>
    <w:rsid w:val="137F4B64"/>
    <w:rsid w:val="13A02D2C"/>
    <w:rsid w:val="13AF65FD"/>
    <w:rsid w:val="13CE5017"/>
    <w:rsid w:val="13F76DF0"/>
    <w:rsid w:val="14023EA6"/>
    <w:rsid w:val="14060B14"/>
    <w:rsid w:val="14D62EA9"/>
    <w:rsid w:val="156C3B13"/>
    <w:rsid w:val="157D1577"/>
    <w:rsid w:val="15B50D11"/>
    <w:rsid w:val="15CA4090"/>
    <w:rsid w:val="15DD5B72"/>
    <w:rsid w:val="162071C7"/>
    <w:rsid w:val="16946B78"/>
    <w:rsid w:val="16FE461A"/>
    <w:rsid w:val="170C65FB"/>
    <w:rsid w:val="179901BE"/>
    <w:rsid w:val="181F06C4"/>
    <w:rsid w:val="19480342"/>
    <w:rsid w:val="197B7B7C"/>
    <w:rsid w:val="199D0CF3"/>
    <w:rsid w:val="19C57049"/>
    <w:rsid w:val="1A5E5103"/>
    <w:rsid w:val="1ABA3003"/>
    <w:rsid w:val="1B0A0B65"/>
    <w:rsid w:val="1BCD024B"/>
    <w:rsid w:val="1C367B36"/>
    <w:rsid w:val="1C6B499B"/>
    <w:rsid w:val="1C8925AF"/>
    <w:rsid w:val="1CC125AB"/>
    <w:rsid w:val="1D7E7E49"/>
    <w:rsid w:val="1DD65CC8"/>
    <w:rsid w:val="1E576997"/>
    <w:rsid w:val="1ED81A83"/>
    <w:rsid w:val="1F1A3993"/>
    <w:rsid w:val="1F9D6372"/>
    <w:rsid w:val="1FAF67D1"/>
    <w:rsid w:val="20411092"/>
    <w:rsid w:val="20485E60"/>
    <w:rsid w:val="20EC0839"/>
    <w:rsid w:val="217A7D6D"/>
    <w:rsid w:val="21827688"/>
    <w:rsid w:val="21837F15"/>
    <w:rsid w:val="21843C8D"/>
    <w:rsid w:val="21F901D7"/>
    <w:rsid w:val="223905D4"/>
    <w:rsid w:val="22737F9C"/>
    <w:rsid w:val="227B4B31"/>
    <w:rsid w:val="23452FA8"/>
    <w:rsid w:val="240E7215"/>
    <w:rsid w:val="242A28CA"/>
    <w:rsid w:val="243279D1"/>
    <w:rsid w:val="249242A6"/>
    <w:rsid w:val="24CD4BE5"/>
    <w:rsid w:val="24E4395F"/>
    <w:rsid w:val="2500187D"/>
    <w:rsid w:val="2504136D"/>
    <w:rsid w:val="252C3B2C"/>
    <w:rsid w:val="254C2D14"/>
    <w:rsid w:val="25F02579"/>
    <w:rsid w:val="2652435A"/>
    <w:rsid w:val="26F92A28"/>
    <w:rsid w:val="27412A2A"/>
    <w:rsid w:val="27432EA7"/>
    <w:rsid w:val="2758054F"/>
    <w:rsid w:val="279D4782"/>
    <w:rsid w:val="27E02044"/>
    <w:rsid w:val="27E30D30"/>
    <w:rsid w:val="27EC3134"/>
    <w:rsid w:val="28692869"/>
    <w:rsid w:val="286A017F"/>
    <w:rsid w:val="28B16D58"/>
    <w:rsid w:val="28B90F2B"/>
    <w:rsid w:val="292E0075"/>
    <w:rsid w:val="2975241B"/>
    <w:rsid w:val="2A58309D"/>
    <w:rsid w:val="2ABC1DA2"/>
    <w:rsid w:val="2AF21C68"/>
    <w:rsid w:val="2AF43C32"/>
    <w:rsid w:val="2AFF3BD6"/>
    <w:rsid w:val="2BF3473C"/>
    <w:rsid w:val="2C3F2C8B"/>
    <w:rsid w:val="2C671380"/>
    <w:rsid w:val="2D0D4B37"/>
    <w:rsid w:val="2D572256"/>
    <w:rsid w:val="2D5B1D46"/>
    <w:rsid w:val="2D6E4EE9"/>
    <w:rsid w:val="2DE9494A"/>
    <w:rsid w:val="2E870919"/>
    <w:rsid w:val="2EB52D3E"/>
    <w:rsid w:val="2EDC360B"/>
    <w:rsid w:val="2F372D57"/>
    <w:rsid w:val="30422D49"/>
    <w:rsid w:val="30503A10"/>
    <w:rsid w:val="30744ECD"/>
    <w:rsid w:val="30C91C11"/>
    <w:rsid w:val="311D0F11"/>
    <w:rsid w:val="32BD2B5B"/>
    <w:rsid w:val="32C65EB4"/>
    <w:rsid w:val="332C1A8F"/>
    <w:rsid w:val="332E1B31"/>
    <w:rsid w:val="33AD2BD0"/>
    <w:rsid w:val="33B43F5E"/>
    <w:rsid w:val="33D30D10"/>
    <w:rsid w:val="33D463AE"/>
    <w:rsid w:val="33D5488F"/>
    <w:rsid w:val="34125129"/>
    <w:rsid w:val="344A6670"/>
    <w:rsid w:val="34C42E76"/>
    <w:rsid w:val="35474A8A"/>
    <w:rsid w:val="3592207D"/>
    <w:rsid w:val="360A11EA"/>
    <w:rsid w:val="36714388"/>
    <w:rsid w:val="368034C1"/>
    <w:rsid w:val="36AF62B4"/>
    <w:rsid w:val="36CC7811"/>
    <w:rsid w:val="37C7012B"/>
    <w:rsid w:val="384557AA"/>
    <w:rsid w:val="384635F3"/>
    <w:rsid w:val="3922196A"/>
    <w:rsid w:val="3A0169D7"/>
    <w:rsid w:val="3A480BD6"/>
    <w:rsid w:val="3A8735DD"/>
    <w:rsid w:val="3B1F757F"/>
    <w:rsid w:val="3BD7304A"/>
    <w:rsid w:val="3BD827B4"/>
    <w:rsid w:val="3BE54589"/>
    <w:rsid w:val="3BFA7ADF"/>
    <w:rsid w:val="3C1164E3"/>
    <w:rsid w:val="3C213BF5"/>
    <w:rsid w:val="3C502C92"/>
    <w:rsid w:val="3CC6538C"/>
    <w:rsid w:val="3CD63197"/>
    <w:rsid w:val="3CE46434"/>
    <w:rsid w:val="3D372AC6"/>
    <w:rsid w:val="3D4F2F4A"/>
    <w:rsid w:val="3D9B0FE9"/>
    <w:rsid w:val="3DA27397"/>
    <w:rsid w:val="3DA74B34"/>
    <w:rsid w:val="3DC266B7"/>
    <w:rsid w:val="3DC6320C"/>
    <w:rsid w:val="3DD376D7"/>
    <w:rsid w:val="3DFC6CE3"/>
    <w:rsid w:val="3E246184"/>
    <w:rsid w:val="3E2C5EC2"/>
    <w:rsid w:val="3EAB50FE"/>
    <w:rsid w:val="3EE3198A"/>
    <w:rsid w:val="3EE80F60"/>
    <w:rsid w:val="3EFB4122"/>
    <w:rsid w:val="3F010273"/>
    <w:rsid w:val="3F5D49CE"/>
    <w:rsid w:val="3FC902BF"/>
    <w:rsid w:val="4013025E"/>
    <w:rsid w:val="409475F1"/>
    <w:rsid w:val="40BE7B8E"/>
    <w:rsid w:val="40CE23FA"/>
    <w:rsid w:val="411A45EB"/>
    <w:rsid w:val="41656898"/>
    <w:rsid w:val="416D6F21"/>
    <w:rsid w:val="418B713B"/>
    <w:rsid w:val="41E81277"/>
    <w:rsid w:val="41FC6F55"/>
    <w:rsid w:val="42F80640"/>
    <w:rsid w:val="43252782"/>
    <w:rsid w:val="432804C5"/>
    <w:rsid w:val="43853221"/>
    <w:rsid w:val="439F6DA1"/>
    <w:rsid w:val="43F8742F"/>
    <w:rsid w:val="440700DA"/>
    <w:rsid w:val="4430027A"/>
    <w:rsid w:val="44B93DF6"/>
    <w:rsid w:val="453E7B2C"/>
    <w:rsid w:val="45723C79"/>
    <w:rsid w:val="458C6E7B"/>
    <w:rsid w:val="45F445D0"/>
    <w:rsid w:val="4608564E"/>
    <w:rsid w:val="467A02CA"/>
    <w:rsid w:val="46E36784"/>
    <w:rsid w:val="46F74436"/>
    <w:rsid w:val="4712301E"/>
    <w:rsid w:val="471E6E88"/>
    <w:rsid w:val="473B60C1"/>
    <w:rsid w:val="47961EA1"/>
    <w:rsid w:val="491B090B"/>
    <w:rsid w:val="492D2391"/>
    <w:rsid w:val="4B227542"/>
    <w:rsid w:val="4CD34DE0"/>
    <w:rsid w:val="4D073A49"/>
    <w:rsid w:val="4DC878A4"/>
    <w:rsid w:val="4E121B55"/>
    <w:rsid w:val="4E1C02DF"/>
    <w:rsid w:val="4E4361B3"/>
    <w:rsid w:val="4F6F0BB5"/>
    <w:rsid w:val="4F974A08"/>
    <w:rsid w:val="4FE36811"/>
    <w:rsid w:val="503A35E5"/>
    <w:rsid w:val="503C269F"/>
    <w:rsid w:val="50454464"/>
    <w:rsid w:val="508B2E83"/>
    <w:rsid w:val="509727E6"/>
    <w:rsid w:val="509F58CF"/>
    <w:rsid w:val="50AC1D83"/>
    <w:rsid w:val="50C77E23"/>
    <w:rsid w:val="513A16A7"/>
    <w:rsid w:val="519758C5"/>
    <w:rsid w:val="51C615D4"/>
    <w:rsid w:val="52565C7E"/>
    <w:rsid w:val="52572AAC"/>
    <w:rsid w:val="52727DC1"/>
    <w:rsid w:val="527D47C7"/>
    <w:rsid w:val="52FD1026"/>
    <w:rsid w:val="53DC0CED"/>
    <w:rsid w:val="53E2021C"/>
    <w:rsid w:val="543F4F75"/>
    <w:rsid w:val="544F7227"/>
    <w:rsid w:val="546E6E6A"/>
    <w:rsid w:val="547277F2"/>
    <w:rsid w:val="54837309"/>
    <w:rsid w:val="56274FBE"/>
    <w:rsid w:val="564E1B99"/>
    <w:rsid w:val="565E2B72"/>
    <w:rsid w:val="565F37A4"/>
    <w:rsid w:val="56681FA6"/>
    <w:rsid w:val="566B4385"/>
    <w:rsid w:val="569F36E2"/>
    <w:rsid w:val="56A343D4"/>
    <w:rsid w:val="57071993"/>
    <w:rsid w:val="572A6162"/>
    <w:rsid w:val="5766200F"/>
    <w:rsid w:val="57AB661C"/>
    <w:rsid w:val="57EF1159"/>
    <w:rsid w:val="57F86260"/>
    <w:rsid w:val="58233E6D"/>
    <w:rsid w:val="583F4AFD"/>
    <w:rsid w:val="586616BE"/>
    <w:rsid w:val="59412B2A"/>
    <w:rsid w:val="59C336E2"/>
    <w:rsid w:val="5A372948"/>
    <w:rsid w:val="5A6C6A91"/>
    <w:rsid w:val="5A904C8A"/>
    <w:rsid w:val="5AA73CBC"/>
    <w:rsid w:val="5B362D39"/>
    <w:rsid w:val="5B597015"/>
    <w:rsid w:val="5C221798"/>
    <w:rsid w:val="5C284A34"/>
    <w:rsid w:val="5C79244B"/>
    <w:rsid w:val="5CE43BB9"/>
    <w:rsid w:val="5DDB689A"/>
    <w:rsid w:val="5F893C41"/>
    <w:rsid w:val="60452055"/>
    <w:rsid w:val="6135708B"/>
    <w:rsid w:val="619E05C5"/>
    <w:rsid w:val="61F2566A"/>
    <w:rsid w:val="62115AD1"/>
    <w:rsid w:val="621E68C3"/>
    <w:rsid w:val="623477B4"/>
    <w:rsid w:val="62464CCF"/>
    <w:rsid w:val="62586279"/>
    <w:rsid w:val="625B38F4"/>
    <w:rsid w:val="625C563D"/>
    <w:rsid w:val="62DF24F6"/>
    <w:rsid w:val="631321A0"/>
    <w:rsid w:val="632333F1"/>
    <w:rsid w:val="637468DA"/>
    <w:rsid w:val="643558D2"/>
    <w:rsid w:val="64501DE2"/>
    <w:rsid w:val="64EA55C9"/>
    <w:rsid w:val="64F55FB1"/>
    <w:rsid w:val="66124991"/>
    <w:rsid w:val="66176B90"/>
    <w:rsid w:val="665F3426"/>
    <w:rsid w:val="668D5345"/>
    <w:rsid w:val="66A462E2"/>
    <w:rsid w:val="677856C1"/>
    <w:rsid w:val="67B3561B"/>
    <w:rsid w:val="681B5AD6"/>
    <w:rsid w:val="6926423B"/>
    <w:rsid w:val="695E7EED"/>
    <w:rsid w:val="697F058F"/>
    <w:rsid w:val="69A9560C"/>
    <w:rsid w:val="69CB5582"/>
    <w:rsid w:val="69DD764A"/>
    <w:rsid w:val="6A9F5853"/>
    <w:rsid w:val="6B87197D"/>
    <w:rsid w:val="6BA00430"/>
    <w:rsid w:val="6BC229B5"/>
    <w:rsid w:val="6BE464DA"/>
    <w:rsid w:val="6BFA3D38"/>
    <w:rsid w:val="6C025E29"/>
    <w:rsid w:val="6CE66B6E"/>
    <w:rsid w:val="6D2D7C81"/>
    <w:rsid w:val="6DE9580F"/>
    <w:rsid w:val="6E02220F"/>
    <w:rsid w:val="6E054DDB"/>
    <w:rsid w:val="6E3120A3"/>
    <w:rsid w:val="6E407BC1"/>
    <w:rsid w:val="6E6715F2"/>
    <w:rsid w:val="6E8566B9"/>
    <w:rsid w:val="6ED8604B"/>
    <w:rsid w:val="6F084B83"/>
    <w:rsid w:val="701D640C"/>
    <w:rsid w:val="702F7EED"/>
    <w:rsid w:val="70BA3C5B"/>
    <w:rsid w:val="711710AD"/>
    <w:rsid w:val="717958C4"/>
    <w:rsid w:val="71C01745"/>
    <w:rsid w:val="71FA11CC"/>
    <w:rsid w:val="725004B1"/>
    <w:rsid w:val="725F0F5E"/>
    <w:rsid w:val="729D3834"/>
    <w:rsid w:val="72D85780"/>
    <w:rsid w:val="73D47729"/>
    <w:rsid w:val="74345F76"/>
    <w:rsid w:val="744B2BF0"/>
    <w:rsid w:val="74DD616A"/>
    <w:rsid w:val="74F234D1"/>
    <w:rsid w:val="7568637B"/>
    <w:rsid w:val="76634D94"/>
    <w:rsid w:val="766823AB"/>
    <w:rsid w:val="77075720"/>
    <w:rsid w:val="778D1F6A"/>
    <w:rsid w:val="77EB7404"/>
    <w:rsid w:val="78393DA0"/>
    <w:rsid w:val="784C102A"/>
    <w:rsid w:val="788C2381"/>
    <w:rsid w:val="78DC4D22"/>
    <w:rsid w:val="793A26E6"/>
    <w:rsid w:val="79507852"/>
    <w:rsid w:val="7A1B2433"/>
    <w:rsid w:val="7A3A5E0C"/>
    <w:rsid w:val="7A5944E4"/>
    <w:rsid w:val="7A851036"/>
    <w:rsid w:val="7B29357C"/>
    <w:rsid w:val="7B864E0B"/>
    <w:rsid w:val="7C644564"/>
    <w:rsid w:val="7C6B04FF"/>
    <w:rsid w:val="7C7F06DD"/>
    <w:rsid w:val="7C830F7C"/>
    <w:rsid w:val="7CE30319"/>
    <w:rsid w:val="7D0E1B2E"/>
    <w:rsid w:val="7D3B79D2"/>
    <w:rsid w:val="7D867DF8"/>
    <w:rsid w:val="7DA7147A"/>
    <w:rsid w:val="7DD27577"/>
    <w:rsid w:val="7DEC7BD3"/>
    <w:rsid w:val="7E372D8F"/>
    <w:rsid w:val="7E755665"/>
    <w:rsid w:val="7EAA17B2"/>
    <w:rsid w:val="7EC9775F"/>
    <w:rsid w:val="7F4734A5"/>
    <w:rsid w:val="7F494C8D"/>
    <w:rsid w:val="7F5611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4"/>
    <w:qFormat/>
    <w:uiPriority w:val="0"/>
    <w:pPr>
      <w:widowControl w:val="0"/>
      <w:jc w:val="both"/>
    </w:pPr>
    <w:rPr>
      <w:rFonts w:ascii="Calibri" w:hAnsi="Calibri" w:eastAsia="宋体" w:cs="Arial"/>
      <w:kern w:val="2"/>
      <w:sz w:val="32"/>
      <w:szCs w:val="22"/>
      <w:lang w:val="en-US" w:eastAsia="zh-CN" w:bidi="ar-SA"/>
    </w:rPr>
  </w:style>
  <w:style w:type="paragraph" w:styleId="4">
    <w:name w:val="heading 1"/>
    <w:basedOn w:val="1"/>
    <w:next w:val="1"/>
    <w:qFormat/>
    <w:uiPriority w:val="0"/>
    <w:pPr>
      <w:spacing w:before="0" w:beforeAutospacing="1" w:after="0" w:afterAutospacing="1"/>
      <w:jc w:val="left"/>
      <w:outlineLvl w:val="0"/>
    </w:pPr>
    <w:rPr>
      <w:rFonts w:ascii="宋体" w:eastAsia="宋体" w:cs="宋体"/>
      <w:b/>
      <w:kern w:val="44"/>
      <w:sz w:val="48"/>
      <w:szCs w:val="48"/>
      <w:lang w:val="en-US" w:eastAsia="zh-CN"/>
    </w:rPr>
  </w:style>
  <w:style w:type="paragraph" w:styleId="5">
    <w:name w:val="heading 2"/>
    <w:basedOn w:val="1"/>
    <w:next w:val="1"/>
    <w:qFormat/>
    <w:uiPriority w:val="0"/>
    <w:pPr>
      <w:keepNext/>
      <w:keepLines/>
      <w:widowControl w:val="0"/>
      <w:spacing w:before="260" w:beforeAutospacing="0" w:after="260" w:afterAutospacing="0" w:line="413" w:lineRule="auto"/>
      <w:outlineLvl w:val="1"/>
    </w:pPr>
    <w:rPr>
      <w:rFonts w:ascii="Arial" w:hAnsi="Arial" w:eastAsia="黑体"/>
      <w:b/>
      <w:sz w:val="32"/>
    </w:rPr>
  </w:style>
  <w:style w:type="paragraph" w:styleId="6">
    <w:name w:val="heading 3"/>
    <w:basedOn w:val="1"/>
    <w:next w:val="1"/>
    <w:qFormat/>
    <w:uiPriority w:val="0"/>
    <w:pPr>
      <w:keepNext/>
      <w:keepLines/>
      <w:widowControl w:val="0"/>
      <w:spacing w:line="500" w:lineRule="exact"/>
      <w:ind w:firstLine="200" w:firstLineChars="200"/>
      <w:outlineLvl w:val="2"/>
    </w:pPr>
    <w:rPr>
      <w:rFonts w:ascii="Times New Roman" w:hAnsi="Times New Roman" w:eastAsia="宋体" w:cs="Times New Roman"/>
      <w:sz w:val="24"/>
    </w:rPr>
  </w:style>
  <w:style w:type="paragraph" w:styleId="7">
    <w:name w:val="heading 4"/>
    <w:basedOn w:val="1"/>
    <w:next w:val="1"/>
    <w:unhideWhenUsed/>
    <w:qFormat/>
    <w:uiPriority w:val="0"/>
    <w:pPr>
      <w:keepNext/>
      <w:keepLines/>
      <w:spacing w:beforeLines="0" w:beforeAutospacing="0" w:afterLines="0" w:afterAutospacing="0" w:line="460" w:lineRule="exact"/>
      <w:ind w:firstLine="643" w:firstLineChars="200"/>
      <w:outlineLvl w:val="3"/>
    </w:pPr>
    <w:rPr>
      <w:rFonts w:ascii="宋体" w:hAnsi="宋体" w:eastAsia="宋体"/>
      <w:szCs w:val="24"/>
    </w:rPr>
  </w:style>
  <w:style w:type="character" w:default="1" w:styleId="25">
    <w:name w:val="Default Paragraph Font"/>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spacing w:after="120" w:line="360" w:lineRule="auto"/>
      <w:ind w:firstLine="420" w:firstLineChars="100"/>
    </w:pPr>
    <w:rPr>
      <w:rFonts w:ascii="微软雅黑" w:hAnsi="微软雅黑" w:eastAsia="微软雅黑" w:cs="微软雅黑"/>
      <w:sz w:val="21"/>
      <w:szCs w:val="21"/>
    </w:rPr>
  </w:style>
  <w:style w:type="paragraph" w:styleId="3">
    <w:name w:val="Body Text"/>
    <w:basedOn w:val="1"/>
    <w:qFormat/>
    <w:uiPriority w:val="0"/>
    <w:pPr>
      <w:spacing w:after="120" w:afterAutospacing="0"/>
    </w:pPr>
  </w:style>
  <w:style w:type="paragraph" w:styleId="8">
    <w:name w:val="Normal Indent"/>
    <w:basedOn w:val="1"/>
    <w:unhideWhenUsed/>
    <w:qFormat/>
    <w:uiPriority w:val="99"/>
    <w:pPr>
      <w:spacing w:line="240" w:lineRule="auto"/>
      <w:ind w:firstLine="420"/>
    </w:pPr>
    <w:rPr>
      <w:rFonts w:eastAsiaTheme="minorEastAsia"/>
      <w:sz w:val="21"/>
    </w:rPr>
  </w:style>
  <w:style w:type="paragraph" w:styleId="9">
    <w:name w:val="caption"/>
    <w:basedOn w:val="1"/>
    <w:next w:val="1"/>
    <w:link w:val="38"/>
    <w:qFormat/>
    <w:uiPriority w:val="0"/>
    <w:pPr>
      <w:spacing w:line="360" w:lineRule="exact"/>
      <w:ind w:firstLine="0"/>
      <w:jc w:val="center"/>
    </w:pPr>
    <w:rPr>
      <w:rFonts w:eastAsia="黑体"/>
      <w:b/>
      <w:sz w:val="21"/>
    </w:rPr>
  </w:style>
  <w:style w:type="paragraph" w:styleId="10">
    <w:name w:val="toa heading"/>
    <w:basedOn w:val="1"/>
    <w:next w:val="1"/>
    <w:qFormat/>
    <w:uiPriority w:val="0"/>
    <w:pPr>
      <w:spacing w:before="120" w:beforeAutospacing="0"/>
    </w:pPr>
    <w:rPr>
      <w:rFonts w:ascii="Arial" w:hAnsi="Arial"/>
      <w:sz w:val="24"/>
    </w:rPr>
  </w:style>
  <w:style w:type="paragraph" w:styleId="11">
    <w:name w:val="annotation text"/>
    <w:basedOn w:val="1"/>
    <w:qFormat/>
    <w:uiPriority w:val="0"/>
    <w:pPr>
      <w:jc w:val="left"/>
    </w:pPr>
  </w:style>
  <w:style w:type="paragraph" w:styleId="12">
    <w:name w:val="Body Text Indent"/>
    <w:basedOn w:val="1"/>
    <w:qFormat/>
    <w:uiPriority w:val="0"/>
    <w:pPr>
      <w:spacing w:after="120"/>
      <w:ind w:left="200" w:leftChars="200"/>
    </w:pPr>
    <w:rPr>
      <w:rFonts w:ascii="Times New Roman" w:hAnsi="Times New Roman" w:eastAsia="宋体" w:cs="Times New Roman"/>
    </w:rPr>
  </w:style>
  <w:style w:type="paragraph" w:styleId="13">
    <w:name w:val="Plain Text"/>
    <w:basedOn w:val="1"/>
    <w:qFormat/>
    <w:uiPriority w:val="0"/>
    <w:rPr>
      <w:rFonts w:ascii="宋体" w:hAnsi="Courier New"/>
    </w:rPr>
  </w:style>
  <w:style w:type="paragraph" w:styleId="14">
    <w:name w:val="Body Text Indent 2"/>
    <w:basedOn w:val="1"/>
    <w:next w:val="15"/>
    <w:qFormat/>
    <w:uiPriority w:val="0"/>
    <w:pPr>
      <w:spacing w:after="120" w:line="480" w:lineRule="auto"/>
      <w:ind w:left="200" w:leftChars="200"/>
    </w:p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able of figures"/>
    <w:basedOn w:val="1"/>
    <w:next w:val="1"/>
    <w:qFormat/>
    <w:uiPriority w:val="0"/>
    <w:pPr>
      <w:ind w:leftChars="200" w:hanging="200" w:hangingChars="200"/>
    </w:pPr>
  </w:style>
  <w:style w:type="paragraph" w:styleId="20">
    <w:name w:val="toc 2"/>
    <w:basedOn w:val="1"/>
    <w:next w:val="1"/>
    <w:qFormat/>
    <w:uiPriority w:val="0"/>
    <w:pPr>
      <w:ind w:left="200" w:leftChars="200"/>
    </w:p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cs="Times New Roman"/>
      <w:kern w:val="0"/>
      <w:sz w:val="24"/>
      <w:szCs w:val="24"/>
    </w:rPr>
  </w:style>
  <w:style w:type="paragraph" w:styleId="22">
    <w:name w:val="Normal (Web)"/>
    <w:basedOn w:val="1"/>
    <w:qFormat/>
    <w:uiPriority w:val="0"/>
    <w:pPr>
      <w:spacing w:before="100" w:beforeAutospacing="1" w:after="100" w:afterAutospacing="1"/>
      <w:jc w:val="left"/>
    </w:pPr>
    <w:rPr>
      <w:rFonts w:ascii="Times New Roman" w:hAnsi="Times New Roman" w:eastAsia="宋体"/>
      <w:kern w:val="0"/>
      <w:sz w:val="24"/>
    </w:rPr>
  </w:style>
  <w:style w:type="paragraph" w:styleId="23">
    <w:name w:val="Body Text First Indent 2"/>
    <w:basedOn w:val="12"/>
    <w:qFormat/>
    <w:uiPriority w:val="0"/>
    <w:pPr>
      <w:ind w:firstLine="200" w:firstLineChars="200"/>
    </w:pPr>
    <w:rPr>
      <w:rFonts w:ascii="宋体" w:eastAsia="宋体" w:cs="Times New Roman"/>
      <w:sz w:val="32"/>
      <w:szCs w:val="32"/>
    </w:rPr>
  </w:style>
  <w:style w:type="character" w:styleId="26">
    <w:name w:val="Strong"/>
    <w:basedOn w:val="25"/>
    <w:qFormat/>
    <w:uiPriority w:val="0"/>
    <w:rPr>
      <w:b/>
      <w:bCs/>
    </w:rPr>
  </w:style>
  <w:style w:type="character" w:styleId="27">
    <w:name w:val="FollowedHyperlink"/>
    <w:basedOn w:val="25"/>
    <w:qFormat/>
    <w:uiPriority w:val="0"/>
    <w:rPr>
      <w:color w:val="800080"/>
      <w:u w:val="none"/>
    </w:rPr>
  </w:style>
  <w:style w:type="character" w:styleId="28">
    <w:name w:val="Hyperlink"/>
    <w:basedOn w:val="25"/>
    <w:qFormat/>
    <w:uiPriority w:val="0"/>
    <w:rPr>
      <w:color w:val="0000FF"/>
      <w:u w:val="none"/>
    </w:rPr>
  </w:style>
  <w:style w:type="paragraph" w:customStyle="1" w:styleId="29">
    <w:name w:val="图目录"/>
    <w:basedOn w:val="19"/>
    <w:next w:val="1"/>
    <w:qFormat/>
    <w:uiPriority w:val="0"/>
    <w:pPr>
      <w:keepNext w:val="0"/>
      <w:keepLines w:val="0"/>
      <w:ind w:leftChars="0"/>
    </w:pPr>
    <w:rPr>
      <w:rFonts w:ascii="宋体" w:hAnsi="宋体" w:eastAsia="宋体" w:cs="宋体"/>
      <w:b/>
      <w:sz w:val="21"/>
      <w:szCs w:val="22"/>
      <w:lang w:val="zh-CN" w:bidi="zh-CN"/>
    </w:rPr>
  </w:style>
  <w:style w:type="paragraph" w:customStyle="1" w:styleId="30">
    <w:name w:val="案例目录"/>
    <w:basedOn w:val="7"/>
    <w:next w:val="13"/>
    <w:qFormat/>
    <w:uiPriority w:val="0"/>
    <w:pPr>
      <w:ind w:leftChars="0" w:firstLine="220" w:firstLineChars="200"/>
      <w:jc w:val="both"/>
      <w:outlineLvl w:val="2"/>
    </w:pPr>
    <w:rPr>
      <w:rFonts w:ascii="宋体" w:hAnsi="宋体" w:eastAsia="宋体" w:cs="宋体"/>
      <w:sz w:val="24"/>
      <w:szCs w:val="24"/>
      <w:lang w:val="zh-CN" w:bidi="zh-CN"/>
    </w:rPr>
  </w:style>
  <w:style w:type="paragraph" w:customStyle="1" w:styleId="31">
    <w:name w:val="BodyTextIndent"/>
    <w:basedOn w:val="1"/>
    <w:next w:val="15"/>
    <w:qFormat/>
    <w:uiPriority w:val="0"/>
    <w:pPr>
      <w:textAlignment w:val="baseline"/>
    </w:pPr>
    <w:rPr>
      <w:rFonts w:ascii="仿宋_GB2312" w:hAnsi="Calibri" w:eastAsia="仿宋_GB2312"/>
      <w:sz w:val="32"/>
      <w:szCs w:val="32"/>
    </w:rPr>
  </w:style>
  <w:style w:type="paragraph" w:customStyle="1" w:styleId="32">
    <w:name w:val="二级标题"/>
    <w:basedOn w:val="1"/>
    <w:qFormat/>
    <w:uiPriority w:val="0"/>
    <w:pPr>
      <w:ind w:firstLine="200" w:firstLineChars="200"/>
      <w:outlineLvl w:val="1"/>
    </w:pPr>
    <w:rPr>
      <w:rFonts w:ascii="楷体" w:eastAsia="楷体" w:cs="楷体"/>
      <w:b/>
      <w:bCs/>
      <w:szCs w:val="32"/>
    </w:rPr>
  </w:style>
  <w:style w:type="paragraph" w:customStyle="1" w:styleId="33">
    <w:name w:val="p0"/>
    <w:basedOn w:val="1"/>
    <w:qFormat/>
    <w:uiPriority w:val="0"/>
    <w:pPr>
      <w:widowControl/>
      <w:ind w:firstLine="420"/>
      <w:jc w:val="left"/>
    </w:pPr>
    <w:rPr>
      <w:rFonts w:ascii="Times New Roman" w:hAnsi="Times New Roman" w:eastAsia="宋体" w:cs="Times New Roman"/>
      <w:kern w:val="0"/>
      <w:sz w:val="20"/>
      <w:szCs w:val="20"/>
    </w:rPr>
  </w:style>
  <w:style w:type="character" w:customStyle="1" w:styleId="34">
    <w:name w:val="NormalCharacter"/>
    <w:link w:val="1"/>
    <w:qFormat/>
    <w:uiPriority w:val="0"/>
    <w:rPr>
      <w:rFonts w:ascii="Calibri" w:hAnsi="Calibri" w:eastAsia="宋体" w:cs="Arial"/>
      <w:kern w:val="2"/>
      <w:sz w:val="32"/>
      <w:szCs w:val="22"/>
      <w:lang w:val="en-US" w:eastAsia="zh-CN" w:bidi="ar-SA"/>
    </w:rPr>
  </w:style>
  <w:style w:type="paragraph" w:customStyle="1" w:styleId="35">
    <w:name w:val="正文文本缩进1"/>
    <w:basedOn w:val="1"/>
    <w:qFormat/>
    <w:uiPriority w:val="0"/>
    <w:pPr>
      <w:ind w:left="200" w:leftChars="200"/>
    </w:pPr>
  </w:style>
  <w:style w:type="paragraph" w:customStyle="1" w:styleId="36">
    <w:name w:val="正文首行缩进 21"/>
    <w:basedOn w:val="35"/>
    <w:qFormat/>
    <w:uiPriority w:val="0"/>
    <w:pPr>
      <w:ind w:left="200" w:leftChars="200" w:firstLine="200" w:firstLineChars="200"/>
    </w:pPr>
  </w:style>
  <w:style w:type="paragraph" w:customStyle="1" w:styleId="37">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 w:type="character" w:customStyle="1" w:styleId="38">
    <w:name w:val="题注 Char"/>
    <w:link w:val="9"/>
    <w:qFormat/>
    <w:uiPriority w:val="0"/>
    <w:rPr>
      <w:rFonts w:eastAsia="黑体"/>
      <w:b/>
      <w:sz w:val="21"/>
    </w:rPr>
  </w:style>
  <w:style w:type="paragraph" w:customStyle="1" w:styleId="39">
    <w:name w:val="Heading2"/>
    <w:basedOn w:val="1"/>
    <w:next w:val="1"/>
    <w:qFormat/>
    <w:uiPriority w:val="0"/>
    <w:pPr>
      <w:keepNext/>
      <w:keepLines/>
      <w:snapToGrid w:val="0"/>
      <w:spacing w:line="560" w:lineRule="exact"/>
      <w:ind w:firstLine="880" w:firstLineChars="200"/>
      <w:jc w:val="both"/>
      <w:textAlignment w:val="baseline"/>
    </w:pPr>
    <w:rPr>
      <w:rFonts w:ascii="Arial" w:hAnsi="Arial" w:eastAsia="楷体"/>
      <w:kern w:val="2"/>
      <w:sz w:val="32"/>
      <w:szCs w:val="24"/>
      <w:lang w:val="en-US" w:eastAsia="zh-CN" w:bidi="ar-SA"/>
    </w:rPr>
  </w:style>
  <w:style w:type="paragraph" w:customStyle="1" w:styleId="40">
    <w:name w:val="179"/>
    <w:basedOn w:val="1"/>
    <w:qFormat/>
    <w:uiPriority w:val="0"/>
    <w:pPr>
      <w:ind w:left="1655" w:hanging="755"/>
      <w:jc w:val="both"/>
      <w:textAlignment w:val="baseline"/>
    </w:pPr>
    <w:rPr>
      <w:rFonts w:ascii="宋体" w:hAnsi="宋体" w:eastAsia="宋体"/>
      <w:kern w:val="2"/>
      <w:sz w:val="21"/>
      <w:szCs w:val="24"/>
      <w:lang w:val="zh-CN" w:eastAsia="zh-CN" w:bidi="zh-CN"/>
    </w:rPr>
  </w:style>
  <w:style w:type="table" w:customStyle="1" w:styleId="4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中职学校类型</c:v>
                </c:pt>
              </c:strCache>
            </c:strRef>
          </c:tx>
          <c:spPr>
            <a:solidFill>
              <a:srgbClr val="4F81BD"/>
            </a:solidFill>
          </c:spPr>
          <c:explosion val="0"/>
          <c:dPt>
            <c:idx val="0"/>
            <c:bubble3D val="0"/>
            <c:spPr>
              <a:solidFill>
                <a:srgbClr val="4F81BD"/>
              </a:solidFill>
              <a:ln w="19050">
                <a:solidFill>
                  <a:srgbClr val="FFFFFF"/>
                </a:solidFill>
                <a:prstDash val="solid"/>
              </a:ln>
            </c:spPr>
          </c:dPt>
          <c:dPt>
            <c:idx val="1"/>
            <c:bubble3D val="0"/>
            <c:spPr>
              <a:solidFill>
                <a:srgbClr val="C0504D"/>
              </a:solidFill>
              <a:ln w="19050">
                <a:solidFill>
                  <a:srgbClr val="FFFFFF"/>
                </a:solidFill>
                <a:prstDash val="solid"/>
              </a:ln>
            </c:spPr>
          </c:dPt>
          <c:dPt>
            <c:idx val="2"/>
            <c:bubble3D val="0"/>
            <c:spPr>
              <a:solidFill>
                <a:srgbClr val="9BBB59"/>
              </a:solidFill>
              <a:ln w="19050">
                <a:solidFill>
                  <a:srgbClr val="FFFFFF"/>
                </a:solidFill>
                <a:prstDash val="solid"/>
              </a:ln>
            </c:spPr>
          </c:dPt>
          <c:dLbls>
            <c:dLbl>
              <c:idx val="0"/>
              <c:layout>
                <c:manualLayout>
                  <c:x val="-0.117199121735289"/>
                  <c:y val="0.139890321229436"/>
                </c:manualLayout>
              </c:layout>
              <c:tx>
                <c:rich>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r>
                      <a:rPr lang="zh-CN" sz="1050" b="1">
                        <a:solidFill>
                          <a:schemeClr val="bg1"/>
                        </a:solidFill>
                        <a:latin typeface="+mn-lt"/>
                        <a:ea typeface="+mn-ea"/>
                        <a:cs typeface="+mn-cs"/>
                        <a:sym typeface="宋体" panose="02010600030101010101" charset="-122"/>
                      </a:rPr>
                      <a:t>10</a:t>
                    </a:r>
                    <a:endParaRPr lang="zh-CN" sz="1050" b="1">
                      <a:solidFill>
                        <a:schemeClr val="bg1"/>
                      </a:solidFill>
                      <a:latin typeface="+mn-lt"/>
                      <a:ea typeface="+mn-ea"/>
                      <a:cs typeface="+mn-cs"/>
                      <a:sym typeface="宋体" panose="02010600030101010101"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239473098293"/>
                  <c:y val="-0.160962594473859"/>
                </c:manualLayout>
              </c:layout>
              <c:tx>
                <c:rich>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r>
                      <a:rPr lang="en-US" altLang="zh-CN" sz="1050" b="1">
                        <a:solidFill>
                          <a:schemeClr val="bg1"/>
                        </a:solidFill>
                        <a:latin typeface="+mn-lt"/>
                        <a:ea typeface="+mn-ea"/>
                        <a:cs typeface="+mn-cs"/>
                        <a:sym typeface="宋体" panose="02010600030101010101" charset="-122"/>
                      </a:rPr>
                      <a:t>24</a:t>
                    </a:r>
                    <a:endParaRPr lang="en-US" altLang="zh-CN" sz="1050" b="1">
                      <a:solidFill>
                        <a:schemeClr val="bg1"/>
                      </a:solidFill>
                      <a:latin typeface="+mn-lt"/>
                      <a:ea typeface="+mn-ea"/>
                      <a:cs typeface="+mn-cs"/>
                      <a:sym typeface="宋体" panose="02010600030101010101"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016584589127"/>
                  <c:y val="0.136287191399552"/>
                </c:manualLayout>
              </c:layout>
              <c:tx>
                <c:rich>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r>
                      <a:rPr lang="zh-CN" sz="1050" b="1">
                        <a:solidFill>
                          <a:schemeClr val="bg1"/>
                        </a:solidFill>
                        <a:latin typeface="+mn-lt"/>
                        <a:ea typeface="+mn-ea"/>
                        <a:cs typeface="+mn-cs"/>
                        <a:sym typeface="宋体" panose="02010600030101010101" charset="-122"/>
                      </a:rPr>
                      <a:t>2</a:t>
                    </a:r>
                    <a:endParaRPr lang="zh-CN" sz="1050" b="1">
                      <a:solidFill>
                        <a:schemeClr val="bg1"/>
                      </a:solidFill>
                      <a:latin typeface="+mn-lt"/>
                      <a:ea typeface="+mn-ea"/>
                      <a:cs typeface="+mn-cs"/>
                      <a:sym typeface="宋体" panose="02010600030101010101"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sym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Sheet1!$A$2:$A$4</c:f>
              <c:strCache>
                <c:ptCount val="3"/>
                <c:pt idx="0">
                  <c:v>中专学校</c:v>
                </c:pt>
                <c:pt idx="1">
                  <c:v>职业高中</c:v>
                </c:pt>
                <c:pt idx="2">
                  <c:v>特殊教育</c:v>
                </c:pt>
              </c:strCache>
            </c:strRef>
          </c:cat>
          <c:val>
            <c:numRef>
              <c:f>Sheet1!$B$2:$B$4</c:f>
              <c:numCache>
                <c:formatCode>General</c:formatCode>
                <c:ptCount val="3"/>
                <c:pt idx="0">
                  <c:v>10</c:v>
                </c:pt>
                <c:pt idx="1">
                  <c:v>19</c:v>
                </c:pt>
                <c:pt idx="2">
                  <c:v>2</c:v>
                </c:pt>
              </c:numCache>
            </c:numRef>
          </c:val>
        </c:ser>
        <c:dLbls>
          <c:showLegendKey val="0"/>
          <c:showVal val="1"/>
          <c:showCatName val="0"/>
          <c:showSerName val="0"/>
          <c:showPercent val="0"/>
          <c:showBubbleSize val="0"/>
          <c:showLeaderLines val="1"/>
        </c:dLbls>
        <c:firstSliceAng val="0"/>
      </c:pieChart>
      <c:spPr>
        <a:noFill/>
        <a:ln>
          <a:noFill/>
        </a:ln>
      </c:spPr>
    </c:plotArea>
    <c:legend>
      <c:legendPos val="b"/>
      <c:legendEntry>
        <c:idx val="0"/>
        <c:txPr>
          <a:bodyPr rot="0" spcFirstLastPara="0" vertOverflow="ellipsis" vert="horz" wrap="square" anchor="ctr" anchorCtr="1"/>
          <a:lstStyle/>
          <a:p>
            <a:pPr>
              <a:defRPr lang="zh-CN" sz="1000" b="1" i="0" u="none" strike="noStrike" kern="1200" baseline="0">
                <a:solidFill>
                  <a:schemeClr val="dk1"/>
                </a:solidFill>
                <a:latin typeface="+mn-lt"/>
                <a:ea typeface="+mn-ea"/>
                <a:cs typeface="+mn-cs"/>
              </a:defRPr>
            </a:pPr>
          </a:p>
        </c:txPr>
      </c:legendEntry>
      <c:legendEntry>
        <c:idx val="1"/>
        <c:txPr>
          <a:bodyPr rot="0" spcFirstLastPara="0" vertOverflow="ellipsis" vert="horz" wrap="square" anchor="ctr" anchorCtr="1"/>
          <a:lstStyle/>
          <a:p>
            <a:pPr>
              <a:defRPr lang="zh-CN" sz="1000" b="1" i="0" u="none" strike="noStrike" kern="1200" baseline="0">
                <a:solidFill>
                  <a:schemeClr val="dk1"/>
                </a:solidFill>
                <a:latin typeface="+mn-lt"/>
                <a:ea typeface="+mn-ea"/>
                <a:cs typeface="+mn-cs"/>
              </a:defRPr>
            </a:pPr>
          </a:p>
        </c:txPr>
      </c:legendEntry>
      <c:legendEntry>
        <c:idx val="2"/>
        <c:txPr>
          <a:bodyPr rot="0" spcFirstLastPara="0" vertOverflow="ellipsis" vert="horz" wrap="square" anchor="ctr" anchorCtr="1"/>
          <a:lstStyle/>
          <a:p>
            <a:pPr>
              <a:defRPr lang="zh-CN" sz="1000" b="1" i="0" u="none" strike="noStrike" kern="1200" baseline="0">
                <a:solidFill>
                  <a:schemeClr val="dk1"/>
                </a:solidFill>
                <a:latin typeface="+mn-lt"/>
                <a:ea typeface="+mn-ea"/>
                <a:cs typeface="+mn-cs"/>
              </a:defRPr>
            </a:pPr>
          </a:p>
        </c:txPr>
      </c:legendEntry>
      <c:layout>
        <c:manualLayout>
          <c:xMode val="edge"/>
          <c:yMode val="edge"/>
          <c:x val="0.160147107990639"/>
          <c:y val="0.805660797860486"/>
          <c:w val="0.708291541290538"/>
          <c:h val="0.0993982616447515"/>
        </c:manualLayout>
      </c:layout>
      <c:overlay val="0"/>
      <c:spPr>
        <a:noFill/>
        <a:ln>
          <a:noFill/>
        </a:ln>
      </c:spPr>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
    <c:plotVisOnly val="1"/>
    <c:dispBlanksAs val="gap"/>
    <c:showDLblsOverMax val="0"/>
  </c:chart>
  <c:spPr>
    <a:solidFill>
      <a:schemeClr val="lt1"/>
    </a:solidFill>
    <a:ln w="25400" cap="flat" cmpd="sng" algn="ctr">
      <a:solidFill>
        <a:schemeClr val="accent1"/>
      </a:solidFill>
      <a:prstDash val="solid"/>
      <a:round/>
    </a:ln>
    <a:sp3d>
      <a:extrusionClr>
        <a:srgbClr val="FFFFFF"/>
      </a:extrusionClr>
      <a:contourClr>
        <a:srgbClr val="FFFFFF"/>
      </a:contourClr>
    </a:sp3d>
  </c:spPr>
  <c:txPr>
    <a:bodyPr/>
    <a:lstStyle/>
    <a:p>
      <a:pPr>
        <a:defRPr lang="zh-CN" sz="1000" b="0" i="0" u="none" strike="noStrike" baseline="0">
          <a:solidFill>
            <a:schemeClr val="dk1"/>
          </a:solidFill>
          <a:latin typeface="+mn-lt"/>
          <a:ea typeface="+mn-ea"/>
          <a:cs typeface="+mn-cs"/>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 (2)'!$B$1</c:f>
              <c:strCache>
                <c:ptCount val="1"/>
                <c:pt idx="0">
                  <c:v>中职学校办学主体</c:v>
                </c:pt>
              </c:strCache>
            </c:strRef>
          </c:tx>
          <c:spPr>
            <a:solidFill>
              <a:srgbClr val="4F81BD"/>
            </a:solidFill>
            <a:ln>
              <a:noFill/>
            </a:ln>
          </c:spPr>
          <c:explosion val="0"/>
          <c:dPt>
            <c:idx val="0"/>
            <c:bubble3D val="0"/>
            <c:spPr>
              <a:solidFill>
                <a:srgbClr val="4F81BD"/>
              </a:solidFill>
              <a:ln>
                <a:noFill/>
              </a:ln>
            </c:spPr>
          </c:dPt>
          <c:dPt>
            <c:idx val="1"/>
            <c:bubble3D val="0"/>
            <c:spPr>
              <a:solidFill>
                <a:srgbClr val="C0504D"/>
              </a:solidFill>
              <a:ln>
                <a:noFill/>
              </a:ln>
            </c:spPr>
          </c:dPt>
          <c:dLbls>
            <c:dLbl>
              <c:idx val="0"/>
              <c:layout>
                <c:manualLayout>
                  <c:x val="-0.117380028503134"/>
                  <c:y val="-0.249336306837212"/>
                </c:manualLayout>
              </c:layout>
              <c:tx>
                <c:rich>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defRPr>
                    </a:pPr>
                    <a:r>
                      <a:rPr lang="zh-CN" sz="1050" b="1">
                        <a:solidFill>
                          <a:schemeClr val="bg1"/>
                        </a:solidFill>
                        <a:latin typeface="+mn-lt"/>
                        <a:ea typeface="+mn-ea"/>
                        <a:cs typeface="+mn-cs"/>
                      </a:rPr>
                      <a:t>27</a:t>
                    </a:r>
                    <a:endParaRPr lang="zh-CN" sz="1050" b="1">
                      <a:solidFill>
                        <a:schemeClr val="bg1"/>
                      </a:solidFill>
                      <a:latin typeface="+mn-lt"/>
                      <a:ea typeface="+mn-ea"/>
                      <a:cs typeface="+mn-cs"/>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22435422183094"/>
                  <c:y val="0.169794384366142"/>
                </c:manualLayout>
              </c:layout>
              <c:tx>
                <c:rich>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defRPr>
                    </a:pPr>
                    <a:r>
                      <a:rPr lang="en-US" altLang="zh-CN" sz="1050" b="1">
                        <a:solidFill>
                          <a:schemeClr val="bg1"/>
                        </a:solidFill>
                        <a:latin typeface="+mn-lt"/>
                        <a:ea typeface="+mn-ea"/>
                        <a:cs typeface="+mn-cs"/>
                      </a:rPr>
                      <a:t>9</a:t>
                    </a:r>
                    <a:endParaRPr lang="en-US" altLang="zh-CN" sz="1050" b="1">
                      <a:solidFill>
                        <a:schemeClr val="bg1"/>
                      </a:solidFill>
                      <a:latin typeface="+mn-lt"/>
                      <a:ea typeface="+mn-ea"/>
                      <a:cs typeface="+mn-cs"/>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50" b="1" i="0" u="none" strike="noStrike" kern="1200" baseline="0">
                    <a:solidFill>
                      <a:schemeClr val="bg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 (2)'!$A$2:$A$3</c:f>
              <c:strCache>
                <c:ptCount val="2"/>
                <c:pt idx="0">
                  <c:v>公办学校</c:v>
                </c:pt>
                <c:pt idx="1">
                  <c:v>民办学校</c:v>
                </c:pt>
              </c:strCache>
            </c:strRef>
          </c:cat>
          <c:val>
            <c:numRef>
              <c:f>'Sheet1 (2)'!$B$2:$B$3</c:f>
              <c:numCache>
                <c:formatCode>General</c:formatCode>
                <c:ptCount val="2"/>
                <c:pt idx="0">
                  <c:v>27</c:v>
                </c:pt>
                <c:pt idx="1">
                  <c:v>6</c:v>
                </c:pt>
              </c:numCache>
            </c:numRef>
          </c:val>
        </c:ser>
        <c:dLbls>
          <c:showLegendKey val="0"/>
          <c:showVal val="1"/>
          <c:showCatName val="0"/>
          <c:showSerName val="0"/>
          <c:showPercent val="0"/>
          <c:showBubbleSize val="0"/>
          <c:showLeaderLines val="1"/>
        </c:dLbls>
        <c:firstSliceAng val="0"/>
      </c:pieChart>
      <c:spPr>
        <a:noFill/>
        <a:ln>
          <a:noFill/>
        </a:ln>
      </c:spPr>
    </c:plotArea>
    <c:legend>
      <c:legendPos val="b"/>
      <c:legendEntry>
        <c:idx val="0"/>
        <c:txPr>
          <a:bodyPr rot="0" spcFirstLastPara="0" vertOverflow="ellipsis" vert="horz" wrap="square" anchor="ctr" anchorCtr="1"/>
          <a:lstStyle/>
          <a:p>
            <a:pPr>
              <a:defRPr lang="zh-CN" sz="1050" b="1" i="0" u="none" strike="noStrike" kern="1200" baseline="0">
                <a:solidFill>
                  <a:schemeClr val="dk1"/>
                </a:solidFill>
                <a:latin typeface="+mn-lt"/>
                <a:ea typeface="+mn-ea"/>
                <a:cs typeface="+mn-cs"/>
              </a:defRPr>
            </a:pPr>
          </a:p>
        </c:txPr>
      </c:legendEntry>
      <c:legendEntry>
        <c:idx val="1"/>
        <c:txPr>
          <a:bodyPr rot="0" spcFirstLastPara="0" vertOverflow="ellipsis" vert="horz" wrap="square" anchor="ctr" anchorCtr="1"/>
          <a:lstStyle/>
          <a:p>
            <a:pPr>
              <a:defRPr lang="zh-CN" sz="1050" b="1" i="0" u="none" strike="noStrike" kern="1200" baseline="0">
                <a:solidFill>
                  <a:schemeClr val="dk1"/>
                </a:solidFill>
                <a:latin typeface="+mn-lt"/>
                <a:ea typeface="+mn-ea"/>
                <a:cs typeface="+mn-cs"/>
              </a:defRPr>
            </a:pPr>
          </a:p>
        </c:txPr>
      </c:legendEntry>
      <c:layout>
        <c:manualLayout>
          <c:xMode val="edge"/>
          <c:yMode val="edge"/>
          <c:x val="0.320500390673834"/>
          <c:y val="0.847999983333333"/>
          <c:w val="0.431375"/>
          <c:h val="0.06533334"/>
        </c:manualLayout>
      </c:layout>
      <c:overlay val="0"/>
      <c:spPr>
        <a:noFill/>
        <a:ln>
          <a:noFill/>
        </a:ln>
      </c:spPr>
      <c:txPr>
        <a:bodyPr rot="0" spcFirstLastPara="0" vertOverflow="ellipsis" vert="horz" wrap="square" anchor="ctr" anchorCtr="1"/>
        <a:lstStyle/>
        <a:p>
          <a:pPr>
            <a:defRPr lang="zh-CN" sz="1050" b="1" i="0" u="none" strike="noStrike" kern="1200" baseline="0">
              <a:solidFill>
                <a:schemeClr val="dk1"/>
              </a:solidFill>
              <a:latin typeface="+mn-lt"/>
              <a:ea typeface="+mn-ea"/>
              <a:cs typeface="+mn-cs"/>
            </a:defRPr>
          </a:pPr>
        </a:p>
      </c:txPr>
    </c:legend>
    <c:plotVisOnly val="1"/>
    <c:dispBlanksAs val="gap"/>
    <c:showDLblsOverMax val="0"/>
  </c:chart>
  <c:spPr>
    <a:solidFill>
      <a:schemeClr val="lt1"/>
    </a:solidFill>
    <a:ln w="25400" cap="flat" cmpd="sng" algn="ctr">
      <a:solidFill>
        <a:schemeClr val="accent1"/>
      </a:solidFill>
      <a:prstDash val="solid"/>
      <a:round/>
    </a:ln>
    <a:sp3d>
      <a:extrusionClr>
        <a:srgbClr val="FFFFFF"/>
      </a:extrusionClr>
      <a:contourClr>
        <a:srgbClr val="FFFFFF"/>
      </a:contourClr>
    </a:sp3d>
  </c:spPr>
  <c:txPr>
    <a:bodyPr/>
    <a:lstStyle/>
    <a:p>
      <a:pPr>
        <a:defRPr lang="zh-CN" sz="1050" b="1" i="0" u="none" strike="noStrike" baseline="0">
          <a:solidFill>
            <a:schemeClr val="dk1"/>
          </a:solidFill>
          <a:latin typeface="+mn-lt"/>
          <a:ea typeface="+mn-ea"/>
          <a:cs typeface="+mn-cs"/>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32</Pages>
  <Words>15724</Words>
  <Characters>16583</Characters>
  <Lines>0</Lines>
  <Paragraphs>174</Paragraphs>
  <TotalTime>4</TotalTime>
  <ScaleCrop>false</ScaleCrop>
  <LinksUpToDate>false</LinksUpToDate>
  <CharactersWithSpaces>16904</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2017-06-15T10:53:00Z</dcterms:created>
  <dc:creator>Administrator</dc:creator>
  <cp:lastModifiedBy></cp:lastModifiedBy>
  <cp:lastPrinted>2018-01-26T09:54:00Z</cp:lastPrinted>
  <dcterms:modified xsi:type="dcterms:W3CDTF">2023-03-24T06:27:46Z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71CBFF808E0740B4B0B1173ABEF6A38C</vt:lpwstr>
  </property>
</Properties>
</file>