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afterAutospacing="0" w:line="500" w:lineRule="exact"/>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吕梁市干部入企服务</w:t>
      </w:r>
    </w:p>
    <w:p>
      <w:pPr>
        <w:keepNext w:val="0"/>
        <w:keepLines w:val="0"/>
        <w:pageBreakBefore w:val="0"/>
        <w:wordWrap/>
        <w:topLinePunct w:val="0"/>
        <w:bidi w:val="0"/>
        <w:spacing w:afterAutospacing="0" w:line="500" w:lineRule="exact"/>
        <w:textAlignment w:val="auto"/>
        <w:rPr>
          <w:rFonts w:hint="eastAsia" w:ascii="黑体" w:hAnsi="黑体" w:eastAsia="黑体" w:cs="黑体"/>
          <w:spacing w:val="0"/>
          <w:sz w:val="44"/>
          <w:szCs w:val="44"/>
          <w:lang w:eastAsia="zh-CN"/>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52"/>
          <w:szCs w:val="52"/>
          <w:lang w:eastAsia="zh-CN"/>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52"/>
          <w:szCs w:val="52"/>
          <w:lang w:eastAsia="zh-CN"/>
          <w14:textFill>
            <w14:solidFill>
              <w14:schemeClr w14:val="tx1"/>
            </w14:solidFill>
          </w14:textFill>
        </w:rPr>
      </w:pPr>
    </w:p>
    <w:p>
      <w:pPr>
        <w:keepNext w:val="0"/>
        <w:keepLines w:val="0"/>
        <w:pageBreakBefore w:val="0"/>
        <w:wordWrap/>
        <w:topLinePunct w:val="0"/>
        <w:bidi w:val="0"/>
        <w:spacing w:afterAutospacing="0" w:line="500" w:lineRule="exact"/>
        <w:jc w:val="both"/>
        <w:textAlignment w:val="auto"/>
        <w:rPr>
          <w:rFonts w:hint="eastAsia" w:ascii="黑体" w:hAnsi="黑体" w:eastAsia="黑体" w:cs="黑体"/>
          <w:color w:val="000000" w:themeColor="text1"/>
          <w:spacing w:val="0"/>
          <w:sz w:val="52"/>
          <w:szCs w:val="52"/>
          <w:lang w:eastAsia="zh-CN"/>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52"/>
          <w:szCs w:val="52"/>
          <w:lang w:eastAsia="zh-CN"/>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52"/>
          <w:szCs w:val="52"/>
          <w14:textFill>
            <w14:solidFill>
              <w14:schemeClr w14:val="tx1"/>
            </w14:solidFill>
          </w14:textFill>
        </w:rPr>
      </w:pPr>
      <w:r>
        <w:rPr>
          <w:rFonts w:hint="eastAsia" w:ascii="黑体" w:hAnsi="黑体" w:eastAsia="黑体" w:cs="黑体"/>
          <w:color w:val="000000" w:themeColor="text1"/>
          <w:spacing w:val="0"/>
          <w:sz w:val="52"/>
          <w:szCs w:val="52"/>
          <w:lang w:eastAsia="zh-CN"/>
          <w14:textFill>
            <w14:solidFill>
              <w14:schemeClr w14:val="tx1"/>
            </w14:solidFill>
          </w14:textFill>
        </w:rPr>
        <w:t>入</w:t>
      </w:r>
      <w:r>
        <w:rPr>
          <w:rFonts w:hint="eastAsia" w:ascii="黑体" w:hAnsi="黑体" w:eastAsia="黑体" w:cs="黑体"/>
          <w:color w:val="000000" w:themeColor="text1"/>
          <w:spacing w:val="0"/>
          <w:sz w:val="52"/>
          <w:szCs w:val="52"/>
          <w14:textFill>
            <w14:solidFill>
              <w14:schemeClr w14:val="tx1"/>
            </w14:solidFill>
          </w14:textFill>
        </w:rPr>
        <w:t>企服务政策宣讲手册</w:t>
      </w: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（工业</w:t>
      </w:r>
      <w:r>
        <w:rPr>
          <w:rFonts w:hint="eastAsia" w:ascii="楷体" w:hAnsi="楷体" w:eastAsia="楷体" w:cs="楷体"/>
          <w:color w:val="000000" w:themeColor="text1"/>
          <w:spacing w:val="0"/>
          <w:sz w:val="32"/>
          <w:szCs w:val="32"/>
          <w:lang w:eastAsia="zh-CN"/>
          <w14:textFill>
            <w14:solidFill>
              <w14:schemeClr w14:val="tx1"/>
            </w14:solidFill>
          </w14:textFill>
        </w:rPr>
        <w:t>和信息软件业</w:t>
      </w:r>
      <w:r>
        <w:rPr>
          <w:rFonts w:hint="eastAsia" w:ascii="楷体" w:hAnsi="楷体" w:eastAsia="楷体" w:cs="楷体"/>
          <w:color w:val="000000" w:themeColor="text1"/>
          <w:spacing w:val="0"/>
          <w:sz w:val="32"/>
          <w:szCs w:val="32"/>
          <w14:textFill>
            <w14:solidFill>
              <w14:schemeClr w14:val="tx1"/>
            </w14:solidFill>
          </w14:textFill>
        </w:rPr>
        <w:t>）</w:t>
      </w: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pStyle w:val="2"/>
        <w:keepNext w:val="0"/>
        <w:keepLines w:val="0"/>
        <w:pageBreakBefore w:val="0"/>
        <w:wordWrap/>
        <w:topLinePunct w:val="0"/>
        <w:bidi w:val="0"/>
        <w:spacing w:afterAutospacing="0" w:line="500" w:lineRule="exact"/>
        <w:ind w:left="0" w:leftChars="0" w:firstLine="0" w:firstLineChars="0"/>
        <w:textAlignment w:val="auto"/>
        <w:rPr>
          <w:rFonts w:hint="eastAsia" w:ascii="楷体" w:hAnsi="楷体" w:eastAsia="楷体" w:cs="楷体"/>
          <w:color w:val="000000" w:themeColor="text1"/>
          <w:spacing w:val="0"/>
          <w:sz w:val="32"/>
          <w:szCs w:val="32"/>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14:textFill>
            <w14:solidFill>
              <w14:schemeClr w14:val="tx1"/>
            </w14:solidFill>
          </w14:textFill>
        </w:rPr>
      </w:pPr>
    </w:p>
    <w:p>
      <w:pPr>
        <w:pStyle w:val="2"/>
        <w:rPr>
          <w:rFonts w:hint="eastAsia" w:ascii="楷体" w:hAnsi="楷体" w:eastAsia="楷体" w:cs="楷体"/>
          <w:color w:val="000000" w:themeColor="text1"/>
          <w:spacing w:val="0"/>
          <w:sz w:val="32"/>
          <w:szCs w:val="32"/>
          <w14:textFill>
            <w14:solidFill>
              <w14:schemeClr w14:val="tx1"/>
            </w14:solidFill>
          </w14:textFill>
        </w:rPr>
      </w:pPr>
    </w:p>
    <w:p>
      <w:pPr>
        <w:pStyle w:val="2"/>
        <w:rPr>
          <w:rFonts w:hint="eastAsia" w:ascii="楷体" w:hAnsi="楷体" w:eastAsia="楷体" w:cs="楷体"/>
          <w:color w:val="000000" w:themeColor="text1"/>
          <w:spacing w:val="0"/>
          <w:sz w:val="32"/>
          <w:szCs w:val="32"/>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楷体" w:hAnsi="楷体" w:eastAsia="楷体" w:cs="楷体"/>
          <w:color w:val="000000" w:themeColor="text1"/>
          <w:spacing w:val="0"/>
          <w:sz w:val="32"/>
          <w:szCs w:val="32"/>
          <w:lang w:eastAsia="zh-CN"/>
          <w14:textFill>
            <w14:solidFill>
              <w14:schemeClr w14:val="tx1"/>
            </w14:solidFill>
          </w14:textFill>
        </w:rPr>
      </w:pPr>
      <w:r>
        <w:rPr>
          <w:rFonts w:hint="eastAsia" w:ascii="楷体" w:hAnsi="楷体" w:eastAsia="楷体" w:cs="楷体"/>
          <w:color w:val="000000" w:themeColor="text1"/>
          <w:spacing w:val="0"/>
          <w:sz w:val="32"/>
          <w:szCs w:val="32"/>
          <w:lang w:eastAsia="zh-CN"/>
          <w14:textFill>
            <w14:solidFill>
              <w14:schemeClr w14:val="tx1"/>
            </w14:solidFill>
          </w14:textFill>
        </w:rPr>
        <w:t>吕梁市工业和信息化局</w:t>
      </w:r>
    </w:p>
    <w:p>
      <w:pPr>
        <w:keepNext w:val="0"/>
        <w:keepLines w:val="0"/>
        <w:pageBreakBefore w:val="0"/>
        <w:wordWrap/>
        <w:topLinePunct w:val="0"/>
        <w:bidi w:val="0"/>
        <w:spacing w:afterAutospacing="0" w:line="500" w:lineRule="exact"/>
        <w:jc w:val="center"/>
        <w:textAlignment w:val="auto"/>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r>
        <w:rPr>
          <w:rFonts w:hint="eastAsia" w:ascii="楷体" w:hAnsi="楷体" w:eastAsia="楷体" w:cs="楷体"/>
          <w:color w:val="000000" w:themeColor="text1"/>
          <w:spacing w:val="0"/>
          <w:sz w:val="32"/>
          <w:szCs w:val="32"/>
          <w:lang w:val="en-US" w:eastAsia="zh-CN"/>
          <w14:textFill>
            <w14:solidFill>
              <w14:schemeClr w14:val="tx1"/>
            </w14:solidFill>
          </w14:textFill>
        </w:rPr>
        <w:t>2022年2月16日</w:t>
      </w:r>
      <w:r>
        <w:rPr>
          <w:rFonts w:hint="eastAsia" w:ascii="仿宋" w:hAnsi="仿宋" w:eastAsia="仿宋" w:cs="仿宋"/>
          <w:color w:val="000000" w:themeColor="text1"/>
          <w:spacing w:val="0"/>
          <w:sz w:val="28"/>
          <w:szCs w:val="28"/>
          <w:lang w:val="en-US" w:eastAsia="zh-CN"/>
          <w14:textFill>
            <w14:solidFill>
              <w14:schemeClr w14:val="tx1"/>
            </w14:solidFill>
          </w14:textFill>
        </w:rPr>
        <w:br w:type="page"/>
      </w:r>
      <w:bookmarkStart w:id="0" w:name="_Toc14438"/>
      <w:bookmarkStart w:id="1" w:name="_Toc24441_WPSOffice_Level1"/>
    </w:p>
    <w:sdt>
      <w:sdtPr>
        <w:rPr>
          <w:rFonts w:hint="eastAsia" w:ascii="仿宋_GB2312" w:hAnsi="仿宋_GB2312" w:eastAsia="仿宋_GB2312" w:cs="仿宋_GB2312"/>
          <w:spacing w:val="0"/>
          <w:kern w:val="2"/>
          <w:sz w:val="28"/>
          <w:szCs w:val="28"/>
          <w:lang w:val="en-US" w:eastAsia="zh-CN" w:bidi="ar-SA"/>
        </w:rPr>
        <w:id w:val="147474585"/>
        <w15:color w:val="DBDBDB"/>
        <w:docPartObj>
          <w:docPartGallery w:val="Table of Contents"/>
          <w:docPartUnique/>
        </w:docPartObj>
      </w:sdtPr>
      <w:sdtEndPr>
        <w:rPr>
          <w:rFonts w:hint="eastAsia" w:ascii="仿宋_GB2312" w:hAnsi="仿宋_GB2312" w:eastAsia="仿宋_GB2312" w:cs="仿宋_GB2312"/>
          <w:spacing w:val="0"/>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目录</w:t>
          </w:r>
        </w:p>
        <w:p>
          <w:pPr>
            <w:pStyle w:val="7"/>
            <w:tabs>
              <w:tab w:val="right" w:leader="dot" w:pos="8306"/>
            </w:tabs>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TOC \o "1-1" \h \u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_Toc15732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sz w:val="28"/>
              <w:szCs w:val="28"/>
              <w:lang w:eastAsia="zh-CN"/>
            </w:rPr>
            <w:t>一、省、市重要文件</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_Toc15732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3</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CN"/>
            </w:rPr>
            <w:t>1.</w:t>
          </w: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_Toc21386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kern w:val="0"/>
              <w:sz w:val="28"/>
              <w:szCs w:val="28"/>
              <w:lang w:val="en-US" w:eastAsia="zh-CN" w:bidi="ar-SA"/>
            </w:rPr>
            <w:t>中共山西省委山西省人民政府关于支持民营经济发展的若干意见</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_Toc21386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4</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CN"/>
            </w:rPr>
            <w:t>2.</w:t>
          </w: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_Toc4669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kern w:val="0"/>
              <w:sz w:val="28"/>
              <w:szCs w:val="28"/>
              <w:lang w:val="en-US" w:eastAsia="zh-CN" w:bidi="ar-SA"/>
            </w:rPr>
            <w:t>山西省人民政府办公厅关于印发山西省支持科技创新若干政策的通知</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_Toc4669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18</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CN"/>
            </w:rPr>
            <w:t>3.</w:t>
          </w: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_Toc4597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kern w:val="0"/>
              <w:sz w:val="28"/>
              <w:szCs w:val="28"/>
              <w:lang w:val="en-US" w:eastAsia="zh-CN" w:bidi="ar-SA"/>
            </w:rPr>
            <w:t>中共吕梁市委吕梁市人民政府关于印发《吕梁市支持民营经济发展若干措施(试行)》的通知</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_Toc4597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23</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CN"/>
            </w:rPr>
            <w:t>4.</w:t>
          </w: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_Toc30395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kern w:val="0"/>
              <w:sz w:val="28"/>
              <w:szCs w:val="28"/>
              <w:lang w:val="en-US" w:eastAsia="zh-CN" w:bidi="ar-SA"/>
            </w:rPr>
            <w:t>中共吕梁市委关于构建亲清新型政商关系的实施意见</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_Toc30395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31</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_Toc27107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sz w:val="28"/>
              <w:szCs w:val="28"/>
              <w:lang w:val="en-US" w:eastAsia="zh-CN"/>
            </w:rPr>
            <w:t>二、政策清单</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_Toc27107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38</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_Toc8728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kern w:val="0"/>
              <w:sz w:val="28"/>
              <w:szCs w:val="28"/>
              <w:lang w:val="en-US" w:eastAsia="zh-CN" w:bidi="ar-SA"/>
            </w:rPr>
            <w:t>第一部分金融支持政策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_Toc8728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39</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_Toc17148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kern w:val="0"/>
              <w:sz w:val="28"/>
              <w:szCs w:val="28"/>
              <w:lang w:val="en-US" w:eastAsia="zh-CN" w:bidi="ar-SA"/>
            </w:rPr>
            <w:t>第二部分减税降费政策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_Toc17148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42</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_Toc18422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rPr>
            <w:t>第三部分支持民营经济发展政策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_Toc18422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47</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_Toc30086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rPr>
            <w:t>第四部分技术改造和工业转型升级政策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_Toc30086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50</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_Toc7436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rPr>
            <w:t>第五部分开发区改革政策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_Toc7436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54</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_Toc9413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rPr>
            <w:t>第六部分优化营商环境和构建亲清政商关系政策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_Toc9413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57</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_Toc9706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rPr>
            <w:t>第七部分支持高新技术企业发展政策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_Toc9706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65</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_Toc24575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sz w:val="28"/>
              <w:szCs w:val="28"/>
            </w:rPr>
            <w:t>第八部分支持</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小升规</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发展政策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_Toc24575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71</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_Toc9702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lang w:eastAsia="zh-CN"/>
            </w:rPr>
            <w:t>第九部分</w:t>
          </w:r>
          <w:r>
            <w:rPr>
              <w:rFonts w:hint="eastAsia" w:ascii="仿宋_GB2312" w:hAnsi="仿宋_GB2312" w:eastAsia="仿宋_GB2312" w:cs="仿宋_GB2312"/>
              <w:bCs/>
              <w:spacing w:val="0"/>
              <w:sz w:val="28"/>
              <w:szCs w:val="28"/>
            </w:rPr>
            <w:t>加快推进数字经济发展的若干政策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_Toc9702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72</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_Toc12720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bCs/>
              <w:spacing w:val="0"/>
              <w:sz w:val="28"/>
              <w:szCs w:val="28"/>
              <w:lang w:eastAsia="zh-CN"/>
            </w:rPr>
            <w:t>第十部分战略性新兴产业电价机制政策</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_Toc12720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76</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_Toc2053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sz w:val="28"/>
              <w:szCs w:val="28"/>
              <w:lang w:eastAsia="zh-CN"/>
            </w:rPr>
            <w:t>三、</w:t>
          </w:r>
          <w:r>
            <w:rPr>
              <w:rFonts w:hint="eastAsia" w:ascii="仿宋_GB2312" w:hAnsi="仿宋_GB2312" w:eastAsia="仿宋_GB2312" w:cs="仿宋_GB2312"/>
              <w:spacing w:val="0"/>
              <w:sz w:val="28"/>
              <w:szCs w:val="28"/>
            </w:rPr>
            <w:t>各行业惠企政策汇编目录</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_Toc2053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78</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7"/>
            <w:tabs>
              <w:tab w:val="right" w:leader="dot" w:pos="8306"/>
            </w:tabs>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fldChar w:fldCharType="begin"/>
          </w:r>
          <w:r>
            <w:rPr>
              <w:rFonts w:hint="eastAsia" w:ascii="仿宋_GB2312" w:hAnsi="仿宋_GB2312" w:eastAsia="仿宋_GB2312" w:cs="仿宋_GB2312"/>
              <w:spacing w:val="0"/>
              <w:sz w:val="28"/>
              <w:szCs w:val="28"/>
              <w:lang w:eastAsia="zh-CN"/>
            </w:rPr>
            <w:instrText xml:space="preserve"> HYPERLINK \l _Toc8539 </w:instrText>
          </w:r>
          <w:r>
            <w:rPr>
              <w:rFonts w:hint="eastAsia" w:ascii="仿宋_GB2312" w:hAnsi="仿宋_GB2312" w:eastAsia="仿宋_GB2312" w:cs="仿宋_GB2312"/>
              <w:spacing w:val="0"/>
              <w:sz w:val="28"/>
              <w:szCs w:val="28"/>
              <w:lang w:eastAsia="zh-CN"/>
            </w:rPr>
            <w:fldChar w:fldCharType="separate"/>
          </w:r>
          <w:r>
            <w:rPr>
              <w:rFonts w:hint="eastAsia" w:ascii="仿宋_GB2312" w:hAnsi="仿宋_GB2312" w:eastAsia="仿宋_GB2312" w:cs="仿宋_GB2312"/>
              <w:spacing w:val="0"/>
              <w:sz w:val="28"/>
              <w:szCs w:val="28"/>
              <w:lang w:eastAsia="zh-CN"/>
            </w:rPr>
            <w:t>四、</w:t>
          </w:r>
          <w:r>
            <w:rPr>
              <w:rFonts w:hint="eastAsia" w:ascii="仿宋_GB2312" w:hAnsi="仿宋_GB2312" w:eastAsia="仿宋_GB2312" w:cs="仿宋_GB2312"/>
              <w:spacing w:val="0"/>
              <w:sz w:val="28"/>
              <w:szCs w:val="28"/>
            </w:rPr>
            <w:t>2018年以来减税降费政策汇编目录</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rPr>
            <w:fldChar w:fldCharType="begin"/>
          </w:r>
          <w:r>
            <w:rPr>
              <w:rFonts w:hint="eastAsia" w:ascii="仿宋_GB2312" w:hAnsi="仿宋_GB2312" w:eastAsia="仿宋_GB2312" w:cs="仿宋_GB2312"/>
              <w:spacing w:val="0"/>
              <w:sz w:val="28"/>
              <w:szCs w:val="28"/>
            </w:rPr>
            <w:instrText xml:space="preserve"> PAGEREF _Toc8539 \h </w:instrText>
          </w:r>
          <w:r>
            <w:rPr>
              <w:rFonts w:hint="eastAsia" w:ascii="仿宋_GB2312" w:hAnsi="仿宋_GB2312" w:eastAsia="仿宋_GB2312" w:cs="仿宋_GB2312"/>
              <w:spacing w:val="0"/>
              <w:sz w:val="28"/>
              <w:szCs w:val="28"/>
            </w:rPr>
            <w:fldChar w:fldCharType="separate"/>
          </w:r>
          <w:r>
            <w:rPr>
              <w:rFonts w:hint="eastAsia" w:ascii="仿宋_GB2312" w:hAnsi="仿宋_GB2312" w:eastAsia="仿宋_GB2312" w:cs="仿宋_GB2312"/>
              <w:spacing w:val="0"/>
              <w:sz w:val="28"/>
              <w:szCs w:val="28"/>
            </w:rPr>
            <w:t>90</w:t>
          </w:r>
          <w:r>
            <w:rPr>
              <w:rFonts w:hint="eastAsia" w:ascii="仿宋_GB2312" w:hAnsi="仿宋_GB2312" w:eastAsia="仿宋_GB2312" w:cs="仿宋_GB2312"/>
              <w:spacing w:val="0"/>
              <w:sz w:val="28"/>
              <w:szCs w:val="28"/>
            </w:rPr>
            <w:fldChar w:fldCharType="end"/>
          </w:r>
          <w:r>
            <w:rPr>
              <w:rFonts w:hint="eastAsia" w:ascii="仿宋_GB2312" w:hAnsi="仿宋_GB2312" w:eastAsia="仿宋_GB2312" w:cs="仿宋_GB2312"/>
              <w:spacing w:val="0"/>
              <w:sz w:val="28"/>
              <w:szCs w:val="28"/>
              <w:lang w:eastAsia="zh-CN"/>
            </w:rPr>
            <w:fldChar w:fldCharType="end"/>
          </w:r>
        </w:p>
        <w:p>
          <w:pPr>
            <w:pStyle w:val="2"/>
            <w:ind w:left="0" w:leftChars="0" w:firstLine="0" w:firstLineChars="0"/>
            <w:rPr>
              <w:spacing w:val="0"/>
            </w:rPr>
          </w:pPr>
          <w:r>
            <w:rPr>
              <w:rFonts w:hint="eastAsia" w:ascii="仿宋_GB2312" w:hAnsi="仿宋_GB2312" w:eastAsia="仿宋_GB2312" w:cs="仿宋_GB2312"/>
              <w:spacing w:val="0"/>
              <w:sz w:val="28"/>
              <w:szCs w:val="28"/>
              <w:lang w:eastAsia="zh-CN"/>
            </w:rPr>
            <w:fldChar w:fldCharType="end"/>
          </w:r>
          <w:bookmarkStart w:id="2" w:name="_Toc15732"/>
        </w:p>
      </w:sdtContent>
    </w:sdt>
    <w:p>
      <w:pPr>
        <w:pStyle w:val="2"/>
        <w:ind w:left="0" w:leftChars="0" w:firstLine="0" w:firstLineChars="0"/>
        <w:jc w:val="cente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一、省、市重要文件</w:t>
      </w:r>
      <w:bookmarkEnd w:id="0"/>
      <w:bookmarkEnd w:id="2"/>
    </w:p>
    <w:p>
      <w:pPr>
        <w:rPr>
          <w:rFonts w:hint="eastAsia"/>
          <w:spacing w:val="0"/>
          <w:lang w:eastAsia="zh-CN"/>
        </w:rPr>
      </w:pPr>
      <w:r>
        <w:rPr>
          <w:rFonts w:hint="eastAsia" w:ascii="方正小标宋简体" w:hAnsi="方正小标宋简体" w:eastAsia="方正小标宋简体" w:cs="方正小标宋简体"/>
          <w:color w:val="000000" w:themeColor="text1"/>
          <w:spacing w:val="0"/>
          <w:sz w:val="32"/>
          <w:szCs w:val="32"/>
          <w:lang w:eastAsia="zh-CN"/>
          <w14:textFill>
            <w14:solidFill>
              <w14:schemeClr w14:val="tx1"/>
            </w14:solidFill>
          </w14:textFill>
        </w:rPr>
        <w:br w:type="page"/>
      </w:r>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3" w:name="_Toc21386"/>
      <w:r>
        <w:rPr>
          <w:rFonts w:hint="eastAsia" w:ascii="方正小标宋简体" w:hAnsi="方正小标宋简体" w:eastAsia="方正小标宋简体" w:cs="方正小标宋简体"/>
          <w:color w:val="000000"/>
          <w:spacing w:val="0"/>
          <w:kern w:val="0"/>
          <w:sz w:val="32"/>
          <w:szCs w:val="32"/>
          <w:lang w:val="en-US" w:eastAsia="zh-CN" w:bidi="ar-SA"/>
        </w:rPr>
        <w:t>中共山西省委山西省人民政府</w:t>
      </w:r>
      <w:bookmarkEnd w:id="1"/>
      <w:bookmarkEnd w:id="3"/>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4" w:name="_Toc6112_WPSOffice_Level1"/>
      <w:bookmarkStart w:id="5" w:name="_Toc7547"/>
      <w:r>
        <w:rPr>
          <w:rFonts w:hint="eastAsia" w:ascii="方正小标宋简体" w:hAnsi="方正小标宋简体" w:eastAsia="方正小标宋简体" w:cs="方正小标宋简体"/>
          <w:color w:val="000000"/>
          <w:spacing w:val="0"/>
          <w:kern w:val="0"/>
          <w:sz w:val="32"/>
          <w:szCs w:val="32"/>
          <w:lang w:val="en-US" w:eastAsia="zh-CN" w:bidi="ar-SA"/>
        </w:rPr>
        <w:t>关于支持民营经济发展的若干意见</w:t>
      </w:r>
      <w:bookmarkEnd w:id="4"/>
      <w:bookmarkEnd w:id="5"/>
    </w:p>
    <w:p>
      <w:pPr>
        <w:keepNext w:val="0"/>
        <w:keepLines w:val="0"/>
        <w:pageBreakBefore w:val="0"/>
        <w:widowControl/>
        <w:shd w:val="clear" w:color="auto" w:fill="FFFFFF"/>
        <w:kinsoku/>
        <w:wordWrap/>
        <w:overflowPunct/>
        <w:topLinePunct w:val="0"/>
        <w:autoSpaceDE/>
        <w:autoSpaceDN/>
        <w:bidi w:val="0"/>
        <w:adjustRightInd/>
        <w:snapToGrid/>
        <w:spacing w:after="0" w:afterAutospacing="0" w:line="500" w:lineRule="exact"/>
        <w:ind w:firstLine="560" w:firstLineChars="200"/>
        <w:jc w:val="center"/>
        <w:textAlignment w:val="auto"/>
        <w:outlineLvl w:val="9"/>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after="0" w:afterAutospacing="0" w:line="500" w:lineRule="exact"/>
        <w:ind w:left="0" w:leftChars="0" w:firstLine="0" w:firstLineChars="0"/>
        <w:jc w:val="center"/>
        <w:textAlignment w:val="auto"/>
        <w:outlineLvl w:val="4"/>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晋发〔2018〕37号</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0" w:afterAutospacing="0" w:line="500" w:lineRule="exact"/>
        <w:ind w:firstLine="560" w:firstLineChars="200"/>
        <w:jc w:val="center"/>
        <w:textAlignment w:val="auto"/>
        <w:outlineLvl w:val="9"/>
        <w:rPr>
          <w:rFonts w:hint="eastAsia" w:ascii="仿宋_GB2312" w:hAnsi="仿宋_GB2312" w:eastAsia="仿宋_GB2312" w:cs="仿宋_GB2312"/>
          <w:color w:val="000000" w:themeColor="text1"/>
          <w:spacing w:val="0"/>
          <w:sz w:val="28"/>
          <w:szCs w:val="28"/>
          <w14:textFill>
            <w14:solidFill>
              <w14:schemeClr w14:val="tx1"/>
            </w14:solidFill>
          </w14:textFill>
        </w:rPr>
      </w:pP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为深入学习贯彻习近平新时代中国特色社会主义思想和党的十九大精神，全面落实习近平总书记在民营企业座谈会上的重要讲话精神，着力破解民营经济发展中的问题，促进我省民营经济健康发展，提出如下意见。</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一、总体要求</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以习近平总书记关于大力支持民营企业发展的重要论述为指导，深刻认识民营经济是我国经济制度的内在要素，民营企业和民营企业家是我们自己人，深刻认识民营经济在我省经济社会发展中的重要地位和作用，深刻认识促进民营经济发展对我省转型发展的重大战略意义，全面落实党中央、国务院各项决策部署，坚持“两个毫不动摇”“三个没有变”，促进“两个健康”，解放思想、直面问题、精准施策，加强领导，推动民营经济在我省“两转”基础上全面拓展新局面进程中实现大发展、作出新贡献。</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新时代促进我省民营经济发展，要坚持以下原则：坚持大力营造公平竞争环境，打破“卷帘门”“玻璃门”“旋转门”。坚持持续优化生产要素配置，让民营企业减压降负轻装上阵。坚持全面深化体制机制改革，激发民营企业发展活力。坚持不断提高民营企业创新能力，加快由资源依赖向创新驱动转型。坚持依法保护民营企业合法权益，让民营企业家吃下定心丸。坚持着力构建亲清新型政商关系，全心全意服务民营企业发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二、营造公平竞争环境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保障民营企业平等地位。开展隐性障碍清理专项行动，除法律规定和国家决定保留的审批事项外，严禁以任何形式对民营企业设置门槛，做到对民营企业和国有企业一视同仁，对大中小企业平等对待。严格落实公平竞争审查制度，清理废除妨碍统一市场和公平竞争的政策文件，并向社会公布。强化反垄断执法，纠正滥用行政权力排除和限制公平竞争的行为。（牵头单位：省司法厅、省市场监督管理局、省行政审批服务管理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进一步开放民间投资领域。除法律法规明确禁止的行业和领域外，一律向民间资本开放。修订《山西省鼓励投资政策》，鼓励民间资本投入基础设施、生态环保、脱贫攻坚、文化旅游、民生康养等领域。引导民间资本参与PPP项目，提高民间资本比重。择优选择一批市场前景好的项目开展社会资本投资示范，吸引民间资本参与。（牵头单位：省发改委、省民政厅、省财政厅、省交通厅、省生态环境厅、省文化和旅游厅、省扶贫办）</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促进国有企业与民营企业合作发展。鼓励民间资本参与国有企业混合所有制改革，竞争性领域的国有优质企业、优质资产、优质资源，对民间资本不设准入门槛、不限持股比例、不限合作领域。提高民间资本在混合所有制企业中的比重。建立混合所有制项目发布机制，定期公开发布合作项目。支持民营企业参与军民融合发展，通过我省军民融合科技成果交易平台、军民融合产融对接平台参与军民融合项目，通过山西省股权交易中心“军民融合板”扩大直接融资。对获得国家部委、军委相关部门军民融合项目资金的，按金额的5%给予配套。对年度内新增武器装备科研生产合同或与军工企业配套合同金额1000万元以上的，按新增合同额的5%给予奖励，最高不超过200万元。(牵头单位：省委军民融合办、省工信厅、省财政厅、省国资委、省小企业发展促进局)</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发挥政府采购支持作用。各级各部门在满足自身运转和提供公共服务基本需求的前提下，应预留年度政府采购项目预算总额的30%以上，专门面向中小微企业采购，其中预留给小微企业的比例不低于60%。实施政府采购融资制度，鼓励中小微企业凭借政府采购合同向合作金融机构申请融资。（牵头单位：各级财政部门、各级政府采购中心、人行太原中心支行)</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三、优化资源要素配置</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依法兑现政府承诺。各级政府要坚持“新官理旧账”，对过去合法合规的承诺，要认真履约。定期梳理新近在招商引资、拆迁补偿、政府工程款项结算、PPP项目等方面的承诺事项，依法依规及时兑现。（牵头单位：各市县政府）</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减轻税费负担。全面落实国家税费优惠政策，推进增值税等实质性减税，对小微企业、科技型初创企业实施普惠性税收免除，确保国家出台的各项减税降费政策落地。适时降低城镇土地使用税适用税额。对确有特殊困难而不能按期缴纳税款的民营企业，通过依法办理税款延期缴纳等方式，帮助企业缓解资金压力。严格防范逃避税行为，规范税收征管和检查，避免因不当征税导致正常运行的企业停摆。对符合条件且努力稳定就业的参保企业，可通过减费方式返还企业及其职工缴纳的50%失业保险费。对用人单位和职工失业保险缴费比例总和从3%阶段性降至1%的现行政策</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2019年4月底到期后可继续延续实施一年。落实国家降低社保费率的政策，稳定缴费方式，确保总体上不增加企业负担，确保企业社保缴费实际负担有实质性下降。合理编制社保费收入预算，严格按预算进行征收。妥善解决在民营企业就业的国有企业下岗人员社保费接续问题。在机构改革中确保社保费现有征收政策稳定，严禁自行对企业历史欠费进行集中清缴。加快推进省定涉企行政事业性收费零收费。规范中介服务，严禁变相提高收费标准。各地要解放思想、挖掘潜力，在2019年全年为民营企业减免税费275亿元以上，提高民营企业的政策获得感。（牵头单位：省财政厅、省人社厅、省税务局）</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加强土地供给。推进“标准地”出让改革。对符合条件的省重点项目，土地计划指标优先予以保障。对各市确定的优先发展产业且用地集约的工业项目，土地出让底价可按不低于所在地土地等别相对应《全国工业用地出让最低价标准》的70％执行。工业用地可采取长期租赁、先租后让、租让结合、弹性出让等方式供应，采取长期租赁方式供地的，可以调整为出让供地；采取弹性年期出让的，届满符合产业导向的项目，可依法续期；以长期租赁、先租后让、弹性年期出让等方式取得土地使用权的，在使用年期内可依法转租、转让或抵押。支持和鼓励各地建设高标准厂房，可按幢、层等权属界线封闭且具有独立使用价值的空间为不动产登记单元进行登记。涉及不动产转让的，经批准后办理不动产转移登记。在符合规划、不改变用途的前提下，现有工业用地提高土地利用效率和增加容积率的</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不再征收土地价款差额。(牵头单位：省自然资源厅)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优化环评服务。对未列入国家《建设项目环境影响评价分类管理名录》的建设项目，除未来可能出现的环境影响或环境风险较大的项目，以及涉及自然保护区、风景名胜区、饮用水水源保护区、泉域重点保护区等环境敏感区的项目外，无需履行环评手续。把区域环评纳入政府服务事项，简化区域内项目的评价内容、前置条件、总量管理等。根据园区规划环评的审查意见和结论等要求，项目环评与规划环评可共享环境现状、污染源调查等资料，简化入园项目相应评价内容。研究制定推进环境污染强制责任保险试点工作指导意见，在风险大、污染严重的区域或行业实施强制环境污染责任保险，积极化解民营企业环保责任风险。(牵头单位：省工信厅、省生态环境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降低运行成本。平稳调整最低工资标准。规范工程建设领域保证金管理。研究降低水电气暖等价格，确保稳定供应。深化电力体制改革，开展支持民营企业“获得电力”专项行动，积极支持民营企业参与市场化交易，扩大市场交易电量规模，降低获得电力成本。支持符合条件的民营企业天然气用户改“转供”为“直供”。加快“公转铁”运输结构调整，推进高速公路差异化收费，降低企业物流成本。（牵头单位：省发改委、省人社厅、省交通厅、省电力公司）</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优化营商环境。深化“放管服效”改革，积极推进“六最”营商环境建设。统筹推进企业投资项目承诺制改革试点和工程建设项目审批制度改革，加快推进“3545”专项改革，2018年底前，申请新开办民营企业实现省级3个工作日内完成营业执照办理、涉税办理、公章刻制等事项；查封、抵押、注销登记等不动产登记压缩至5个工作日内完成；一般性工业项目从备案到竣工验收的审批时限压缩至45个工作日内，其他工程建设项目审批时限压减至100个工作日以内。同时，加快“3545”专项改革在市县政务大厅落地。严格落实“大厅之外无审批”和“两集中、两到位”要求，全面推行“一窗通办”模式。加快推开省级“一枚电子印章管审批”，深化市县相对集中行政许可权改革。加快建设全省一体化政务服务平台，推动省市县乡四级全覆盖，实现各级政务服务事项网上办理，推进“最多跑一次”和“一次不用跑”改革落地见效。委托第三方机构开展民营企业发展环境评估，加强评估结果运用。（牵头单位：省行政审批服务管理局、省直有关部门、各市县政府）</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Style w:val="11"/>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四、破解融资难融资贵问题</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防范化解流动性风险。筹资50亿元组建山西省民营企业政策性纾困救助基金，市场化推动解决上市民营企业和重点民营企业的流动性问题，化解上市公司股权质押平仓风险，避免发生企业所有权恶性转移。成立企业债务清理工作小组，开展企业债务清理专项行动，优先清理政府性工程对民营企业的欠款。鼓励银行通过提前续贷审批，提高企业转贷效率。各市县要自筹资金，为本区域内骨干民营企业提供低成本“接续还贷”服务，各市新增应急还贷资金原则上不少于2亿元，各县（市、区）建立应急还贷资金不少于2000万元，省市县共形成50亿元接续还贷周转资金。加强企业还贷应急资金的使用和管理，在防范风险的同时减免还贷应急资金使用成本。（牵头单位：省财政厅、省地方金融监督管理局、山西银保监局、各市县政府）</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12．加大信贷支持力度。金融机构要坚决贯彻落实国家和我省关于金融服务实体经济的部署要求，对符合条件但暂时遇到经营困难的企业，要继续予以资金支持，不盲目抽贷、断贷。各银行机构要按照中国银保监会关于民营企业贷款“125”方向性指标要求，在不放松信贷标准的基础上，进一步加大对民营企业的授信支持，力争2019年新增授信800亿元、2020年新增授信900亿元以上。地方法人银行机构要积极开展小微企业金融服务工作，实现单户授信额度1000万元以下（含）小微企业贷款同比增速不低于各类贷款同比增速，有贷款余额的户数不低于上年同期水平，合理控制小微企业贷款资产质量水平和贷款综合成本水平。建立以财政出资为主的小微企业贷款风险补偿机制。开展小微企业融资环境评价，鼓励发展小微企业投融资公共服务平台。推进小微企业应收账款融资，推动政府采购单位和产业链核心大企业确认账款，提高企业应收账款质押融资效率。进一步开展“银税互动”，推动“银政企保”合作。建立健全对民营企业授信业务的尽职免责和容错纠错机制，把银行业绩考核同支持民营经济发展挂钩，激励银行加大对民营企业的信贷支持力度。（牵头单位：省财政厅、省地方金融监督管理局、省小企业发展促进局、省税务局、山西银保监局、人行太原中心支行）</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13．支持企业直接融资。鼓励民营企业引进各类战略投资者，大力推动企业股份制改造。设立省上市（挂牌）民营企业资源库，组建专家服务队，做好上市（挂牌）民营企业培育工作。力争每年100户中小微民营企业完成股份制改造，100户中小微民营企业在山西股权交易中心“晋兴板”挂牌。2020年省上市（挂牌）民营企业资源库入库企业达到300家，全国股转系统（新三板）挂牌民营企业达到100家，沪深交易所主板（中小板）、创业板和科创板上市民营企业达到20家。对在沪深两地主板、中小企业板、创业板、科创板上市的企业，由省级财政给予200万元的奖励。对在全国股转系统挂牌的企业，由省级财政奖励100万元。对在山西股权交易中心挂牌、进行股份制改造并融资成功的企业，由省级财政奖励20万元。对当年入库中小企业完成股份制改造的，由省级财政奖励50万元。鼓励产业发展基金、风险投资基金、创业投资引导基金、天使投资引导基金加大对种子期、初创期企业投资项目的金融支持力度。推动民营企业债券融资支持工具在我省试点，重点支持符合条件的优质民营企业发行债券。支持民营企业以市场化、法治化方式开展债转股，鼓励国有产业基金、投资基金等投资参股民营企业。（牵头单位：省工信厅、省财政厅、省国资委、省地方金融监督管理局、省小企业发展促进局、山西证监局、山西银保监局、人行太原中心支行）</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14．提高融资担保水平。充分发挥山西融资再担保集团的功能，2019年底前资本金增至25亿元，以后5年内每年财政安排3亿元作为资本金，为民营企业、小微企业和“三农”融资担保金额占比达到80%以上。加快全省融资担保体系建设，降低注册资本金要求，推动市县融资担保机构建设。省级财政部门按照不超过上年度小微企业和“三农”业务在保余额的1‰的资金，对满足条件的机构予以风险补偿。各级财政部门要制定对行政区域内融资担保机构保费补贴政策，对融资担保费率低于3%的差额部分给予补贴。完善政府性融资担保机构考评办法，放宽盈利性考核指标。（牵头单位：省财政厅、省地方金融监督管理局、省小企业发展促进局）</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15．建立“红黑名单”制度。完善守信激励和失信惩戒机制，对进入红名单的民营企业，进一步加大融资支持力度，对贷款利率实行优惠，并为其提供多样化、针对性的金融产品和服务。对严重失信、长期违约、恶意拖欠的企业，要公开曝光，取消已有的荣誉和补贴。（牵头单位：省发改委、省工信厅、省地方金融监督管理局、省税务局、人行太原中心支行）</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Style w:val="11"/>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五、推动民营企业转型升级</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16．支持民营企业转型创新。鼓励民营企业紧扣“示范区”“排头兵”“新高地”三大目标，加快传统产业改造升级，投资文化旅游、装备制造、新能源汽车、新能源、新材料、现代服务业等战略性新兴产业。支持民营企业牵头或参与国家和省科技重大专项、重点研发计划及各类省级科技（专项基金）计划，建立高水平研发机构，建设研发平台和技术研发中心，发展产业技术创新战略联盟。科技型中小企业实际发生的研发费用，计入当期损益未按75％税前加计扣除，形成无形资产未按175％在税前摊销，在2019年12月31日前允许更正年度纳税申报追溯享受企业所得税前加计扣除。根据省有关规定，对首购首用首台套重大技术装备或重大创新产品的，省财政可按购买价格30%给予补贴、最高不超过100万元。对符合政府采购目录的我省首台套重大技术装备、首版次软件产品、首批次原材料等产品，自2019年1月1日起探索实行政府采购首购首用制度。支持民营企业打造一批有竞争力的质量品牌和技术服务标准，提高山西制造、山西建造、山西服务的竞争力。对获得中国质量奖的企业奖励500万元，获得提名奖的企业奖励200万元；获得山西省质量奖的企业奖励100万元，获得提名奖的企业奖励50万元。加快制定我省首批次创新产品认定标准，对主导制定新标准以及承担省级以上标准化试点示范项目的民营企业，给予经费补助。综合利用差别化用地、用能、价格、信贷、环境权益等措施，倒逼落后和过剩产能退出，促进民营企业转型升级。鼓励民营企业拓展国内外市场，加强“一带一路”产能合作，深化京津冀协作。保持出口信用保险政策的连续性和稳定性，进一步提高出口信用保险的覆盖面。落实企业境外所得税综合抵免政策。（牵头单位：省科技厅、省工信厅、省财政厅、省商务厅、省外事办、省市场监督管理局、省行政审批服务管理局、省小企业发展促进局、省税务局）</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17．支持民营企业引进人才。鼓励民营企业引进“两院”院士等杰出人才、重点技术领域和行业高层次领军人才、青年拔尖人才，民营企业引进的各层次人才享受与国有企业和事业单位引进人才同等政策待遇和津贴。建立人才双向流动机制，允许科技创新人才在高校、科研院所和民营企业间双向兼职。支持符合国家有关规定的退休党政干部、企事业领导干部到民营企业进行帮扶。民营企业开展职工技能培训，可申请政府有关资金支持。对人才培养较好的企业予以适当奖励。研究制定民营企业职称问题相关政策，畅通民营企业职称申报渠道。（牵头单位：省委组织部、省教育厅、省财政厅、省人社厅、省小企业发展促进局、省工商联）</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18．加快市场主体培育。按照宜大则大、宜精则精的原则，构建“个转企、小升规、规改股、股上市”的梯次培育机制。从2018年起，省级财政对首次上规入统的小微工业企业</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上规入统后连续2年未退出规模以上工业企业库的，给予5万元的奖励；连续3年的，再给予10万元的奖励。从2018年起给予“小升规”企业3年的适应调整期，3年内保持税收负担总体不增，可继续享受相关税收优惠政策。支持“晋民投”等民营企业参与国有企业混合所有制改革和开发区建设，参与整合省内金融资源，组建民营银行。推动中小企业“专精特新”发展，培育“小巨人”企业、“单项冠军”企业和“独角兽”企业。（牵头单位：省委统战部、省财政厅、省地方金融监督管理局、省小企业发展促进局、省综改示范区、山西银保监局、省税务局、省工商联）</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19．促进民营企业家队伍健康成长。将培养民营企业家队伍与贯彻落实国家重大战略以及我省经济社会建设同步谋划、同步推进。强化对民营企业家政治引领，加强对民营企业家特别是年轻一代民营企业家的理想信念教育，引导民营企业家拥护党的领导，加强和改进非公企业党建工作。加强培养培训，引导企业家积极履行社会责任，诚实守信、守法经营、依法纳税。着力加强对新生代、“创二代”企业家的培育，实现薪火相传。（牵头单位：省委组织部、省委宣传部、省委统战部、省市场监督管理局、省小企业发展促进局、省工商联）</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Style w:val="11"/>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六、构建亲清新型政商关系</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20．树立鲜明导向。大力倡导领导干部担当作为、靠前服务，真心实意帮助民营企业经营者解决实际困难；大力倡导领导干部理直气壮、光明磊落，多与民营企业经营者坦荡真诚接触交流；大力倡导领导干部公私分明、心无杂念，与民营企业经营者清白纯洁交往；大力倡导民营企业经营者讲正气、走正道，聚精会神办企业，遵纪守法搞经营；大力倡导民营企业经营者敢讲真话、勇于监督，依规依纪依法维护自身合法权益。（牵头单位：省纪委监委机关、省委组织部、省委政法委）</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21．加强沟通协调。建立领导干部与民营企业联系制度、政企沟通协调会制度和民营企业直通车制度，定期通报情况、听取意见，及时解决企业反映的问题。健全企业家参与涉企政策制定机制。鼓励各级开发区设立工商联（总商会）组织。探索党政机关干部在民营企业挂职锻炼。（牵头单位：省委组织部、省委统战部、省考核办、省小企业发展促进局、省工商联）</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22．弘扬企业家精神。大力弘扬晋商精神，加强对优秀企业家先进事迹和突出贡献的宣传报道，营造崇尚企业家精神、支持企业家发展的社会氛围。制定获得全国、省级以上荣誉称号或百强民营企业的奖励办法，对进入全国民营企业500强的，财政给予100万元奖励；进入山西民营企业100强的，在政治安排和各类评选表彰中优先考虑。（牵头单位：省委统战部、省财政厅、省工商联）</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Style w:val="11"/>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七、依法保护民营企业合法权益</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23．保护企业家财产和人身安全。依法保护民营企业物权、债权、股权、知识产权等财产权，依法保护民营企业家的生命健康、名誉等人身权，妥善处理历史形成的产权案件，保障民营企业和企业家合法财产不受侵犯、合法经营不受干扰。严厉打击针对民营企业的不正当竞争行为</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对侵犯民营企业商标、专利、商业秘密等知识产权以及损害民营企业商业信誉、商品声誉的违法行为</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及时予以纠正，构成犯罪的依法追究刑事责任。严格区分经济纠纷与经济犯罪的界限，坚决防止利用刑事手段干预经济纠纷，保护民营企业的合法权益。严厉打击危害企业家人身安全的违法犯罪行为，坚决防止和纠正刑讯逼供、滥用强制措施等侵害企业家人身权利的违法行为，对构成犯罪的依法追究刑事责任。对民营企业及其经营者的一般违法行为，依法必须采取查封、扣押、冻结措施处置涉案财物的，必须严格区分个人财产和企业法人财产，区分违法所得和合法财产，区分涉案人员个人财产和家庭成员财产，结案后及时解封、解冻非涉案财物。（牵头单位：省委政法委、省法院、省检察院、省公安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24．妥善处理民营企业涉纪涉法案件。对积极配合协助案件调查的民营企业经营者，保障其正常生产经营和合法权益。对涉案民营企业经营者，纪委监委、法院、检察院、公安等要完善协作配合工作机制，统一执法尺度，既查清问题，也保障其合法的财产和人身权益。涉及民营企业行贿人、民营企业家的要依法审慎采取强制措施，充分考虑企业发展需要，对符合改变羁押强制措施的及时改变，对符合从宽处理的案件依法从宽处置。严格规范审查调查行为，依法审慎对相关民营企业采取调查措施，确需采取查封、扣押、冻结等措施的，要严格按照法定程序进行，除依法需责令关闭企业情形外，在条件允许情形下，可以为企业预留必要的流动资金和往来账户，最大程度降低对企业正常生产经营活动的不利影响。对一些民营企业历史上曾经有过的一些不规范行为，要以发展的眼光看问题，按照罪刑法定、疑罪从无的原则处理，让企业家卸下思想包袱，轻装前进。（牵头单位：省纪委监委机关、省委政法委、省法院、省检察院、省公安厅、省司法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25．完善民营企业涉法维权机制。建立健全企业涉法维权问题协调工作机制，畅通企业涉法维权问题受理渠道。积极构建多元化矛盾纠纷解决机制，为民营企业提供更多纠纷解决途径和维权选择。对民营企业家提出申诉要求的案件，要及时、优先办理，严格依照法律法规和政策规定提出审查处理意见，确有错误的，坚决依法启动纠错程序，及时依法纠正。（牵头单位：省纪委监委机关、省委政法委、省法院、省检察院、省工信厅、省公安厅、省司法厅、省投资促进局）</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26．坚持公平公正文明执法。全面推行行政裁量权基准制度，细化、量化行政处罚标准。坚持“法定职责必须为、法无授权不可为”，全面公开行政执法部门权责清单。按照国家宏观调控方向，在安监、环保等领域微观执法过程中避免简单化，坚持实事求是，执行政策不搞“一刀切”，避免“一律关停”“先停再说”等简单粗暴做法。对民营企业经营中的一般违法行为，要妥善处理，坚决避免对市场活动的过度干预。加强行政执法监督，坚决制止和纠正各级执法机关和执法人员侵犯民营企业利益的行为。（牵头单位：省直各有关部门）</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27．创造良好社会环境。加强民营企业周边治安环境整治，依法严厉打击影响民营企业正常经营的黑恶势力，为民营企业发展创造良好治安环境。加大涉及民营企业生效判决的执行力度，严惩拒执违法犯罪，充分发挥执行联动、公布失信被执行人名单等制度的作用，确保民营企业胜诉权益及时落实兑现。（牵头单位：省委政法委、省法院、省检察院、省公安厅、省司法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jc w:val="both"/>
        <w:textAlignment w:val="auto"/>
        <w:rPr>
          <w:rStyle w:val="11"/>
          <w:rFonts w:hint="eastAsia" w:ascii="黑体" w:hAnsi="黑体" w:eastAsia="黑体" w:cs="黑体"/>
          <w:b w:val="0"/>
          <w:bCs/>
          <w:color w:val="000000" w:themeColor="text1"/>
          <w:spacing w:val="0"/>
          <w:sz w:val="28"/>
          <w:szCs w:val="28"/>
          <w14:textFill>
            <w14:solidFill>
              <w14:schemeClr w14:val="tx1"/>
            </w14:solidFill>
          </w14:textFill>
        </w:rPr>
      </w:pPr>
      <w:r>
        <w:rPr>
          <w:rStyle w:val="11"/>
          <w:rFonts w:hint="eastAsia" w:ascii="黑体" w:hAnsi="黑体" w:eastAsia="黑体" w:cs="黑体"/>
          <w:b w:val="0"/>
          <w:bCs/>
          <w:color w:val="000000" w:themeColor="text1"/>
          <w:spacing w:val="0"/>
          <w:sz w:val="28"/>
          <w:szCs w:val="28"/>
          <w14:textFill>
            <w14:solidFill>
              <w14:schemeClr w14:val="tx1"/>
            </w14:solidFill>
          </w14:textFill>
        </w:rPr>
        <w:t>八、推动政策落地落实</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28．加强组织领导。成立山西省促进民营经济发展工作领导小组，定期召开会议，组织协调解决民营企业发展面临的困难和问题。各市县也要成立相应机构，主要领导要亲力亲为、靠前指挥，相关部门要密切配合，形成促进民营企业发展的合力。（牵头单位：省委办公厅、省政府办公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29．完善法规制度。加快推动相关地方性法规、政府规章的立改废释，研究出台山西省促进民营经济发展的地方性法规或政府规章，全面清理不利于民营企业发展的地方性法规、规章和规范性文件。（牵头单位：省人大常委会办公厅、省司法厅）</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30．狠抓政策落实。各级各部门要切实负起责任，研究出台配套措施和实施细则，加大宣传解读力度，加强政策落实情况的督导考核，适时开展政策执行效果第三方评估。全面落实省委《关于进一步激励广大干部新时代新担当新作为努力建设高素质专业化干部队伍的实施意见》和《山西省支持干部改革创新合理容错办法（试行）》，进一步激励广大干部勇于担当、大胆作为，促进全省民营经济健康发展。（牵头单位：省委组织部、省考核办）</w:t>
      </w:r>
    </w:p>
    <w:p>
      <w:pPr>
        <w:keepNext w:val="0"/>
        <w:keepLines w:val="0"/>
        <w:pageBreakBefore w:val="0"/>
        <w:widowControl/>
        <w:kinsoku/>
        <w:wordWrap/>
        <w:overflowPunct/>
        <w:topLinePunct w:val="0"/>
        <w:autoSpaceDE/>
        <w:autoSpaceDN/>
        <w:bidi w:val="0"/>
        <w:spacing w:afterAutospacing="0" w:line="50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keepNext w:val="0"/>
        <w:keepLines w:val="0"/>
        <w:pageBreakBefore w:val="0"/>
        <w:wordWrap/>
        <w:topLinePunct w:val="0"/>
        <w:bidi w:val="0"/>
        <w:spacing w:afterAutospacing="0" w:line="500" w:lineRule="exact"/>
        <w:jc w:val="center"/>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keepNext w:val="0"/>
        <w:keepLines w:val="0"/>
        <w:pageBreakBefore w:val="0"/>
        <w:wordWrap/>
        <w:topLinePunct w:val="0"/>
        <w:bidi w:val="0"/>
        <w:spacing w:afterAutospacing="0" w:line="500" w:lineRule="exact"/>
        <w:textAlignment w:val="auto"/>
        <w:rPr>
          <w:rFonts w:hint="eastAsia" w:ascii="方正小标宋简体" w:hAnsi="方正小标宋简体" w:eastAsia="方正小标宋简体" w:cs="方正小标宋简体"/>
          <w:b w:val="0"/>
          <w:i w:val="0"/>
          <w:caps w:val="0"/>
          <w:color w:val="000000" w:themeColor="text1"/>
          <w:spacing w:val="0"/>
          <w:sz w:val="44"/>
          <w:szCs w:val="44"/>
          <w:shd w:val="clear" w:fill="FFFFFF"/>
          <w14:textFill>
            <w14:solidFill>
              <w14:schemeClr w14:val="tx1"/>
            </w14:solidFill>
          </w14:textFill>
        </w:rPr>
      </w:pPr>
      <w:bookmarkStart w:id="6" w:name="_Toc3737_WPSOffice_Level1"/>
      <w:r>
        <w:rPr>
          <w:rFonts w:hint="eastAsia" w:ascii="方正小标宋简体" w:hAnsi="方正小标宋简体" w:eastAsia="方正小标宋简体" w:cs="方正小标宋简体"/>
          <w:b w:val="0"/>
          <w:i w:val="0"/>
          <w:caps w:val="0"/>
          <w:color w:val="000000" w:themeColor="text1"/>
          <w:spacing w:val="0"/>
          <w:sz w:val="44"/>
          <w:szCs w:val="44"/>
          <w:shd w:val="clear" w:fill="FFFFFF"/>
          <w14:textFill>
            <w14:solidFill>
              <w14:schemeClr w14:val="tx1"/>
            </w14:solidFill>
          </w14:textFill>
        </w:rPr>
        <w:br w:type="page"/>
      </w:r>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7" w:name="_Toc4669"/>
      <w:r>
        <w:rPr>
          <w:rFonts w:hint="eastAsia" w:ascii="方正小标宋简体" w:hAnsi="方正小标宋简体" w:eastAsia="方正小标宋简体" w:cs="方正小标宋简体"/>
          <w:color w:val="000000"/>
          <w:spacing w:val="0"/>
          <w:kern w:val="0"/>
          <w:sz w:val="32"/>
          <w:szCs w:val="32"/>
          <w:lang w:val="en-US" w:eastAsia="zh-CN" w:bidi="ar-SA"/>
        </w:rPr>
        <w:t>山西省人民政府办公厅</w:t>
      </w:r>
      <w:bookmarkEnd w:id="6"/>
      <w:bookmarkEnd w:id="7"/>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8" w:name="_Toc29921_WPSOffice_Level1"/>
      <w:bookmarkStart w:id="9" w:name="_Toc5802"/>
      <w:r>
        <w:rPr>
          <w:rFonts w:hint="eastAsia" w:ascii="方正小标宋简体" w:hAnsi="方正小标宋简体" w:eastAsia="方正小标宋简体" w:cs="方正小标宋简体"/>
          <w:color w:val="000000"/>
          <w:spacing w:val="0"/>
          <w:kern w:val="0"/>
          <w:sz w:val="32"/>
          <w:szCs w:val="32"/>
          <w:lang w:val="en-US" w:eastAsia="zh-CN" w:bidi="ar-SA"/>
        </w:rPr>
        <w:t>关于印发山西省支持科技创新若干政策的通知</w:t>
      </w:r>
      <w:bookmarkEnd w:id="8"/>
      <w:bookmarkEnd w:id="9"/>
    </w:p>
    <w:p>
      <w:pPr>
        <w:keepNext w:val="0"/>
        <w:keepLines w:val="0"/>
        <w:pageBreakBefore w:val="0"/>
        <w:widowControl/>
        <w:shd w:val="clear" w:color="auto" w:fill="FFFFFF"/>
        <w:kinsoku/>
        <w:wordWrap/>
        <w:overflowPunct/>
        <w:topLinePunct w:val="0"/>
        <w:autoSpaceDE/>
        <w:autoSpaceDN/>
        <w:bidi w:val="0"/>
        <w:adjustRightInd/>
        <w:snapToGrid/>
        <w:spacing w:after="0" w:afterAutospacing="0" w:line="500" w:lineRule="exact"/>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pacing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32"/>
          <w:szCs w:val="32"/>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after="0" w:afterAutospacing="0" w:line="500" w:lineRule="exact"/>
        <w:ind w:left="0" w:leftChars="0" w:firstLine="0" w:firstLineChars="0"/>
        <w:jc w:val="center"/>
        <w:textAlignment w:val="auto"/>
        <w:outlineLvl w:val="4"/>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（晋政办发〔2017〕148号）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shd w:val="clear" w:fill="FFFFFF"/>
          <w14:textFill>
            <w14:solidFill>
              <w14:schemeClr w14:val="tx1"/>
            </w14:solidFill>
          </w14:textFill>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根据《山西省关于贯彻落实&lt;国家创新驱动发展战略纲要&gt;的实施方案》(晋发〔2017〕18号)</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为加快推进创新型省份建设</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完成区域经济转型升级目标任务</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深入推进以科技创新为核心的全面创新</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促进发展动能向创新驱动转变</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制定以下政策。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i w:val="0"/>
          <w:caps w:val="0"/>
          <w:color w:val="000000" w:themeColor="text1"/>
          <w:spacing w:val="0"/>
          <w:sz w:val="28"/>
          <w:szCs w:val="28"/>
          <w14:textFill>
            <w14:solidFill>
              <w14:schemeClr w14:val="tx1"/>
            </w14:solidFill>
          </w14:textFill>
        </w:rPr>
      </w:pPr>
      <w:bookmarkStart w:id="10" w:name="_Toc31653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一、引导企业加大研发投入</w:t>
      </w:r>
      <w:bookmarkEnd w:id="1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1.对研究与试验发展(R&amp;D)经费投入强度全省排名前十位的企业</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根据其研发投入给予一定科研经费奖励。对主营业务收入2亿元及以上的最高奖励400万元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1亿元(含)-2亿元的最高奖励300万元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低于1亿元的最高奖励200万元。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2.鼓励各级人民政府与企业、高校、科研院所以及上级部门(单位)等共同建立联合研究基金</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政府出资部分不低于20%。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i w:val="0"/>
          <w:caps w:val="0"/>
          <w:color w:val="000000" w:themeColor="text1"/>
          <w:spacing w:val="0"/>
          <w:sz w:val="28"/>
          <w:szCs w:val="28"/>
          <w14:textFill>
            <w14:solidFill>
              <w14:schemeClr w14:val="tx1"/>
            </w14:solidFill>
          </w14:textFill>
        </w:rPr>
      </w:pPr>
      <w:bookmarkStart w:id="11" w:name="_Toc12213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二、开展重大关键技术攻关</w:t>
      </w:r>
      <w:bookmarkEnd w:id="1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3.对承担国家科技重大专项和重点研发计划等项目的单位</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根据项目合同实施进展绩效</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按项目上年实际国拨经费的3%-5%奖励研发团队</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每个项目最高奖励60万元。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4.对获得国家自然科学、技术发明、科学技术进步一、二等奖项目的第一完成单位</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按国家奖励额1暶1配套奖励。对获得国家科学技术进步特等奖的项目采取“一事一议”方式给予奖励。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i w:val="0"/>
          <w:caps w:val="0"/>
          <w:color w:val="000000" w:themeColor="text1"/>
          <w:spacing w:val="0"/>
          <w:sz w:val="28"/>
          <w:szCs w:val="28"/>
          <w14:textFill>
            <w14:solidFill>
              <w14:schemeClr w14:val="tx1"/>
            </w14:solidFill>
          </w14:textFill>
        </w:rPr>
      </w:pPr>
      <w:bookmarkStart w:id="12" w:name="_Toc6876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三、支持科技成果转化产业化</w:t>
      </w:r>
      <w:bookmarkEnd w:id="12"/>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5.对通过山西科技成果转化和知识产权交易管理服务平台交易科技成果并在省内转化的省内企业、高校、科研院所</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按其技术合同成交并实际到账额(以转账凭证为依据)</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给予技术输出方5%的补助</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单个科技成果最高补助100万元。对省内企业购买省外先进技术成果并在省内转化、产业化的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按其技术合同成交并实际支付额(以转账凭证为依据)</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给予5%的补助</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单个科技成果最高补助100万元。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6.对高校、科研院所与企业联合设立的股份制科技型企业</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高校、科研院所以技术入股且股权占比不低于30%的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按该企业科技研发、成果转化和企业产品(技术)销量(营业额)增长等绩效情况</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一次性最高奖励50万元。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7.科技成果转化中介服务机构为高校、科研院所争取到企业横向科研经费的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按科研经费的5%奖励中介服务机构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将高校、科研院所科技成果交易给企业的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按交易额的5%奖励中介服务机构</w:t>
      </w:r>
      <w:r>
        <w:rPr>
          <w:rFonts w:hint="eastAsia" w:ascii="仿宋_GB2312" w:hAnsi="仿宋_GB2312" w:eastAsia="仿宋_GB2312" w:cs="仿宋_GB2312"/>
          <w:b w:val="0"/>
          <w:i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促成双方联合转化的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奖励中介服务机构5万元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重大转化项目可适当增加奖励</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最高奖励10万元。高校、科研院所可根据事先约定</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从转化收益中拿出部分收益奖励中介服务机构。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i w:val="0"/>
          <w:caps w:val="0"/>
          <w:color w:val="000000" w:themeColor="text1"/>
          <w:spacing w:val="0"/>
          <w:sz w:val="28"/>
          <w:szCs w:val="28"/>
          <w14:textFill>
            <w14:solidFill>
              <w14:schemeClr w14:val="tx1"/>
            </w14:solidFill>
          </w14:textFill>
        </w:rPr>
      </w:pPr>
      <w:bookmarkStart w:id="13" w:name="_Toc25103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四、推进高新技术企业、高新技术产业开发区建设</w:t>
      </w:r>
      <w:bookmarkEnd w:id="13"/>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8.对首次通过或连续3次通过高新技术企业认定的企业</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根据认定指标得分情况一次性最高奖励20万元。资金用于奖励研发团队。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9.对新获批的国家级高新技术产业开发区、大学科技园</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一次性奖励300万元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对新获批的省级高新技术产业开发区</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一次性奖励100万元。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10.对全社会R&amp;D经费投入强度首次达到2.5%及以上的国家级及省级高新技术产业开发区一次性奖励100万元。奖励资金用于科技服务体系建设。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pPr>
      <w:bookmarkStart w:id="14" w:name="_Toc22126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五、支持“大众创业、万众创新”</w:t>
      </w:r>
      <w:bookmarkEnd w:id="14"/>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11.对新认定的国家级科技企业孵化器奖励100万元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新认定的省级科技企业孵化器奖励50万元。对已有的科技企业孵化器</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按照入驻的小微企业和孵化毕业的企业数、融资数等绩效情况择优奖励30万元。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12.对新认定的国家级众创空间、星创天地奖励100万元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新认定的省级众创空间、星创天地奖励50万元。对已有的众创空间、星创天地</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按照创客数、融资数等绩效情况择优奖励30万元。对获得中国创新创业大赛优秀奖和山西赛区一、二等奖的项目分别奖励20万元、10万元和5万元。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13.通过申领科技创新券的方式对购买创新服务、开展技术合作的科技型中小企业给予资助</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每个企业年补助额最高不超过20万元。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pPr>
      <w:bookmarkStart w:id="15" w:name="_Toc12186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六、推进创新平台建设和大型科学仪器设备资源共享共用</w:t>
      </w:r>
      <w:bookmarkEnd w:id="1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14.对新建的国家重点实验室、省部共建国家重点实验室、国家工程技术研究中心、国家临床医学研究中心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给予200万元经费支持。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15.对新建的省级重点实验室、工程技术研究中心、临床医学研究中心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给予100万元建设经费支持</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年度考核为优秀的奖励30万元。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16.对生物(种质)资源与实验材料、科技文献、科学数据等省级科技共享服务平台</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每年给予20万元运行经费补助</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年度考核为优秀的奖励20万元。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17.对在我省新认定的国家产业技术创新战略联盟及试点</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奖励100万元。对新认定且运行情况良好的省级产业技术创新战略联盟一次性奖励20万元。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pPr>
      <w:bookmarkStart w:id="16" w:name="_Toc1193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七、支持科技人才团队创新创业</w:t>
      </w:r>
      <w:bookmarkEnd w:id="16"/>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18.对批准设立的科技创新领军、重点、培育、区域团队</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给予50万元建设经费支持</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年度考核为优秀的奖励20万元。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19.每年审核选择一批具有自主知识产权科技成果、在我省设立或与省内企业共同设立公司、开展科技成果转化活动的科技团队</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使用山西省科技成果转化引导基金或其他政府引导基金</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进行直接股权投资。科技团队可自主选择申请债权投资还是股权投资。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20.对符合条件的省属高校和省级科研院所组织的、达到融资条件的生产经营经济实体进行科技项目融资贴息试点。试点单位按期归还融资</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经省科技厅验收合格后</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将其科技项目纳入下年度科技成果转化项目给予后补助奖励扶持。奖励额不高于项目融资的50%</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最高奖励500万元。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pPr>
      <w:bookmarkStart w:id="17" w:name="_Toc6520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八、强化知识产权创造、保护和运用</w:t>
      </w:r>
      <w:bookmarkEnd w:id="17"/>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21.对获授权的发明专利进行授权资助</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依据专利质量、产业化发展方向及前景</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一次性补助国内授权发明专利5000元、国外授权发明专利2万元。对获得中国专利金奖、优秀奖项目的单位</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分别一次性奖励100万元、20万元。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22.对以专利质押贷款方式融资达到300万元及以上的企业</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一次性补助贷款利息、担保、评估等费用总额的50%</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最高补助20万元。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黑体" w:hAnsi="黑体" w:eastAsia="黑体" w:cs="黑体"/>
          <w:i w:val="0"/>
          <w:caps w:val="0"/>
          <w:color w:val="000000" w:themeColor="text1"/>
          <w:spacing w:val="0"/>
          <w:sz w:val="28"/>
          <w:szCs w:val="28"/>
          <w14:textFill>
            <w14:solidFill>
              <w14:schemeClr w14:val="tx1"/>
            </w14:solidFill>
          </w14:textFill>
        </w:rPr>
      </w:pPr>
      <w:bookmarkStart w:id="18" w:name="_Toc15880_WPSOffice_Level1"/>
      <w:r>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t>九、推进县域创新驱动发展</w:t>
      </w:r>
      <w:bookmarkEnd w:id="18"/>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23.加强对县域创新驱动发展的政策和项目支持。开展创新型县(市、区)建设工作</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对省级“创新型试点县(市、区)”“创新型试点乡(镇)”进行评价认定</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根据评价结果分别一次性奖励100万元、50万元。对设立县域科技创新引导基金并通过基金支持取得成效的县(市、区)</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一次性奖励100万元。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24.对在全省区域经济转型升级考核评价中R&amp;D经费投入强度排名前三位的设区市奖励200万元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高于上年全国平均水平的奖励300万元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对排名前十位的县(市、区)奖励50万元</w:t>
      </w:r>
      <w:r>
        <w:rPr>
          <w:rFonts w:hint="default" w:ascii="仿宋_GB2312" w:hAnsi="仿宋_GB2312" w:eastAsia="仿宋_GB2312" w:cs="仿宋_GB2312"/>
          <w:b w:val="0"/>
          <w:i w:val="0"/>
          <w:caps w:val="0"/>
          <w:color w:val="000000" w:themeColor="text1"/>
          <w:spacing w:val="0"/>
          <w:sz w:val="28"/>
          <w:szCs w:val="28"/>
          <w:shd w:val="clear" w:fill="FFFFFF"/>
          <w:lang w:val="e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shd w:val="clear" w:fill="FFFFFF"/>
          <w14:textFill>
            <w14:solidFill>
              <w14:schemeClr w14:val="tx1"/>
            </w14:solidFill>
          </w14:textFill>
        </w:rPr>
        <w:t>高于上年全国平均水平的奖励100万元。奖励资金用于科技管理队伍建设。</w:t>
      </w:r>
    </w:p>
    <w:p>
      <w:pPr>
        <w:pStyle w:val="2"/>
        <w:keepNext w:val="0"/>
        <w:keepLines w:val="0"/>
        <w:pageBreakBefore w:val="0"/>
        <w:wordWrap/>
        <w:topLinePunct w:val="0"/>
        <w:bidi w:val="0"/>
        <w:spacing w:afterAutospacing="0" w:line="500" w:lineRule="exact"/>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pStyle w:val="2"/>
        <w:keepNext w:val="0"/>
        <w:keepLines w:val="0"/>
        <w:pageBreakBefore w:val="0"/>
        <w:wordWrap/>
        <w:topLinePunct w:val="0"/>
        <w:bidi w:val="0"/>
        <w:spacing w:afterAutospacing="0" w:line="500" w:lineRule="exact"/>
        <w:ind w:left="0" w:leftChars="0" w:firstLine="0" w:firstLineChars="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textAlignment w:val="auto"/>
        <w:rPr>
          <w:rFonts w:hint="eastAsia" w:asciiTheme="minorEastAsia" w:hAnsiTheme="minorEastAsia" w:eastAsiaTheme="minorEastAsia" w:cstheme="minorEastAsia"/>
          <w:color w:val="000000" w:themeColor="text1"/>
          <w:spacing w:val="0"/>
          <w:sz w:val="32"/>
          <w:szCs w:val="32"/>
          <w14:textFill>
            <w14:solidFill>
              <w14:schemeClr w14:val="tx1"/>
            </w14:solidFill>
          </w14:textFill>
        </w:rPr>
      </w:pPr>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19" w:name="_Toc2699_WPSOffice_Level1"/>
      <w:bookmarkStart w:id="20" w:name="_Toc4597"/>
      <w:r>
        <w:rPr>
          <w:rFonts w:hint="eastAsia" w:ascii="方正小标宋简体" w:hAnsi="方正小标宋简体" w:eastAsia="方正小标宋简体" w:cs="方正小标宋简体"/>
          <w:color w:val="000000"/>
          <w:spacing w:val="0"/>
          <w:kern w:val="0"/>
          <w:sz w:val="32"/>
          <w:szCs w:val="32"/>
          <w:lang w:val="en-US" w:eastAsia="zh-CN" w:bidi="ar-SA"/>
        </w:rPr>
        <w:t>中共吕梁市委</w:t>
      </w:r>
      <w:bookmarkEnd w:id="19"/>
      <w:bookmarkStart w:id="21" w:name="_Toc3289_WPSOffice_Level1"/>
      <w:r>
        <w:rPr>
          <w:rFonts w:hint="eastAsia" w:ascii="方正小标宋简体" w:hAnsi="方正小标宋简体" w:eastAsia="方正小标宋简体" w:cs="方正小标宋简体"/>
          <w:color w:val="000000"/>
          <w:spacing w:val="0"/>
          <w:kern w:val="0"/>
          <w:sz w:val="32"/>
          <w:szCs w:val="32"/>
          <w:lang w:val="en-US" w:eastAsia="zh-CN" w:bidi="ar-SA"/>
        </w:rPr>
        <w:t>吕梁市人民政府</w:t>
      </w:r>
      <w:bookmarkEnd w:id="20"/>
      <w:bookmarkEnd w:id="21"/>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22" w:name="_Toc19226_WPSOffice_Level1"/>
      <w:bookmarkStart w:id="23" w:name="_Toc13388"/>
      <w:r>
        <w:rPr>
          <w:rFonts w:hint="eastAsia" w:ascii="方正小标宋简体" w:hAnsi="方正小标宋简体" w:eastAsia="方正小标宋简体" w:cs="方正小标宋简体"/>
          <w:color w:val="000000"/>
          <w:spacing w:val="0"/>
          <w:kern w:val="0"/>
          <w:sz w:val="32"/>
          <w:szCs w:val="32"/>
          <w:lang w:val="en-US" w:eastAsia="zh-CN" w:bidi="ar-SA"/>
        </w:rPr>
        <w:t>关于印发《吕梁市支持民营经济发展</w:t>
      </w:r>
      <w:bookmarkEnd w:id="22"/>
      <w:bookmarkEnd w:id="23"/>
      <w:bookmarkStart w:id="24" w:name="_Toc2761_WPSOffice_Level1"/>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25" w:name="_Toc18130"/>
      <w:r>
        <w:rPr>
          <w:rFonts w:hint="eastAsia" w:ascii="方正小标宋简体" w:hAnsi="方正小标宋简体" w:eastAsia="方正小标宋简体" w:cs="方正小标宋简体"/>
          <w:color w:val="000000"/>
          <w:spacing w:val="0"/>
          <w:kern w:val="0"/>
          <w:sz w:val="32"/>
          <w:szCs w:val="32"/>
          <w:lang w:val="en-US" w:eastAsia="zh-CN" w:bidi="ar-SA"/>
        </w:rPr>
        <w:t>若干措施(试行)》的通知</w:t>
      </w:r>
      <w:bookmarkEnd w:id="24"/>
      <w:bookmarkEnd w:id="25"/>
    </w:p>
    <w:p>
      <w:pPr>
        <w:keepNext w:val="0"/>
        <w:keepLines w:val="0"/>
        <w:pageBreakBefore w:val="0"/>
        <w:widowControl w:val="0"/>
        <w:kinsoku/>
        <w:wordWrap/>
        <w:overflowPunct/>
        <w:topLinePunct w:val="0"/>
        <w:autoSpaceDE/>
        <w:autoSpaceDN/>
        <w:bidi w:val="0"/>
        <w:adjustRightInd/>
        <w:snapToGrid/>
        <w:spacing w:afterAutospacing="0" w:line="500" w:lineRule="exact"/>
        <w:ind w:firstLine="480" w:firstLineChars="200"/>
        <w:jc w:val="center"/>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jc w:val="center"/>
        <w:textAlignment w:val="auto"/>
        <w:rPr>
          <w:rFonts w:hint="eastAsia" w:ascii="仿宋_GB2312" w:hAnsi="仿宋_GB2312" w:eastAsia="仿宋_GB2312" w:cs="仿宋_GB2312"/>
          <w:b/>
          <w:bCs/>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吕发〔2018〕32号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各县市区委</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县市区人民政府</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市委各部委室</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市直各委办局</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各人民团体</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各企事业单位:</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市委</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市政府同意《吕梁市支持民营经济发展若干措施(试行)&gt;</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现印发给你们</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4760" w:firstLineChars="17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中共吕梁市委</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4760" w:firstLineChars="17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吕梁市人民政府</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4760" w:firstLineChars="17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2018年12月25日</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rPr>
          <w:rFonts w:hint="eastAsia" w:ascii="方正小标宋简体" w:hAnsi="方正小标宋简体" w:eastAsia="方正小标宋简体" w:cs="方正小标宋简体"/>
          <w:b w:val="0"/>
          <w:bCs w:val="0"/>
          <w:color w:val="000000" w:themeColor="text1"/>
          <w:spacing w:val="0"/>
          <w:kern w:val="2"/>
          <w:sz w:val="32"/>
          <w:szCs w:val="32"/>
          <w14:textFill>
            <w14:solidFill>
              <w14:schemeClr w14:val="tx1"/>
            </w14:solidFill>
          </w14:textFill>
        </w:rPr>
      </w:pPr>
      <w:bookmarkStart w:id="26" w:name="_Toc28207"/>
      <w:bookmarkStart w:id="27" w:name="_Toc16022_WPSOffice_Level1"/>
      <w:r>
        <w:rPr>
          <w:rFonts w:hint="eastAsia" w:ascii="方正小标宋简体" w:hAnsi="方正小标宋简体" w:eastAsia="方正小标宋简体" w:cs="方正小标宋简体"/>
          <w:b w:val="0"/>
          <w:bCs w:val="0"/>
          <w:color w:val="000000" w:themeColor="text1"/>
          <w:spacing w:val="0"/>
          <w:kern w:val="2"/>
          <w:sz w:val="32"/>
          <w:szCs w:val="32"/>
          <w14:textFill>
            <w14:solidFill>
              <w14:schemeClr w14:val="tx1"/>
            </w14:solidFill>
          </w14:textFill>
        </w:rPr>
        <w:br w:type="page"/>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pacing w:val="0"/>
          <w:kern w:val="2"/>
          <w:sz w:val="32"/>
          <w:szCs w:val="32"/>
          <w14:textFill>
            <w14:solidFill>
              <w14:schemeClr w14:val="tx1"/>
            </w14:solidFill>
          </w14:textFill>
        </w:rPr>
      </w:pPr>
      <w:bookmarkStart w:id="28" w:name="_Toc16406"/>
      <w:r>
        <w:rPr>
          <w:rFonts w:hint="eastAsia" w:ascii="方正小标宋简体" w:hAnsi="方正小标宋简体" w:eastAsia="方正小标宋简体" w:cs="方正小标宋简体"/>
          <w:b w:val="0"/>
          <w:bCs w:val="0"/>
          <w:color w:val="000000" w:themeColor="text1"/>
          <w:spacing w:val="0"/>
          <w:kern w:val="2"/>
          <w:sz w:val="32"/>
          <w:szCs w:val="32"/>
          <w14:textFill>
            <w14:solidFill>
              <w14:schemeClr w14:val="tx1"/>
            </w14:solidFill>
          </w14:textFill>
        </w:rPr>
        <w:t>吕梁市支持民营经济发展</w:t>
      </w:r>
      <w:bookmarkEnd w:id="26"/>
      <w:bookmarkEnd w:id="27"/>
      <w:bookmarkEnd w:id="28"/>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center"/>
        <w:textAlignment w:val="auto"/>
        <w:rPr>
          <w:rFonts w:hint="eastAsia" w:ascii="方正小标宋简体" w:hAnsi="方正小标宋简体" w:eastAsia="方正小标宋简体" w:cs="方正小标宋简体"/>
          <w:b/>
          <w:bCs/>
          <w:color w:val="000000" w:themeColor="text1"/>
          <w:spacing w:val="0"/>
          <w:kern w:val="2"/>
          <w:sz w:val="32"/>
          <w:szCs w:val="32"/>
          <w14:textFill>
            <w14:solidFill>
              <w14:schemeClr w14:val="tx1"/>
            </w14:solidFill>
          </w14:textFill>
        </w:rPr>
      </w:pPr>
      <w:bookmarkStart w:id="29" w:name="_Toc22970"/>
      <w:bookmarkStart w:id="30" w:name="_Toc25624_WPSOffice_Level1"/>
      <w:bookmarkStart w:id="31" w:name="_Toc10615"/>
      <w:r>
        <w:rPr>
          <w:rFonts w:hint="eastAsia" w:ascii="方正小标宋简体" w:hAnsi="方正小标宋简体" w:eastAsia="方正小标宋简体" w:cs="方正小标宋简体"/>
          <w:b w:val="0"/>
          <w:bCs w:val="0"/>
          <w:color w:val="000000" w:themeColor="text1"/>
          <w:spacing w:val="0"/>
          <w:kern w:val="2"/>
          <w:sz w:val="32"/>
          <w:szCs w:val="32"/>
          <w14:textFill>
            <w14:solidFill>
              <w14:schemeClr w14:val="tx1"/>
            </w14:solidFill>
          </w14:textFill>
        </w:rPr>
        <w:t>若干措施(试行)</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afterAutospacing="0" w:line="50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民营经济是我市经济社会发展的重要组成部分</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是转型发展的重要支撑。截至2017年底</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民营经济占到了全市市场主体的90%左右</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创造了50%以上的经济总量</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贡献了近70%的税收收入和就业岗位</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覆盖了农业</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装备制造</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生物医药、能源化工等各个领域。支持民营经济发展对我市转型发展、创新发展、健康发展具有重要意义。为了认真贯彻落实习近平总书记在民营企业座谈会上的重要讲话精神</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贯彻落实省委</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省政府《关于支持民营经济发展的若干意见》(晋发[2018]37号)</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结合实际</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制定如下配套政策措施。</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黑体" w:hAnsi="黑体" w:eastAsia="黑体" w:cs="黑体"/>
          <w:b w:val="0"/>
          <w:bCs w:val="0"/>
          <w:color w:val="000000" w:themeColor="text1"/>
          <w:spacing w:val="0"/>
          <w:sz w:val="28"/>
          <w:szCs w:val="28"/>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一、支持民营企业引进人才和实施科技创新</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1.支持民营企业开展产学研合作。</w:t>
      </w:r>
      <w:r>
        <w:rPr>
          <w:rFonts w:hint="eastAsia" w:ascii="仿宋_GB2312" w:hAnsi="仿宋_GB2312" w:eastAsia="仿宋_GB2312" w:cs="仿宋_GB2312"/>
          <w:color w:val="000000" w:themeColor="text1"/>
          <w:spacing w:val="0"/>
          <w:sz w:val="28"/>
          <w:szCs w:val="28"/>
          <w14:textFill>
            <w14:solidFill>
              <w14:schemeClr w14:val="tx1"/>
            </w14:solidFill>
          </w14:textFill>
        </w:rPr>
        <w:t>鼓励企业主动联系对接高校、科研院所</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开展校企、企业专家多元化合作。对创建国家级、省级、市级重点实验室(工程技术研究中心、科技孵化中心、中试基地)一次性分别给予500万元、300万元、100万元建设经费支持。(牵头单位：市财政局</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市科技局、市中小企业局、市工商联</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市人才办)</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2.继续实施“百千万人才工程”。</w:t>
      </w:r>
      <w:r>
        <w:rPr>
          <w:rFonts w:hint="eastAsia" w:ascii="仿宋_GB2312" w:hAnsi="仿宋_GB2312" w:eastAsia="仿宋_GB2312" w:cs="仿宋_GB2312"/>
          <w:color w:val="000000" w:themeColor="text1"/>
          <w:spacing w:val="0"/>
          <w:sz w:val="28"/>
          <w:szCs w:val="28"/>
          <w14:textFill>
            <w14:solidFill>
              <w14:schemeClr w14:val="tx1"/>
            </w14:solidFill>
          </w14:textFill>
        </w:rPr>
        <w:t>对引进的“两院”院士、高技能领军人才和博士研究生</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为民营企业发展提供决策咨询、项目指导</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技术支持等服务</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根据在吕梁实际工作天数</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分别给予6000元/天、2000元/天、1000元/天、500元/天工作津贴。(牵头单位：市财政局、市科技局、市中小企业局、市工商联、市人才办)</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3.支持民营企业加大研发投入。</w:t>
      </w:r>
      <w:r>
        <w:rPr>
          <w:rFonts w:hint="eastAsia" w:ascii="仿宋_GB2312" w:hAnsi="仿宋_GB2312" w:eastAsia="仿宋_GB2312" w:cs="仿宋_GB2312"/>
          <w:color w:val="000000" w:themeColor="text1"/>
          <w:spacing w:val="0"/>
          <w:sz w:val="28"/>
          <w:szCs w:val="28"/>
          <w14:textFill>
            <w14:solidFill>
              <w14:schemeClr w14:val="tx1"/>
            </w14:solidFill>
          </w14:textFill>
        </w:rPr>
        <w:t>对研发经费投入强度全市排名前十位的企业</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根据其研发投入给予一定科研经费奖励。对营业收入1000万元及以上的企业最高奖励50万元</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对营业收入在5000万元至1亿元的最高奖励100万元</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对营业收入1亿元及以上的最高奖励200万元。对首次通过国家认定的高新技术企业</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一次性最高奖励10万元。对连续3次通过国家认定的高新技术企业，一次性最高奖励20万元。(牵头单位：市科技局、市财政局、市中小企业局)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4.支持科技成果转化。</w:t>
      </w:r>
      <w:r>
        <w:rPr>
          <w:rFonts w:hint="eastAsia" w:ascii="仿宋_GB2312" w:hAnsi="仿宋_GB2312" w:eastAsia="仿宋_GB2312" w:cs="仿宋_GB2312"/>
          <w:color w:val="000000" w:themeColor="text1"/>
          <w:spacing w:val="0"/>
          <w:sz w:val="28"/>
          <w:szCs w:val="28"/>
          <w14:textFill>
            <w14:solidFill>
              <w14:schemeClr w14:val="tx1"/>
            </w14:solidFill>
          </w14:textFill>
        </w:rPr>
        <w:t>对科技成果转化在我市的企业、高校、科研院所</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按其技术合同成交并实际到账额</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给予技术输出方3%的补助</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单个科技成果</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省一级最高补助10万元</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国家级最高补助50万元。中介服务机构促成转化交易的，奖励3万元；重大转化项目可适当增加奖励</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最高奖励10万元。(牵头单位：市财政局、市科技局、市中小企业局)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黑体" w:hAnsi="黑体" w:eastAsia="黑体" w:cs="黑体"/>
          <w:b w:val="0"/>
          <w:bCs w:val="0"/>
          <w:color w:val="000000" w:themeColor="text1"/>
          <w:spacing w:val="0"/>
          <w:sz w:val="28"/>
          <w:szCs w:val="28"/>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二、支持民营企业多渠道融资</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b/>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5.加大信贷支持力度。</w:t>
      </w:r>
      <w:r>
        <w:rPr>
          <w:rFonts w:hint="eastAsia" w:ascii="仿宋_GB2312" w:hAnsi="仿宋_GB2312" w:eastAsia="仿宋_GB2312" w:cs="仿宋_GB2312"/>
          <w:color w:val="000000" w:themeColor="text1"/>
          <w:spacing w:val="0"/>
          <w:sz w:val="28"/>
          <w:szCs w:val="28"/>
          <w14:textFill>
            <w14:solidFill>
              <w14:schemeClr w14:val="tx1"/>
            </w14:solidFill>
          </w14:textFill>
        </w:rPr>
        <w:t>各银行机构要按照中国银保监会关于民营企业贷款“125”方向性指标的要求</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在不放松信贷标准的基础上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进一步加大对民营企业的投信支持</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力争2019年新增授信80亿元、2020年新增授信90亿元以上。地方法人银行机构要积极开展小微企业金融服务工作</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实现单户授信额度1000万元以下(含)小微企业贷款同比增速不低于各类贷款同比增速</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有贷款余额的户数不低于上年同期水平</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合理控制小微企业贷款资产质量水平和贷款综合成本水平。(牵头单位：市金融事务服务中心、人行吕梁市中心支行、吕梁银监分局、市中小企业局)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6.推广应用金融信贷“吕梁模式”。</w:t>
      </w:r>
      <w:r>
        <w:rPr>
          <w:rFonts w:hint="eastAsia" w:ascii="仿宋_GB2312" w:hAnsi="仿宋_GB2312" w:eastAsia="仿宋_GB2312" w:cs="仿宋_GB2312"/>
          <w:color w:val="000000" w:themeColor="text1"/>
          <w:spacing w:val="0"/>
          <w:sz w:val="28"/>
          <w:szCs w:val="28"/>
          <w14:textFill>
            <w14:solidFill>
              <w14:schemeClr w14:val="tx1"/>
            </w14:solidFill>
          </w14:textFill>
        </w:rPr>
        <w:t>在落实好《吕梁市农业产业扶贫贷款风险补偿基金实施方案》</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支持农业龙头企业发展壮大的基础上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市县政府设立中小微企业贷款风险补偿基金</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撬动金融机构放大贷款规模</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对转型发展科技型、战略性新兴产业的中小微企业给予信贷支持。(牵头单位：市财政局、市金融事务服务中心、人行吕梁市中心支行、吕梁银监分局、市中小企业局、各县市区政府)</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7.支持民营企业直接融资。</w:t>
      </w:r>
      <w:r>
        <w:rPr>
          <w:rFonts w:hint="eastAsia" w:ascii="仿宋_GB2312" w:hAnsi="仿宋_GB2312" w:eastAsia="仿宋_GB2312" w:cs="仿宋_GB2312"/>
          <w:color w:val="000000" w:themeColor="text1"/>
          <w:spacing w:val="0"/>
          <w:sz w:val="28"/>
          <w:szCs w:val="28"/>
          <w14:textFill>
            <w14:solidFill>
              <w14:schemeClr w14:val="tx1"/>
            </w14:solidFill>
          </w14:textFill>
        </w:rPr>
        <w:t>鼓励民营企业引进各类战略投资者</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实施股份制改造。对在沪深两地主板、中小企业板、创业板、科创板上市的企业</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在省级200万元奖励的基础上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再奖励200万元；对在全国股转系统挂牌的企业</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在省级100万元奖励的基础上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再奖励100万元；对在山西股权交易中心挂牌</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进行股份制改造并融资成功的企业</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在省级20万元奖励的基础上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再奖励20万元；对当年入库中小企业完成股份制改造的</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在省级50万元奖励的基础上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再奖励50万元。(牵头单位：市财政局、市金融事务服务中心、市中小企业局、各县市区政府)</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8.优化应急转贷资金服务。</w:t>
      </w:r>
      <w:r>
        <w:rPr>
          <w:rFonts w:hint="eastAsia" w:ascii="仿宋_GB2312" w:hAnsi="仿宋_GB2312" w:eastAsia="仿宋_GB2312" w:cs="仿宋_GB2312"/>
          <w:color w:val="000000" w:themeColor="text1"/>
          <w:spacing w:val="0"/>
          <w:sz w:val="28"/>
          <w:szCs w:val="28"/>
          <w14:textFill>
            <w14:solidFill>
              <w14:schemeClr w14:val="tx1"/>
            </w14:solidFill>
          </w14:textFill>
        </w:rPr>
        <w:t>市级建立2亿元的应急转贷资金</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各县市区建立规模不低于2000万元的应急转贷资金</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市县两级形成5亿元左右的转贷周转资金规模。继续优化应急转贷资金运作方案，提高转贷资金运转效率，提升单笔资金使用额度</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在防范风险的同时有效降低资金使用成本。(牵头单位：市财政局、市金融事务服务中心、吕梁银监分局、各县市区政府)</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9.提高融资担保水平。</w:t>
      </w:r>
      <w:r>
        <w:rPr>
          <w:rFonts w:hint="eastAsia" w:ascii="仿宋_GB2312" w:hAnsi="仿宋_GB2312" w:eastAsia="仿宋_GB2312" w:cs="仿宋_GB2312"/>
          <w:color w:val="000000" w:themeColor="text1"/>
          <w:spacing w:val="0"/>
          <w:sz w:val="28"/>
          <w:szCs w:val="28"/>
          <w14:textFill>
            <w14:solidFill>
              <w14:schemeClr w14:val="tx1"/>
            </w14:solidFill>
          </w14:textFill>
        </w:rPr>
        <w:t>充分发挥政府出资设立的融资性担保公司作用</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通过注资和整合现有资源</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充实增加市中小企业融资担保公司资本金</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提升担保能力</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县市区政府出资设立的融资性担保公司要全面启动运营</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降低担保费率</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放宽盈利性考核指标</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有效弥补民营企业贷款抵(质)押物不足的问题。(牵头单位：市财政局、市金融事务服务中心、吕梁银监分局、市中小企业局)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10.搭建政企银信息交流平台。</w:t>
      </w:r>
      <w:r>
        <w:rPr>
          <w:rFonts w:hint="eastAsia" w:ascii="仿宋_GB2312" w:hAnsi="仿宋_GB2312" w:eastAsia="仿宋_GB2312" w:cs="仿宋_GB2312"/>
          <w:color w:val="000000" w:themeColor="text1"/>
          <w:spacing w:val="0"/>
          <w:sz w:val="28"/>
          <w:szCs w:val="28"/>
          <w14:textFill>
            <w14:solidFill>
              <w14:schemeClr w14:val="tx1"/>
            </w14:solidFill>
          </w14:textFill>
        </w:rPr>
        <w:t>充分发挥政银企对接平台作用</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定期不定期组织筛选全市范围内有融资需求的优质企业(项目)</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主动向驻市金融机构推荐对接</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并做好后续跟踪服务。进一步开展“银税互动”</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推动"银政企保”合作。建立健全对民营企业投信业务的尽职免责和容错纠错机制</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把银行业绩考核同支持民营经济发展挂钩</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激励银行加大对民营企业的信贷支持力度。(牵头单位：市财政局、市金融事务服务中心、市税务局、吕梁银监分局、市中小企业局、人行吕梁市中心支行)</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黑体" w:hAnsi="黑体" w:eastAsia="黑体" w:cs="黑体"/>
          <w:b w:val="0"/>
          <w:bCs w:val="0"/>
          <w:color w:val="000000" w:themeColor="text1"/>
          <w:spacing w:val="0"/>
          <w:sz w:val="28"/>
          <w:szCs w:val="28"/>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三、保障民营企业用地</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11.优先保障土地指标。</w:t>
      </w:r>
      <w:r>
        <w:rPr>
          <w:rFonts w:hint="eastAsia" w:ascii="仿宋_GB2312" w:hAnsi="仿宋_GB2312" w:eastAsia="仿宋_GB2312" w:cs="仿宋_GB2312"/>
          <w:color w:val="000000" w:themeColor="text1"/>
          <w:spacing w:val="0"/>
          <w:sz w:val="28"/>
          <w:szCs w:val="28"/>
          <w14:textFill>
            <w14:solidFill>
              <w14:schemeClr w14:val="tx1"/>
            </w14:solidFill>
          </w14:textFill>
        </w:rPr>
        <w:t>推进“标准地”出让改革。积极推进开发区土地储备，收储一批熟地，对省、市确定的优先发展产业且用地集约的项目，特别是进入各类开发区的重点项目，优先土地供应。对市级优先发展产业且用地集约的工业项目，土地出让底价可按不低于土地等别相对应《全国工业用地出让最低价标准》的70%执行。(牵头单位:市国土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12.降低民营企业用地咸本。</w:t>
      </w:r>
      <w:r>
        <w:rPr>
          <w:rFonts w:hint="eastAsia" w:ascii="仿宋_GB2312" w:hAnsi="仿宋_GB2312" w:eastAsia="仿宋_GB2312" w:cs="仿宋_GB2312"/>
          <w:color w:val="000000" w:themeColor="text1"/>
          <w:spacing w:val="0"/>
          <w:sz w:val="28"/>
          <w:szCs w:val="28"/>
          <w14:textFill>
            <w14:solidFill>
              <w14:schemeClr w14:val="tx1"/>
            </w14:solidFill>
          </w14:textFill>
        </w:rPr>
        <w:t>一是对符合城建规划、不改变用途的现有工业用地，通过厂房加层、老厂改造、内部整理等途径提高土地利用率和增加容积率的，不再增收土地价款。二是对确需使用土地利用总体规划确定的城镇建设用地范围外的国有未利用地，且土地前期开发由土地使用者自行完成的工业项目用地，在确定土地出让价格时，可按不低于所在地土地等别相对应标准15%执行。使用土地利用总体规划确定的城镇建设用地范围内的国有未利用地，可按不低于所在地土地等别相对应标准的50%执行。三是工业项目按照此规定拟定的出让底价低于该项目实际土地取得成本、土地前期开发成本和按规定应收取的相关费用之和的，应按不低于实际各项成本之和的原则确定出让底价。(牵头单位：市国土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13.拓宽工业用地供应方式。</w:t>
      </w:r>
      <w:r>
        <w:rPr>
          <w:rFonts w:hint="eastAsia" w:ascii="仿宋_GB2312" w:hAnsi="仿宋_GB2312" w:eastAsia="仿宋_GB2312" w:cs="仿宋_GB2312"/>
          <w:color w:val="000000" w:themeColor="text1"/>
          <w:spacing w:val="0"/>
          <w:sz w:val="28"/>
          <w:szCs w:val="28"/>
          <w14:textFill>
            <w14:solidFill>
              <w14:schemeClr w14:val="tx1"/>
            </w14:solidFill>
          </w14:textFill>
        </w:rPr>
        <w:t>在供应工业用地时，可灵活选择长期租赁、租让结合、先租后让、弹性出让等方式，采取长期租赁方式供地的，可以调整为出让供地；采取弹性年期出让的，届满符合产业导向的项目，可依法续期；以长期租赁、先租后让、弹性年期出让等方式取得土地使用权的，在使用年期内可依法转租、转让或抵押。牵头单位：（市国土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黑体" w:cs="仿宋_GB2312"/>
          <w:color w:val="000000" w:themeColor="text1"/>
          <w:spacing w:val="0"/>
          <w:sz w:val="28"/>
          <w:szCs w:val="28"/>
          <w:lang w:eastAsia="zh-CN"/>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四、降低民营企业用电用气成本</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14．深化电力体制改革。</w:t>
      </w:r>
      <w:r>
        <w:rPr>
          <w:rFonts w:hint="eastAsia" w:ascii="仿宋_GB2312" w:hAnsi="仿宋_GB2312" w:eastAsia="仿宋_GB2312" w:cs="仿宋_GB2312"/>
          <w:color w:val="000000" w:themeColor="text1"/>
          <w:spacing w:val="0"/>
          <w:sz w:val="28"/>
          <w:szCs w:val="28"/>
          <w14:textFill>
            <w14:solidFill>
              <w14:schemeClr w14:val="tx1"/>
            </w14:solidFill>
          </w14:textFill>
        </w:rPr>
        <w:t>加快建设增量配电网，对进入省级开发区的民营转型企业，在省对一般工业用电价格降低10％以上的基础上，对新增用电量给予补贴。精简小微企业办电手续，以160千伏安及以下低压报装为重点，全面落实低压“一站式”服务、“先接后改”“就近接入”等措施，确保报装环节、时长、成本全面压降到要求。实现小微企业用电报装环节由6个压缩到2个，平均接电时长压缩至不超过10个工作日。（牵头单位：市发改委、市经信委、市财政局、国网吕梁供电公司、地电吕梁分公司）</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15．降低民营企业用气成本。</w:t>
      </w:r>
      <w:r>
        <w:rPr>
          <w:rFonts w:hint="eastAsia" w:ascii="仿宋_GB2312" w:hAnsi="仿宋_GB2312" w:eastAsia="仿宋_GB2312" w:cs="仿宋_GB2312"/>
          <w:color w:val="000000" w:themeColor="text1"/>
          <w:spacing w:val="0"/>
          <w:sz w:val="28"/>
          <w:szCs w:val="28"/>
          <w14:textFill>
            <w14:solidFill>
              <w14:schemeClr w14:val="tx1"/>
            </w14:solidFill>
          </w14:textFill>
        </w:rPr>
        <w:t>对纳入全市支柱产业、优势产业的民营企业天然气用户，支持改“转供”为“直供”，减少中间环节，并根据用气量大小，通过减免燃气工程安装费、季节差价或阶梯价格等优惠方式，降低企业用气价格。（牵头单位：市发改委、市财政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黑体" w:hAnsi="黑体" w:eastAsia="黑体" w:cs="黑体"/>
          <w:b w:val="0"/>
          <w:bCs w:val="0"/>
          <w:color w:val="000000" w:themeColor="text1"/>
          <w:spacing w:val="0"/>
          <w:sz w:val="28"/>
          <w:szCs w:val="28"/>
          <w:lang w:eastAsia="zh-CN"/>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五、降低民营企业税费负担</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16．减轻民营企业税费。</w:t>
      </w:r>
      <w:r>
        <w:rPr>
          <w:rFonts w:hint="eastAsia" w:ascii="仿宋_GB2312" w:hAnsi="仿宋_GB2312" w:eastAsia="仿宋_GB2312" w:cs="仿宋_GB2312"/>
          <w:color w:val="000000" w:themeColor="text1"/>
          <w:spacing w:val="0"/>
          <w:sz w:val="28"/>
          <w:szCs w:val="28"/>
          <w14:textFill>
            <w14:solidFill>
              <w14:schemeClr w14:val="tx1"/>
            </w14:solidFill>
          </w14:textFill>
        </w:rPr>
        <w:t>全面落实国家税费优惠政策，推进增值税等实质性减税。对小微企业、科技型初创企业实施普惠性税收免除，适时降低城镇土地使用税适用税额。对确有特殊困难而不能按期缴纳税款的民营企业，通过依法办理税款延期滞纳等方式，帮助企业缓解资金压力。严格防范逃避税行为，规范税收征管和检查，避免因不当征税导致正常运行的企业停摆。清理规范涉企政府性基金和行政事业性收费。落实国家降低社保费率的政策，稳定缴费方式，确保总体上不增加企业负担，确保企业社保缴费实际负担有实质性下降。在机构改革中确保社保费现有征收政策稳定</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严禁自行对企业历史欠费进行集中清缴。规范工程建设领域保证金管理，切实降低企业运行成本。加快推进省定涉企行政事业性收费零收费。规范中介服务，严禁变相提高收费标准。2019年全年为民营企业减免税费25亿元以上。(牵头单位：市财政局、市人社局、市税务局、市科技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黑体" w:hAnsi="黑体" w:eastAsia="黑体" w:cs="黑体"/>
          <w:b w:val="0"/>
          <w:bCs w:val="0"/>
          <w:color w:val="000000" w:themeColor="text1"/>
          <w:spacing w:val="0"/>
          <w:sz w:val="28"/>
          <w:szCs w:val="28"/>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六、支持民营企业转型升级</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17.加快市场主体培育。</w:t>
      </w:r>
      <w:r>
        <w:rPr>
          <w:rFonts w:hint="eastAsia" w:ascii="仿宋_GB2312" w:hAnsi="仿宋_GB2312" w:eastAsia="仿宋_GB2312" w:cs="仿宋_GB2312"/>
          <w:color w:val="000000" w:themeColor="text1"/>
          <w:spacing w:val="0"/>
          <w:sz w:val="28"/>
          <w:szCs w:val="28"/>
          <w14:textFill>
            <w14:solidFill>
              <w14:schemeClr w14:val="tx1"/>
            </w14:solidFill>
          </w14:textFill>
        </w:rPr>
        <w:t>按照宜大则大，宜精则精的原则，构建“个转企、小升规、规改股、股上市”的梯次培育机制。从2018年起，对首次上规入统的中小微工业企业奖励5万元；上规入统后连续2年未退出规模以上工业企业库的，在省级5万元奖励基础上，再给予5万元的奖励；连续3年的，在省级10万元奖励基础上</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再给予10万元的奖励。从2018年起，给予“小升规”企业3年的适应调整期，3年内保持税收负担总体不增</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可继续享受相关税收优惠政策。(牵头单位：市委统战部、市财政局、市金融事务服务中心、市中小企业局、市税务局、市工商联)</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18.推动民营企业高质量发展。</w:t>
      </w:r>
      <w:r>
        <w:rPr>
          <w:rFonts w:hint="eastAsia" w:ascii="仿宋_GB2312" w:hAnsi="仿宋_GB2312" w:eastAsia="仿宋_GB2312" w:cs="仿宋_GB2312"/>
          <w:color w:val="000000" w:themeColor="text1"/>
          <w:spacing w:val="0"/>
          <w:sz w:val="28"/>
          <w:szCs w:val="28"/>
          <w14:textFill>
            <w14:solidFill>
              <w14:schemeClr w14:val="tx1"/>
            </w14:solidFill>
          </w14:textFill>
        </w:rPr>
        <w:t>对获得中国质量奖、提名奖的企业，在省奖励基础上市财政分别奖励200万元、100万元；获得山西省质量奖，提名奖的企业，在省奖励的基础上市财政分别奖励50万元、30万元。对进入全国民营企业500强</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山西民营企业100强的企业，在省财政奖励的基础上市财政分别奖励50万元、30万元。(牵头单位：市财政局、市中小企业局)</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黑体" w:hAnsi="黑体" w:eastAsia="黑体" w:cs="黑体"/>
          <w:b w:val="0"/>
          <w:bCs w:val="0"/>
          <w:color w:val="000000" w:themeColor="text1"/>
          <w:spacing w:val="0"/>
          <w:sz w:val="28"/>
          <w:szCs w:val="28"/>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七、创优民营企业发展环境</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19.促进民营企业家队伍健康成长。</w:t>
      </w:r>
      <w:r>
        <w:rPr>
          <w:rFonts w:hint="eastAsia" w:ascii="仿宋_GB2312" w:hAnsi="仿宋_GB2312" w:eastAsia="仿宋_GB2312" w:cs="仿宋_GB2312"/>
          <w:color w:val="000000" w:themeColor="text1"/>
          <w:spacing w:val="0"/>
          <w:sz w:val="28"/>
          <w:szCs w:val="28"/>
          <w14:textFill>
            <w14:solidFill>
              <w14:schemeClr w14:val="tx1"/>
            </w14:solidFill>
          </w14:textFill>
        </w:rPr>
        <w:t>坚持引进来和走出去相结合，组织实施好“三个一”经营者素质能力提升工程，特别是100名优秀企业家的高端培训和1000名企业中层管理人员培训；组织推荐新生代、“创二代”企业家赴沿海沿江先进企业挂职锻炼；邀请国内外资深专家学者和卓越企业家来吕梁开展大讲坛，努力造就一支勇立潮头的民营企业家队伍。(牵头单位：市中小企业局、市人才办、市委统战部、市工商联)</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0"/>
          <w:sz w:val="28"/>
          <w:szCs w:val="28"/>
          <w14:textFill>
            <w14:solidFill>
              <w14:schemeClr w14:val="tx1"/>
            </w14:solidFill>
          </w14:textFill>
        </w:rPr>
        <w:t>20.构建亲清新型政商关系。</w:t>
      </w:r>
      <w:r>
        <w:rPr>
          <w:rFonts w:hint="eastAsia" w:ascii="仿宋_GB2312" w:hAnsi="仿宋_GB2312" w:eastAsia="仿宋_GB2312" w:cs="仿宋_GB2312"/>
          <w:color w:val="000000" w:themeColor="text1"/>
          <w:spacing w:val="0"/>
          <w:sz w:val="28"/>
          <w:szCs w:val="28"/>
          <w14:textFill>
            <w14:solidFill>
              <w14:schemeClr w14:val="tx1"/>
            </w14:solidFill>
          </w14:textFill>
        </w:rPr>
        <w:t>加快推进行政审批制度改革，打造“六最营商环境”。进一步完善领导干部联系民营企业工作制度、促进民营经济发展市长联络员制度、民营企业书记市长直通车制度以及促进民营经济发展工作领导组例会制度</w:t>
      </w:r>
      <w:r>
        <w:rPr>
          <w:rFonts w:hint="default" w:ascii="仿宋_GB2312" w:hAnsi="仿宋_GB2312" w:eastAsia="仿宋_GB2312" w:cs="仿宋_GB2312"/>
          <w:color w:val="000000" w:themeColor="text1"/>
          <w:spacing w:val="0"/>
          <w:sz w:val="28"/>
          <w:szCs w:val="28"/>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市级领导干部每人联系4户民营企业，县级领导干部根据各县市区实际确定联系民营企业数，定期通报情况、听取意见，及时解决企业反映的问题，大力支持民营经济发展。(牵头单位：市委统战部、市经信委、市中小企业局、市工商联、各县市区党委政府)</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各牵头单位要于本文件印发之日起1个月内制定出台具体可操作的实施细则，并负责组织实施，确保优化服务、简化程序、提高效率。各县市区要根据本文件精神，结合本地工作实际，进一步加大支持力度。各级各部门要按分工将政策措施宣传贯彻落实到民营企业。</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(此件公开发布)</w:t>
      </w:r>
    </w:p>
    <w:p>
      <w:pPr>
        <w:pStyle w:val="2"/>
        <w:keepNext w:val="0"/>
        <w:keepLines w:val="0"/>
        <w:pageBreakBefore w:val="0"/>
        <w:wordWrap/>
        <w:topLinePunct w:val="0"/>
        <w:bidi w:val="0"/>
        <w:spacing w:afterAutospacing="0" w:line="500" w:lineRule="exact"/>
        <w:textAlignment w:val="auto"/>
        <w:rPr>
          <w:rFonts w:hint="eastAsia"/>
          <w:spacing w:val="0"/>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textAlignment w:val="auto"/>
        <w:rPr>
          <w:rFonts w:hint="eastAsia" w:asciiTheme="minorEastAsia" w:hAnsiTheme="minorEastAsia" w:eastAsiaTheme="minorEastAsia" w:cstheme="minorEastAsia"/>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kern w:val="2"/>
          <w:sz w:val="32"/>
          <w:szCs w:val="32"/>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kern w:val="2"/>
          <w:sz w:val="32"/>
          <w:szCs w:val="32"/>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spacing w:val="0"/>
          <w:kern w:val="2"/>
          <w:sz w:val="32"/>
          <w:szCs w:val="32"/>
        </w:rPr>
      </w:pPr>
    </w:p>
    <w:p>
      <w:pPr>
        <w:pStyle w:val="2"/>
        <w:keepNext w:val="0"/>
        <w:keepLines w:val="0"/>
        <w:pageBreakBefore w:val="0"/>
        <w:wordWrap/>
        <w:topLinePunct w:val="0"/>
        <w:bidi w:val="0"/>
        <w:spacing w:afterAutospacing="0" w:line="500" w:lineRule="exact"/>
        <w:textAlignment w:val="auto"/>
        <w:rPr>
          <w:rFonts w:hint="eastAsia" w:ascii="方正小标宋简体" w:hAnsi="方正小标宋简体" w:eastAsia="方正小标宋简体" w:cs="方正小标宋简体"/>
          <w:b w:val="0"/>
          <w:bCs w:val="0"/>
          <w:color w:val="000000"/>
          <w:spacing w:val="0"/>
          <w:kern w:val="2"/>
          <w:sz w:val="32"/>
          <w:szCs w:val="32"/>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spacing w:val="0"/>
          <w:kern w:val="2"/>
          <w:sz w:val="32"/>
          <w:szCs w:val="32"/>
        </w:rPr>
      </w:pPr>
    </w:p>
    <w:p>
      <w:pPr>
        <w:keepNext w:val="0"/>
        <w:keepLines w:val="0"/>
        <w:pageBreakBefore w:val="0"/>
        <w:wordWrap/>
        <w:topLinePunct w:val="0"/>
        <w:bidi w:val="0"/>
        <w:spacing w:afterAutospacing="0" w:line="500" w:lineRule="exact"/>
        <w:textAlignment w:val="auto"/>
        <w:rPr>
          <w:rFonts w:hint="eastAsia" w:ascii="方正小标宋简体" w:hAnsi="方正小标宋简体" w:eastAsia="方正小标宋简体" w:cs="方正小标宋简体"/>
          <w:b w:val="0"/>
          <w:bCs w:val="0"/>
          <w:color w:val="000000"/>
          <w:spacing w:val="0"/>
          <w:kern w:val="2"/>
          <w:sz w:val="44"/>
          <w:szCs w:val="44"/>
        </w:rPr>
      </w:pPr>
      <w:bookmarkStart w:id="32" w:name="_Toc9349_WPSOffice_Level1"/>
      <w:r>
        <w:rPr>
          <w:rFonts w:hint="eastAsia" w:ascii="方正小标宋简体" w:hAnsi="方正小标宋简体" w:eastAsia="方正小标宋简体" w:cs="方正小标宋简体"/>
          <w:b w:val="0"/>
          <w:bCs w:val="0"/>
          <w:color w:val="000000"/>
          <w:spacing w:val="0"/>
          <w:kern w:val="2"/>
          <w:sz w:val="44"/>
          <w:szCs w:val="44"/>
        </w:rPr>
        <w:br w:type="page"/>
      </w:r>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33" w:name="_Toc30395"/>
      <w:r>
        <w:rPr>
          <w:rFonts w:hint="eastAsia" w:ascii="方正小标宋简体" w:hAnsi="方正小标宋简体" w:eastAsia="方正小标宋简体" w:cs="方正小标宋简体"/>
          <w:color w:val="000000"/>
          <w:spacing w:val="0"/>
          <w:kern w:val="0"/>
          <w:sz w:val="32"/>
          <w:szCs w:val="32"/>
          <w:lang w:val="en-US" w:eastAsia="zh-CN" w:bidi="ar-SA"/>
        </w:rPr>
        <w:t>中共吕梁市委</w:t>
      </w:r>
      <w:bookmarkEnd w:id="32"/>
      <w:bookmarkEnd w:id="33"/>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34" w:name="_Toc6121"/>
      <w:bookmarkStart w:id="35" w:name="_Toc13648_WPSOffice_Level1"/>
      <w:r>
        <w:rPr>
          <w:rFonts w:hint="eastAsia" w:ascii="方正小标宋简体" w:hAnsi="方正小标宋简体" w:eastAsia="方正小标宋简体" w:cs="方正小标宋简体"/>
          <w:color w:val="000000"/>
          <w:spacing w:val="0"/>
          <w:kern w:val="0"/>
          <w:sz w:val="32"/>
          <w:szCs w:val="32"/>
          <w:lang w:val="en-US" w:eastAsia="zh-CN" w:bidi="ar-SA"/>
        </w:rPr>
        <w:t>关于构建亲清新型政商关系的实施意见</w:t>
      </w:r>
      <w:bookmarkEnd w:id="34"/>
      <w:bookmarkEnd w:id="35"/>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500" w:lineRule="exact"/>
        <w:ind w:left="0" w:leftChars="0" w:right="0" w:rightChars="0" w:firstLine="0" w:firstLineChars="0"/>
        <w:jc w:val="center"/>
        <w:textAlignment w:val="auto"/>
        <w:outlineLvl w:val="9"/>
        <w:rPr>
          <w:rFonts w:hint="eastAsia" w:ascii="楷体_GB2312" w:hAnsi="楷体_GB2312" w:eastAsia="楷体_GB2312"/>
          <w:spacing w:val="0"/>
          <w:sz w:val="32"/>
          <w:szCs w:val="32"/>
          <w:lang w:eastAsia="zh-CN"/>
        </w:rPr>
      </w:pPr>
    </w:p>
    <w:p>
      <w:pPr>
        <w:keepNext w:val="0"/>
        <w:keepLines w:val="0"/>
        <w:pageBreakBefore w:val="0"/>
        <w:wordWrap/>
        <w:topLinePunct w:val="0"/>
        <w:bidi w:val="0"/>
        <w:spacing w:afterAutospacing="0" w:line="500" w:lineRule="exact"/>
        <w:ind w:left="0" w:leftChars="0" w:right="0" w:rightChars="0" w:firstLine="0" w:firstLineChars="0"/>
        <w:jc w:val="center"/>
        <w:textAlignment w:val="auto"/>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吕发〔201</w:t>
      </w:r>
      <w:r>
        <w:rPr>
          <w:rFonts w:hint="eastAsia" w:ascii="仿宋_GB2312" w:hAnsi="仿宋_GB2312" w:eastAsia="仿宋_GB2312" w:cs="仿宋_GB2312"/>
          <w:color w:val="000000"/>
          <w:spacing w:val="0"/>
          <w:sz w:val="28"/>
          <w:szCs w:val="28"/>
          <w:lang w:val="en-US" w:eastAsia="zh-CN"/>
        </w:rPr>
        <w:t>9</w:t>
      </w:r>
      <w:r>
        <w:rPr>
          <w:rFonts w:hint="eastAsia" w:ascii="仿宋_GB2312" w:hAnsi="仿宋_GB2312" w:eastAsia="仿宋_GB2312" w:cs="仿宋_GB2312"/>
          <w:color w:val="000000"/>
          <w:spacing w:val="0"/>
          <w:sz w:val="28"/>
          <w:szCs w:val="28"/>
        </w:rPr>
        <w:t>〕</w:t>
      </w:r>
      <w:r>
        <w:rPr>
          <w:rFonts w:hint="eastAsia" w:ascii="仿宋_GB2312" w:hAnsi="仿宋_GB2312" w:eastAsia="仿宋_GB2312" w:cs="仿宋_GB2312"/>
          <w:color w:val="000000"/>
          <w:spacing w:val="0"/>
          <w:sz w:val="28"/>
          <w:szCs w:val="28"/>
          <w:lang w:val="en-US" w:eastAsia="zh-CN"/>
        </w:rPr>
        <w:t>2</w:t>
      </w:r>
      <w:r>
        <w:rPr>
          <w:rFonts w:hint="eastAsia" w:ascii="仿宋_GB2312" w:hAnsi="仿宋_GB2312" w:eastAsia="仿宋_GB2312" w:cs="仿宋_GB2312"/>
          <w:color w:val="000000"/>
          <w:spacing w:val="0"/>
          <w:sz w:val="28"/>
          <w:szCs w:val="28"/>
        </w:rPr>
        <w:t>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afterAutospacing="0" w:line="500" w:lineRule="exact"/>
        <w:ind w:left="0" w:leftChars="0" w:right="0" w:rightChars="0" w:firstLine="640" w:firstLineChars="200"/>
        <w:jc w:val="both"/>
        <w:textAlignment w:val="auto"/>
        <w:outlineLvl w:val="9"/>
        <w:rPr>
          <w:rFonts w:hint="eastAsia" w:ascii="仿宋" w:hAnsi="仿宋" w:eastAsia="仿宋" w:cs="仿宋"/>
          <w:spacing w:val="0"/>
          <w:sz w:val="32"/>
          <w:szCs w:val="32"/>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为深入贯彻落实全面从严治党要求，促进我市经济持续健康发展和企业家队伍健康成长，进一步打造“六最”营商环境，在我市“两转”基础上不断拓展党的建设和党的事业新局面，现就构建亲清新型政商关系提出如下意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黑体" w:hAnsi="黑体" w:eastAsia="黑体" w:cs="黑体"/>
          <w:color w:val="000000"/>
          <w:spacing w:val="0"/>
          <w:kern w:val="0"/>
          <w:sz w:val="28"/>
          <w:szCs w:val="28"/>
          <w:lang w:val="en-US" w:eastAsia="zh-CN" w:bidi="ar"/>
        </w:rPr>
      </w:pPr>
      <w:r>
        <w:rPr>
          <w:rFonts w:hint="eastAsia" w:ascii="黑体" w:hAnsi="黑体" w:eastAsia="黑体" w:cs="黑体"/>
          <w:color w:val="000000"/>
          <w:spacing w:val="0"/>
          <w:kern w:val="0"/>
          <w:sz w:val="28"/>
          <w:szCs w:val="28"/>
          <w:lang w:val="en-US" w:eastAsia="zh-CN" w:bidi="ar"/>
        </w:rPr>
        <w:t>一、总体要求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构建亲清新型政商关系，是贯彻落实党的十九大精神和习近平总书记在民营企业座谈会上重要讲话精神的重大举措，是我市全面从严治党实践发展的必然要求，是构建风清气正政治生态的关键举措，对于推动形成良好发展环境具有十分重要的意义。总体要求是：坚持以习近平新时代中国特色社会主义思想为指导，认真贯彻落实习近平总书记构建亲清政商关系的重要论述和视察山西重要讲话精神，聚焦省委建设“示范区”“排头兵”“新高地”三大目标，畅通政商沟通渠道，规范政商交往行为，促进政商关系在依法依规、界限分明、公开透明轨道上良性互动，党政机关与企业交往亲不逾矩、清不远疏、真诚服务，企业与企业家诚信守廉、依法经营、创新创业，努力推动全市经济高质量发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黑体" w:hAnsi="黑体" w:eastAsia="黑体" w:cs="黑体"/>
          <w:color w:val="000000"/>
          <w:spacing w:val="0"/>
          <w:kern w:val="0"/>
          <w:sz w:val="28"/>
          <w:szCs w:val="28"/>
          <w:lang w:val="en-US" w:eastAsia="zh-CN" w:bidi="ar"/>
        </w:rPr>
      </w:pPr>
      <w:r>
        <w:rPr>
          <w:rFonts w:hint="eastAsia" w:ascii="黑体" w:hAnsi="黑体" w:eastAsia="黑体" w:cs="黑体"/>
          <w:color w:val="000000"/>
          <w:spacing w:val="0"/>
          <w:kern w:val="0"/>
          <w:sz w:val="28"/>
          <w:szCs w:val="28"/>
          <w:lang w:val="en-US" w:eastAsia="zh-CN" w:bidi="ar"/>
        </w:rPr>
        <w:t>二、基本内涵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新型政商关系，核心是“亲”“清”两个字。“亲”就是党政机关及工作人员要坦荡真诚同企业家接触交往，在企业遇到困难和问题时要积极作为、靠前服务，对企业家多关注、多引导，帮助解决实际困难；企业家要主动同党政机关及工作人员沟通交流，讲真话、建诤言，满腔热情为地方发展做贡献。“清”就是党政机关及工作人员在与企业和企业家的交往中，要清白纯洁，不心存私念，不以权谋私，不搞权钱交易；企业家要洁身自好，讲诚信、守商规、走正道，遵纪守法办企业，光明正大搞经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要准确把握好“亲”“清”辩证统一关系，坚决杜绝“亲切”而不“清白”，防止“清白”而不“亲切”，着力构建亲清新型政商关系。</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黑体" w:hAnsi="黑体" w:eastAsia="黑体" w:cs="黑体"/>
          <w:color w:val="000000"/>
          <w:spacing w:val="0"/>
          <w:kern w:val="0"/>
          <w:sz w:val="28"/>
          <w:szCs w:val="28"/>
          <w:lang w:val="en-US" w:eastAsia="zh-CN" w:bidi="ar"/>
        </w:rPr>
      </w:pPr>
      <w:r>
        <w:rPr>
          <w:rFonts w:hint="eastAsia" w:ascii="黑体" w:hAnsi="黑体" w:eastAsia="黑体" w:cs="黑体"/>
          <w:color w:val="000000"/>
          <w:spacing w:val="0"/>
          <w:kern w:val="0"/>
          <w:sz w:val="28"/>
          <w:szCs w:val="28"/>
          <w:lang w:val="en-US" w:eastAsia="zh-CN" w:bidi="ar"/>
        </w:rPr>
        <w:t>联系机制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一）畅通政商双向沟通渠道。搭建党政部门与企业沟通的桥梁，市、县两级党委政府每半年至少召开1次行业商（协）会、产业联盟负责人座谈会，听取汇报，了解企业诉求，研究解决企业发展中的重大问题。按照有关规定，邀请商（协）会负责人、企业家代表参加党委政府有关经济工作会议。制定涉企规范性文件、作出涉企重大决策，应当采取听证会、论证会、座谈会等方式，充分听取有关商（协）会和企业的意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二）落实领导干部联系企业制度。贯彻落实市委办公厅、市政府办公厅《关于进一步深化领导干部联系民营企业工作的通知》（厅字〔2018〕38号）精神，深入推进市县两级党委、人大、政府、政协领导班子成员联系服务企业制度化、机关干部入企帮扶常态化。市四大班子成员每人包联“新技术、新产业、新业态、新模式”或产业发展有优势、潜力大的民营企业，定期到所联系的企业走访调研、排忧解难。县市区四大班子领导也要细化落实领导干部包联民营企业制度，经常了解企业生产经营情况，及时听取企业合理诉求，切实帮助企业解决困难和问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三）探索搭建服务企业新平台。搭建银企合作、部门直联、产学研合作、双创服务、商会互动“五大平台”，为企业提供更优质的服务。建立数据库、政策库、知识库、人才库“四库”，连接联通政府、科研机构、行业协会、产业联盟等资源和平台各项数据，为企业提供大数据服务。充分利用网上政务平台、自助终端、服务热线、微信群等线上线下载体，建立涉企政策信息公开制度和推送制度，消除企业“信息孤岛”。对企业诉求要限时办理、及时反馈、跟踪问效。各相关职能部门要做好涉企政策的沟通解释，确保支持企业发展的各项政策宣传解读到位。</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黑体" w:hAnsi="黑体" w:eastAsia="黑体" w:cs="黑体"/>
          <w:color w:val="000000"/>
          <w:spacing w:val="0"/>
          <w:kern w:val="0"/>
          <w:sz w:val="28"/>
          <w:szCs w:val="28"/>
          <w:lang w:val="en-US" w:eastAsia="zh-CN" w:bidi="ar"/>
        </w:rPr>
      </w:pPr>
      <w:r>
        <w:rPr>
          <w:rFonts w:hint="eastAsia" w:ascii="黑体" w:hAnsi="黑体" w:eastAsia="黑体" w:cs="黑体"/>
          <w:color w:val="000000"/>
          <w:spacing w:val="0"/>
          <w:kern w:val="0"/>
          <w:sz w:val="28"/>
          <w:szCs w:val="28"/>
          <w:lang w:val="en-US" w:eastAsia="zh-CN" w:bidi="ar"/>
        </w:rPr>
        <w:t>规范服务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四）明确服务企业“负面清单”。严格规范党政机关工作人员特别是领导干部的商务行为，自觉贯彻执行中央八项规定精神及实施细则，积极作为、遵规守矩，廉洁自律。坚决做到“十不准”：严守政治纪律和政治规矩，不准与企业家搞团团伙伙、拉帮结派，不在政治安排中违反规定为企业家谋取利益；不准收受企业以任何名义赠送的礼品礼金、有价证券等财物或报销应该由个人支付的有关费用；不准接受企业可能影响公正执行公务的宴请，以及出入企业自建会所或由企业买单的其他消费场所，更不得将企业作为自己私人待客场所；不准未经批准参加企业举办的庆典、年会、宴会或组织的外出考察活动；不准在涉及企业的行政管理中吃拿卡要；不准以支持和服务企业发展等名义搞利益输送，或以包联企业名义收取任何好处；不准干预、插手企业资金、资产、资源的使用、分配、承包、租赁以及工程建设等经济活动；不准违反规定利用职务影响力为企业主承揽工程、征用土地、整合资源等；不准向企业乱收费、乱罚款、乱摊派、乱募捐；不准默许、纵容、包庇特定关系人在自己管辖或影响范围内的企业承揽业务、入股分红、兼职取酬或捞取好处，以及从事其他违反纪律和法律规定的行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五）依法依规参与企业活动。党政机关及其工作人员在守住底线、不踩红线、不碰高压线的前提下，积极与企业和企业家接触交往，主动热情搞好服务。经批准，可参加或组织以下活动：参加商（协）会、产业联盟或企业举办的座谈会等活动；参加商（协）会组织的学习借鉴先进经验的考察调研活动；参加企业组织的招商引资、合作洽谈、产品推介、技术交流等商务活动；组织商（协）会、产业联盟或企业参加展销会、推进会等经贸交流活动；有计划组织企业相关人员参加政策宣传、人才培养和技术推广应用等培训活动。党政机关领导及其工作人员参与涉企活动，要严格遵守住宿、交通、就餐等有关规定，不以考察为名行旅游之实，不在企业支付应由所在单位或本人承担的费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六）保障企业合法权益。加快建立依法平等保护各类所有制经济产权的长效机制，平等保护各类市场主体。建立因规划调整、政策变更等造成企业合法权益损失的救济补偿机制。各级司法、执法、执纪机关要切实增强服务意识，在查办案件中慎重作出冻结企业账号、查封企业账册、发布影响企业声誉的报道以及作出其他法律法规明令禁止的行为，对法律政策界限不明的涉企民事、商事行为，要慎重妥善处理，注重听取行业主管部门、工商联及商（协）会意见，最大限度减少对企业正常生产经营活动的影响，保护企业及企业负责人的合法权益。严厉打击危害企业家人身安全和妨害企业依法经营的违法犯罪行为。依法加强对企业家创新权益的保护。鼓励支持工商联和商（协）会依法维护会员合法权益，积极开展法律援助活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七）落实容错纠错机制。认真落实市委《关于进一步激励广大干部新时代新担当新作为努力建设高素质专业化干部队伍的实施办法》（吕发〔2018〕25号），健全完善政商交往中的容错纠错机制，消除党政干部与企业家正常交往的后顾之忧。认真落实“三个严格区分开来”，即把机关单位及其工作人员尤其是领导干部在推进改革中因缺乏经验、先行先试出现的失误和错误，同明知故犯的违纪违法区别开来；把上级尚无明确限制的探索性试验中的失误和错误，同上级明令禁止后依然我行我素的违纪违法区分开来；把为推动发展而产生的无意过失，同为谋取私利的违纪违法区分开来，鼓励支持党政机关及其工作人员担当作为，为企业谋创业、谋创新、谋发展，积极营造支持改革、宽容失败、鼓励担当的良好氛围。</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黑体" w:hAnsi="黑体" w:eastAsia="黑体" w:cs="黑体"/>
          <w:color w:val="000000"/>
          <w:spacing w:val="0"/>
          <w:kern w:val="0"/>
          <w:sz w:val="28"/>
          <w:szCs w:val="28"/>
          <w:lang w:val="en-US" w:eastAsia="zh-CN" w:bidi="ar"/>
        </w:rPr>
      </w:pPr>
      <w:r>
        <w:rPr>
          <w:rFonts w:hint="eastAsia" w:ascii="黑体" w:hAnsi="黑体" w:eastAsia="黑体" w:cs="黑体"/>
          <w:color w:val="000000"/>
          <w:spacing w:val="0"/>
          <w:kern w:val="0"/>
          <w:sz w:val="28"/>
          <w:szCs w:val="28"/>
          <w:lang w:val="en-US" w:eastAsia="zh-CN" w:bidi="ar"/>
        </w:rPr>
        <w:t>引导激励</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八）倡导企业家诚信廉洁理念。广大企业及企业家要认真汲取近年来我市被查处的违纪违法案件教训，诚信经营、廉洁发展、公平竞争，守商规、走正道，做到“三个好”：学习好，深入学习习近平新时代中国特色社会主义思想，进一步提升政治素养和理论水平；转型好，顺应经济高质量发展的要求，推动企业转型发展，走转型升级、创新驱动发展新路；风气好，弘扬晋商精神，诚信守法，树立企业家良好形象。做到“五不准”：一是不准违规为党政机关工作人员及其特定关系人在企业提供高薪酬，或拉拢其经商办企业、入股分红或兼职取酬；二是不准为党政机关工作人员提供各种福利，为其提供钱款、住房、车辆等财物；三是不准为党政机关工作人员及其亲属安排参观旅游、出国出境等活动；四是不准为党政机关工作人员、子女及其特定关系人赠送企业产品及当地特产、名贵特产类特殊资源；五是不准影响机关单位干部人事任免，或为领导干部岗位调整、职级职称晋升提供钱物、疏通关系，拉拢腐蚀干部，搞政治攀附。对于违反“五不准”甚至千方百计“围猎”干部的企业要依法依规限制其在申请贷款、工程招投标等方面的经济活动，将不廉洁企业负责人列入社会诚信体系“黑名单”，予以失德失信惩戒，直至法律惩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九）增强企业家遵纪守法意识。各级党委政府要进一步加强对企业家遵纪守法教育，引导企业家牢固树立守法、诚信、廉洁、创新的经营理念，坚守“四个绝不”的铁律：绝不违法，遵守法律和市场规则，做到依法经营；绝不欺诈，恪守商业道德，做到诚信经营；绝不行贿，与党政干部干干净净交朋友，做到廉洁经营；绝不守旧，勇于推动企业质量变革、效率变革、动力变革。</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十）大力弘扬优秀企业家精神。认真贯彻习近平总书记对民营企业家提出的“做爱国敬业、守法经营、创业创新、回报社会典范”的教诲，引导企业家牢记社会责任，富而思源、富而思进、回报社会，争当“守法、诚信、廉洁、创新”的新时代吕梁优秀企业家。要进一步加强企业党建工作，充分发挥企业党组织在职工群众中的政治核心作用。要教育引导企业家大力弘扬吕梁精神，开展“吕梁精神我学习我践行”活动。</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黑体" w:hAnsi="黑体" w:eastAsia="黑体" w:cs="黑体"/>
          <w:color w:val="000000"/>
          <w:spacing w:val="0"/>
          <w:kern w:val="0"/>
          <w:sz w:val="28"/>
          <w:szCs w:val="28"/>
          <w:lang w:val="en-US" w:eastAsia="zh-CN" w:bidi="ar"/>
        </w:rPr>
      </w:pPr>
      <w:r>
        <w:rPr>
          <w:rFonts w:hint="eastAsia" w:ascii="黑体" w:hAnsi="黑体" w:eastAsia="黑体" w:cs="黑体"/>
          <w:color w:val="000000"/>
          <w:spacing w:val="0"/>
          <w:kern w:val="0"/>
          <w:sz w:val="28"/>
          <w:szCs w:val="28"/>
          <w:lang w:val="en-US" w:eastAsia="zh-CN" w:bidi="ar"/>
        </w:rPr>
        <w:t>保障措施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一）强化组织领导。各级党委、政府要把构建亲清新型政商关系作为转变工作作风、整治为官不为、推动经济发展的重要任务，加强组织领导，推动党政机关领导干部及工作人员强化服务理念，落实亲清政商关系的各项要求，敢“亲”真“清”，对企业做到无事不扰、有事不拖、有求不推、有难不避，积极作为，勇于担当，为企业健康发展提供优质服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二）强化责任落实。各级党委（党组）要担负起构建亲清新型政商关系的主体责任，健全纪检监察、统战、工商联和职能部门、行业协（商）会参加的协作联动机制，各相关职能部门要按照工作职责细化工作责任，强化工作落实，倾力支持企业发展，真心实意为企业服务，推动形成党政齐抓共管、部门各负其责、社会广泛参与的工作合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
        </w:rPr>
      </w:pPr>
      <w:r>
        <w:rPr>
          <w:rFonts w:hint="eastAsia" w:ascii="仿宋_GB2312" w:hAnsi="仿宋_GB2312" w:eastAsia="仿宋_GB2312" w:cs="仿宋_GB2312"/>
          <w:color w:val="000000"/>
          <w:spacing w:val="0"/>
          <w:kern w:val="0"/>
          <w:sz w:val="28"/>
          <w:szCs w:val="28"/>
          <w:lang w:val="en-US" w:eastAsia="zh-CN" w:bidi="ar"/>
        </w:rPr>
        <w:t>（三）强化宣传引导。各级各部门要通过报刊、电视、互联网、新媒体等多种途径，广泛宣传构建亲清新型政商关系的精神内涵、基本要求和政商交往行为规范，表彰宣传敢于担当、不谋私利的优秀干部典型和守法、诚信、廉洁、创新的优秀企业家典型，营造构建亲清新型政商关系的良好社会氛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SA"/>
        </w:rPr>
      </w:pPr>
      <w:r>
        <w:rPr>
          <w:rFonts w:hint="eastAsia" w:ascii="仿宋_GB2312" w:hAnsi="仿宋_GB2312" w:eastAsia="仿宋_GB2312" w:cs="仿宋_GB2312"/>
          <w:color w:val="000000"/>
          <w:spacing w:val="0"/>
          <w:kern w:val="0"/>
          <w:sz w:val="28"/>
          <w:szCs w:val="28"/>
          <w:lang w:val="en-US" w:eastAsia="zh-CN" w:bidi="ar"/>
        </w:rPr>
        <w:t>（四）强化监督执纪。各级纪检监察机关要统筹运用好纪律监督、监察监督、派驻监督、巡察监督等方式，对政商交往中工作不力、措施不实等不作为、慢作为问题，服务企业“管卡压”“推拖绕”等形式主义、官僚主义问题，以及企业负责人拉拢腐蚀、围猎党政干部，谋取不正当利益等问题，要依纪依法严肃查处。</w:t>
      </w:r>
    </w:p>
    <w:p>
      <w:pPr>
        <w:keepNext w:val="0"/>
        <w:keepLines w:val="0"/>
        <w:pageBreakBefore w:val="0"/>
        <w:widowControl w:val="0"/>
        <w:kinsoku/>
        <w:wordWrap/>
        <w:overflowPunct w:val="0"/>
        <w:topLinePunct w:val="0"/>
        <w:autoSpaceDE/>
        <w:autoSpaceDN/>
        <w:bidi w:val="0"/>
        <w:adjustRightInd/>
        <w:snapToGrid/>
        <w:spacing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SA"/>
        </w:rPr>
      </w:pPr>
    </w:p>
    <w:p>
      <w:pPr>
        <w:keepNext w:val="0"/>
        <w:keepLines w:val="0"/>
        <w:pageBreakBefore w:val="0"/>
        <w:widowControl w:val="0"/>
        <w:kinsoku/>
        <w:wordWrap/>
        <w:overflowPunct w:val="0"/>
        <w:topLinePunct w:val="0"/>
        <w:autoSpaceDE/>
        <w:autoSpaceDN/>
        <w:bidi w:val="0"/>
        <w:adjustRightInd/>
        <w:snapToGrid/>
        <w:spacing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pacing w:val="0"/>
          <w:kern w:val="0"/>
          <w:sz w:val="28"/>
          <w:szCs w:val="28"/>
          <w:lang w:val="en-US" w:eastAsia="zh-CN" w:bidi="ar-SA"/>
        </w:rPr>
      </w:pPr>
      <w:r>
        <w:rPr>
          <w:rFonts w:hint="eastAsia" w:ascii="仿宋_GB2312" w:hAnsi="仿宋_GB2312" w:eastAsia="仿宋_GB2312" w:cs="仿宋_GB2312"/>
          <w:color w:val="000000"/>
          <w:spacing w:val="0"/>
          <w:kern w:val="0"/>
          <w:sz w:val="28"/>
          <w:szCs w:val="28"/>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仿宋_GB2312" w:hAnsi="仿宋_GB2312" w:eastAsia="仿宋_GB2312" w:cs="仿宋_GB2312"/>
          <w:color w:val="000000"/>
          <w:spacing w:val="0"/>
          <w:kern w:val="0"/>
          <w:sz w:val="28"/>
          <w:szCs w:val="28"/>
          <w:lang w:val="en-US" w:eastAsia="zh-CN" w:bidi="ar-SA"/>
        </w:rPr>
      </w:pPr>
      <w:r>
        <w:rPr>
          <w:rFonts w:hint="eastAsia" w:ascii="仿宋_GB2312" w:hAnsi="仿宋_GB2312" w:eastAsia="仿宋_GB2312" w:cs="仿宋_GB2312"/>
          <w:color w:val="000000"/>
          <w:spacing w:val="0"/>
          <w:kern w:val="0"/>
          <w:sz w:val="28"/>
          <w:szCs w:val="28"/>
          <w:lang w:val="en-US" w:eastAsia="zh-CN" w:bidi="ar-SA"/>
        </w:rPr>
        <w:br w:type="page"/>
      </w:r>
    </w:p>
    <w:p>
      <w:pPr>
        <w:pStyle w:val="16"/>
        <w:bidi w:val="0"/>
        <w:outlineLvl w:val="9"/>
        <w:rPr>
          <w:rFonts w:hint="eastAsia"/>
          <w:spacing w:val="0"/>
          <w:lang w:val="en-US" w:eastAsia="zh-CN"/>
        </w:rPr>
      </w:pPr>
    </w:p>
    <w:p>
      <w:pPr>
        <w:pStyle w:val="16"/>
        <w:bidi w:val="0"/>
        <w:rPr>
          <w:rFonts w:hint="eastAsia"/>
          <w:spacing w:val="0"/>
          <w:lang w:val="en-US" w:eastAsia="zh-CN"/>
        </w:rPr>
      </w:pPr>
      <w:bookmarkStart w:id="36" w:name="_Toc27107"/>
      <w:bookmarkStart w:id="37" w:name="_Toc11538"/>
      <w:r>
        <w:rPr>
          <w:rFonts w:hint="eastAsia"/>
          <w:spacing w:val="0"/>
          <w:lang w:val="en-US" w:eastAsia="zh-CN"/>
        </w:rPr>
        <w:t>二、政策清单</w:t>
      </w:r>
      <w:bookmarkEnd w:id="36"/>
      <w:bookmarkEnd w:id="37"/>
    </w:p>
    <w:p>
      <w:pPr>
        <w:rPr>
          <w:rFonts w:hint="eastAsia" w:ascii="仿宋_GB2312" w:hAnsi="仿宋_GB2312" w:eastAsia="仿宋_GB2312" w:cs="仿宋_GB2312"/>
          <w:color w:val="000000"/>
          <w:spacing w:val="0"/>
          <w:kern w:val="0"/>
          <w:sz w:val="28"/>
          <w:szCs w:val="28"/>
          <w:lang w:val="en-US" w:eastAsia="zh-CN" w:bidi="ar-SA"/>
        </w:rPr>
      </w:pPr>
    </w:p>
    <w:p>
      <w:pPr>
        <w:rPr>
          <w:rFonts w:hint="eastAsia" w:ascii="方正小标宋简体" w:hAnsi="方正小标宋简体" w:eastAsia="方正小标宋简体" w:cs="方正小标宋简体"/>
          <w:color w:val="000000"/>
          <w:spacing w:val="0"/>
          <w:kern w:val="0"/>
          <w:sz w:val="32"/>
          <w:szCs w:val="32"/>
          <w:lang w:val="en-US" w:eastAsia="zh-CN" w:bidi="ar-SA"/>
        </w:rPr>
      </w:pPr>
      <w:r>
        <w:rPr>
          <w:rFonts w:hint="eastAsia" w:ascii="方正小标宋简体" w:hAnsi="方正小标宋简体" w:eastAsia="方正小标宋简体" w:cs="方正小标宋简体"/>
          <w:color w:val="000000"/>
          <w:spacing w:val="0"/>
          <w:kern w:val="0"/>
          <w:sz w:val="32"/>
          <w:szCs w:val="32"/>
          <w:lang w:val="en-US" w:eastAsia="zh-CN" w:bidi="ar-SA"/>
        </w:rPr>
        <w:br w:type="page"/>
      </w:r>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38" w:name="_Toc8728"/>
      <w:r>
        <w:rPr>
          <w:rFonts w:hint="eastAsia" w:ascii="方正小标宋简体" w:hAnsi="方正小标宋简体" w:eastAsia="方正小标宋简体" w:cs="方正小标宋简体"/>
          <w:color w:val="000000"/>
          <w:spacing w:val="0"/>
          <w:kern w:val="0"/>
          <w:sz w:val="32"/>
          <w:szCs w:val="32"/>
          <w:lang w:val="en-US" w:eastAsia="zh-CN" w:bidi="ar-SA"/>
        </w:rPr>
        <w:t>第一部分金融支持政策</w:t>
      </w:r>
      <w:bookmarkEnd w:id="38"/>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规范金融服务收费。加大对银行业收费清理工作督查力度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推动银行业全面执行服务收费政策规定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清理不必要的资金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过桥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环节</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取消不合理收费项目。严禁在发放贷款时附加不合理条件</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变相提高利率</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加重企业负担。提高贷款审批和发放效率。银行业金融机构要根据各类企业经营特点</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优化信贷审批流程</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通过合理下放审批权限、前移信贷评审、发展专营服务网点等方式</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缩短审批时间</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提高审批效率。对贷款到期后仍有融资需求的企业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可提前开展贷款调查和评审</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实现企业续贷无缝对接。（晋办发〔2017〕81号）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推动市场化、法治化债转股。加强政策引导</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重点支持我省煤炭、钢铁等支柱型企业开展债转股</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推进已签署合作协议的债转股项目资金尽快到位。鼓励国有资本投资运营公司和地方资产管理公司等机构发行债权转股权专项债券</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提高实施债转股的积极性。鼓励民营企业兼并重组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推动有实力的民营企业兼并上下游企业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通过产业链整合</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发挥龙头带动作用</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在竞争中进一步壮大实力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（晋办发〔201</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加快基金出资进度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。进一步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明确参股基金出资进度要求</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基金完成工商注册登记后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要在6个月内完成首期实缴出资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首期实缴出资不低于认缴出资额的30%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24个月内实缴出资不低于认缴出资额的80%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全部出资应在36个月内到位。对于资金投放进度慢的项目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根据实际情况核减或收回财政出资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避免财政资金沉淀。（晋政发〔2018〕45号）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5"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将山西省小型微型企业贷款风险补偿资金由1000万元扩大至2000万元。各市相应建立规模不低于1000万元的市级小微企业风险补偿资金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并根据信贷投放规模逐步扩大风险补偿金规模。（晋政办发〔2018〕48号）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5"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民银行要积极向金融机构宣讲金融工具发行政策</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支持金融机构开展小微企业贷款资产证券化业务</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将小微企业贷款基础资产由单户授信100万元及以下放宽至500万元及以下</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盘活资金优先用于小微企业信贷投放。（并银发〔2018〕150号）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5"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盘活小微企业应收账款。建立市级应收账款融资服务机制</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通过政策解读、业务辅导、重点推荐等方式</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推动小微企业登陆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民银行中征应收账款融资服务平台</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开展应收账款质押/转让融资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盘活企业存量资产。相关部门要推动供应链核心企业与平台系统对接</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助力其上下游小微企业提高申贷成功率和融资效率。鼓励政府采购部门加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中征应收账款融资服务平台</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为小微企业融资提供便利。(晋政发〔2018〕41号）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对融资担保机构开展小微企业和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业务并满足一定条件的予以风险补偿</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按照不超过上年度小微企业和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业务在保余额的0.1%给予风险补偿。《(晋政发〔2018〕41号）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加强小微企业上市培育工作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。以山西</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省区域性股权交易中心为依托</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建立中小微企业上市(挂牌）资源库</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予以重点培育。发挥山西省股权交易中心区域性股权市场作用</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支持小微企业挂牌、展示、托管、股权融资。建立由政府资金引导、社会资金参与的中小微企业产业投资基金、扶持专项基金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建立健全覆盖中小微企业生命周期、对接上市挂牌全过程的基金体系。支持扩大小微企业金融债券发行规模</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募集资金全部用于小微企业信贷投放。(晋政发〔2018〕41号）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根据养老产业投资回收期较长的特点</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支持发债企业发行10年期及以上的长期限企业债券或可续期债券。支持发债企业利用债券资金优化债务结构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在偿债保障措施较为完善的情况下</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允许企业使用不超过50%的募集资金用于偿还银行贷款和补充营运资金。(发改办财金〔2015〕817号）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支持引导各级政府创投引导基金及国内外各类股权投资基金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投资晋商晋才回乡创业创新项目。搭建银企合作平台</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建立晋商晋才回乡创业创新项目数据库</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引导银行业金融机构采用供应链融资、物流融资、租赁融资、项目融资、并购融资等多种融资方式</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优先满足晋商晋才企业回乡投资战略性新兴产业、现代服务业等领域的资金需求。支持省外晋商晋才资本发起或参与设立民营或混合所有制的银行、证券、保险、期货公司等金融机构。(晋办发〔2017〕22号）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7"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符合条件的个体工商户可申请不超过</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30</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万元的创业担保贷款</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合伙经营或创办企业的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可适当提高贷款额度。符合条件的小微企业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贷款最高额度按</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企业吸纳重点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群就业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数X20万元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计算</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最高不超过300万元。具体贷款额度由经办银行根据借款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实际情况确定。(晋政办发〔2017〕61号）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对投资机构投资种子期科技型企业项目所发生的投资损失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可按不超过实际投资损失的60%给予补偿。对投资机构投资初创期科技型企业项目所发生的投资损失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可按不超过实际投资损失的30%给予补偿。每个投资项目的投资损失补偿金额不超过300万元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单个投资机构每年度获得的投资损失补偿金额不超过600万元。(晋政办发〔2017〕61号）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设立创业投资引导基金、股权投资基金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发展小额贷款公司和民营中小银行</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完善中小企业融资服务体系。鼓励创业投资引导基金吸引社会资本支持重大科技成果转化和产业项目发展。（晋政办发〔2017〕61号）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对省级以上科技企业孵化器通过融资租赁租用设备为科技型小微企业提供服务产生的租赁费</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给予一定比例的补助。（晋政办发〔2017〕61号）</w:t>
      </w:r>
    </w:p>
    <w:p>
      <w:pPr>
        <w:pStyle w:val="2"/>
        <w:keepNext w:val="0"/>
        <w:keepLines w:val="0"/>
        <w:pageBreakBefore w:val="0"/>
        <w:wordWrap/>
        <w:topLinePunct w:val="0"/>
        <w:bidi w:val="0"/>
        <w:spacing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color w:val="000000"/>
          <w:spacing w:val="0"/>
          <w:kern w:val="0"/>
          <w:sz w:val="32"/>
          <w:szCs w:val="32"/>
          <w:lang w:val="en-US" w:eastAsia="zh-CN" w:bidi="ar-SA"/>
        </w:rPr>
      </w:pPr>
      <w:bookmarkStart w:id="39" w:name="_Toc4060_WPSOffice_Level1"/>
      <w:bookmarkStart w:id="40" w:name="_Toc7657_WPSOffice_Level1"/>
      <w:bookmarkStart w:id="41" w:name="_Toc16061"/>
      <w:bookmarkStart w:id="42" w:name="_Toc17148"/>
      <w:r>
        <w:rPr>
          <w:rFonts w:hint="eastAsia" w:ascii="方正小标宋简体" w:hAnsi="方正小标宋简体" w:eastAsia="方正小标宋简体" w:cs="方正小标宋简体"/>
          <w:color w:val="000000"/>
          <w:spacing w:val="0"/>
          <w:kern w:val="0"/>
          <w:sz w:val="32"/>
          <w:szCs w:val="32"/>
          <w:lang w:val="en-US" w:eastAsia="zh-CN" w:bidi="ar-SA"/>
        </w:rPr>
        <w:t>第二部分减税降费政策</w:t>
      </w:r>
      <w:bookmarkEnd w:id="39"/>
      <w:bookmarkEnd w:id="40"/>
      <w:bookmarkEnd w:id="41"/>
      <w:bookmarkEnd w:id="42"/>
    </w:p>
    <w:p>
      <w:pPr>
        <w:pStyle w:val="2"/>
        <w:keepNext w:val="0"/>
        <w:keepLines w:val="0"/>
        <w:pageBreakBefore w:val="0"/>
        <w:wordWrap/>
        <w:topLinePunct w:val="0"/>
        <w:bidi w:val="0"/>
        <w:spacing w:afterAutospacing="0" w:line="500" w:lineRule="exact"/>
        <w:ind w:left="0" w:leftChars="0" w:firstLine="0" w:firstLineChars="0"/>
        <w:jc w:val="center"/>
        <w:textAlignment w:val="auto"/>
        <w:rPr>
          <w:rFonts w:hint="eastAsia" w:ascii="方正小标宋简体" w:hAnsi="方正小标宋简体" w:eastAsia="方正小标宋简体" w:cs="方正小标宋简体"/>
          <w:color w:val="000000"/>
          <w:spacing w:val="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自2017年7月1日起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简并增值税税率结构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取消13%的增值税税率。纳税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销售或者进口农产品（含粮食）、自来水、暖气、石油液化气、天然气、食用植物油、冷气、热水、煤气、居民用煤炭制品、食用盐、农机、饲料、农药、农膜、化肥、沼气、二甲醚、图书、报纸、杂志、音像制品、电子出版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税率为11%。（财税〔2017〕37号）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8"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2018年5月1日起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发生增值税应税销售行为或进口货物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原适用17%和11%税率的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分别降为16%、</w:t>
      </w:r>
      <w:r>
        <w:rPr>
          <w:rFonts w:hint="eastAsia" w:ascii="仿宋_GB2312" w:hAnsi="仿宋_GB2312" w:eastAsia="仿宋_GB2312" w:cs="仿宋_GB2312"/>
          <w:color w:val="000000" w:themeColor="text1"/>
          <w:spacing w:val="0"/>
          <w:w w:val="83"/>
          <w:sz w:val="28"/>
          <w:szCs w:val="28"/>
          <w:highlight w:val="none"/>
          <w14:textFill>
            <w14:solidFill>
              <w14:schemeClr w14:val="tx1"/>
            </w14:solidFill>
          </w14:textFill>
        </w:rPr>
        <w:t>10%。（财税〔2018〕32号）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4"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2018年5月1日起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增值税小规模纳税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标准为年应征增值税销售额500万元及以下。（财税〔2018〕33号）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4"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2019年1月1日至2021年12月31日</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对月销售额10万以下（含本数）的增值税小规模纳税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免征增值税。（财税〔2019〕13号）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 w:right="94"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对小型微利企业年应纳税所得额不超过100万元的部分</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减按25%计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应纳税所得额</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按20%的税率缴纳企业所得税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对年应纳税所得额超过100万元但不超过300万元的部分</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减按50%计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应纳税所得额</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按20%的税率缴纳企业所得税。(财税〔2019〕13号）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1"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自2019年1月1日至2021年12月31日</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对增值税小规模纳税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减按50%征收资源税（不含水资源税）、城市维护建设税、房产税、城镇土地使用税、印花税(不含证券交易印化税）、耕地占用税和教育费附加、地方教育附加。（财税〔2019〕13号）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自2019年1月1日至2021年12月31日</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在规定的税额幅度内</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将我省城镇土地使用税税额标准普遍下调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统一按现行税额标准的75%调整。（晋财税〔2019〕1号）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1"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2017年4月1日起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取消了城市公用事业附加、新型墙体材料专项基金2项政府性基金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调整了残疾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就业保障金征收政策</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取消（停征）了41项涉及企业和公民个</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的行政事业性收费。（财税〔2017〕18号）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2017年7月1日起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将国家重大水利工程建设基金和大中型水库移民后期扶持基征收标准统一降低25%。（财税〔2017〕51号）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8"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bookmarkStart w:id="43" w:name="_Toc17383_WPSOffice_Level2"/>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2017年7月1日起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取消工业企业结构调整专项资金。（财税〔2017〕50号）</w:t>
      </w:r>
      <w:bookmarkEnd w:id="43"/>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4"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2018年4月1日起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将残疾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就业保障金征收标准上限</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由当地社会平均工资的3倍降低至2倍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（财税〔2018〕39号）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2018年4月1日起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停征首次申领居民身份证工本费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公治明发〔2017〕122号）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2017年4月1日起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降低了特种设备检验检测收费标准</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其中:锅炉、压力容器、压力管道监督检验和其他检验项目收费标准降低了20%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特种设备监督检验收费标准降低40%。（财税〔2017〕20号）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7"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企业招用有关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员符合规定条件的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在3年内按建档立卡贫困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口、高校毕业生、失业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员等重点群体每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每年6000元（我省预计上浮至7800元）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自主就业退役士兵每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每年6000元（我省预计上浮至9000元）的限额标准依次扣减增值税、城市维护建设税、教育费附加、地方教育附加和企业所得税。（财税〔2019〕21号、财税〔2019〕22号）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6"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专用设备投资抵免企业所得税优惠</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企业购置并实际使用规定目录内的环境保护、节能节水、安全生产等专用设备的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该专用设备的投资额的10%可以从企业当年的应纳税额中抵免</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当年不足抵免的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可以在以后5个纳税年度结转抵免。（《企业所得税法实施条例》第一百条）</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提供技术转让、技术开发和与之相关的技术咨询、技术服务</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免征增值税。一个纳税年度内</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居民企业技术转让所得不超过500万元的部分</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超过500万元的部分</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减半征收企业所得税。（财税〔2016〕36号、《企业所得税法实施条例》第九十条）</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自2018年1月1日起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当年具备高新技术企业或科技型中小企业资格的企业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其具备资格年度之前5个年度发生的尚未弥补完的亏损</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准予结转以后年度弥补</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最长结转年限由5年延长至10年。（财税〔2018〕76号）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符合条件的中小企业融资（信用）担保机构按照不超过当年年末担保责任余额1%的比例计提的担保赔偿准备</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允许在企业所得税税前扣除</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同时将上年度计提的担保赔偿准备余额转为当期收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。（财税〔2017〕22号）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符合条件的中小企业融资（信用）担保机构按照不超过当年担保费收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50%的比例计提的未到期责任准备</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允许在企业所得税税前扣除</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同时将上年度计提的未到期责任准备余额转为当期收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。（财税〔2017〕22号）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中小企业融资（信用）担保机构实际发生的代偿损失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符合税收法律法规关于资产损失税前扣除政策规定的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应冲减已在税前扣除的担保赔偿准备</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不足冲减部分据实在企业所得税税前扣除。（财税〔2017〕22号）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4"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2018年1月1日后投资新设的集成电路线宽小于130纳米</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且经营期在10年以上的集成电路生产企业或项目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第一年至第二年免征企业所得税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第三年至第五年按照25%的法定税率减半征收企业所得税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并享受至期满为止。（财税〔2018〕27号）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2018年1月1日后投资新设的集成电路线宽小于65纳米或投资额超过150亿元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且经营期在15年以上的集成电路生产企业或项目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第一年至第五年免征企业所得税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第六年至第十年按照25%的法定税率减半征收企业所得税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并享受至期满为止。(财税〔2018〕27号）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2017年12月31日前设立但未获利的集成电路线宽小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于</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.25微米或投资额超过80亿元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且经营期在15年以上的集成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电</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路生产企业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自获利年度起第一年至第五年免征企业所得税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第六年至第十年按照25%的法定税率减半征收企业所得税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并享受至期满为止。(财税〔2018〕27号）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2017年12月31日前设立但未获利的集成电路线宽小于0.8微米(含）的集成电路生产企业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自获利年度起第一年至第二年免征企业所得税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第三年至第五年按照25%的法定税率减半征收企业所得税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并享受至期满为止。(财税〔2018〕27号）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企业购置安全生产专用设备</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自行判断其是否符合税收优惠政策规定条件</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自行申报享受税收优惠。建立部门协调配合机制</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切实落实安全生产专用设备税收抵免优惠政策。(财税〔2018〕84号）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2"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对节能汽车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减半征收车船税。减半征收车船税的节能乘用车应同时符合以下标准:(1）获得许可在中国境内销售的排量为1.6升以下(含1.6升）的燃用汽油、柴油的乘用车（含非插电式混合动力、双燃料和两用燃料乘用车）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综合工况燃料消耗量应符合标准。减半征收车船税的节能商用车应同时符合以下标准:(1）获得许可在中国境内销售的燃用天然气、汽油、柴油的轻型和重型商用车（含非插电式混合动力、双燃料和两用燃料轻型和重型商用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（2）燃用汽油、柴油的轻型和重型商用车综合工况燃料消耗量应符合标准。（财税〔2018〕74号）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对新能源车船</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免征车船税。免征车船税的新能源汽车是指纯电动商用车、插电式（含增程式）混合动力汽车、燃料电池商用车。纯电动乘用车和燃料电池乘用车不属于车船税征税范围</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对其不征车船税。（财税〔2018〕74号）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抽水蓄能发电取用水</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免征水资源税。（财税〔2017〕80号）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7"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自2018年4月1日至2021年3月31日</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对页岩气资源税（按6%的规定税率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）减</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征30%。（财税〔2018〕26号）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7"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综合利用的固体废物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符合国家和地方环境保护标准的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暂予免征环境保护税。（中华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民共和国环境保护税法）</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7"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对企业购置并实际使用规定的环境保护、节能节水专用设备的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该专用设备的投资额的10%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可以从企业当年的应纳税额中抵免。(财税〔2017〕71号）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32.国务院总理李克强在第十三届全国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民代表大会第二次会议上作的政府工作报告摘要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2019年3月5日）</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（1)深化增值税改革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将制造业等行业现行16%的税率降至13%。将交通运输业、建筑业等行业现行10%的税率降至9%</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保持6%一档的税率不变</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但通过采取对生产、生活性服务业增加税收抵扣等配套措施</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确保所有行业税负只减不增</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继续向推进税率三档并两档、税制简化方向迈进。</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4"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（2)下调城镇职工基本养老保险单位缴费比例</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各地可降至16%。</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（3)全年减轻企业税收和社保缴费负担近2万亿元。</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（4)中央财政要开源节流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增加特定国有金融机构和央企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上</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缴利润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一般性支出压减5%以上、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三公</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经费再压减3%左右</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长期沉淀资金一律收回。</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（5)今年国有大型商业银行小微企业贷款要增长30%以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上</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21"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（6)对招用农村贫困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口、城镇登记失业半年以上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员的各类企业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三年内给予定额税费减免。</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（7)深化电力市场化改革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清理电价附加收费</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降低制造业用电成本</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一般工商业平均电价再降低10%。</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（8)支持企业加快技术改造和设备更新</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将固定资产加速折旧优惠政策扩大至全部制造业领域。</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5"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（9)今年中小企业宽带平均资费再降低15%</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移动网络流量平均资费再降低20%以上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在全国实行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携号转网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(10)落实好小规模纳税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增值税起征点从月销售额3万元提高到10万元等税收优惠政策。</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9"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(11)落实好新修订的个</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所得税法</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使符合减税政策的约8000万纳税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应享尽享。</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(12)对在社区提供日间照料、康复护理、助餐助行等服务的机构给予税费减免、资金支持、水电气热价格优惠等扶持。</w:t>
      </w:r>
    </w:p>
    <w:p>
      <w:pPr>
        <w:pStyle w:val="4"/>
        <w:keepNext w:val="0"/>
        <w:keepLines w:val="0"/>
        <w:pageBreakBefore w:val="0"/>
        <w:numPr>
          <w:ilvl w:val="0"/>
          <w:numId w:val="2"/>
        </w:numPr>
        <w:wordWrap/>
        <w:topLinePunct w:val="0"/>
        <w:bidi w:val="0"/>
        <w:spacing w:afterAutospacing="0" w:line="500" w:lineRule="exact"/>
        <w:jc w:val="center"/>
        <w:textAlignment w:val="auto"/>
        <w:rPr>
          <w:rFonts w:hint="eastAsia" w:ascii="方正小标宋简体" w:hAnsi="方正小标宋简体" w:eastAsia="方正小标宋简体" w:cs="方正小标宋简体"/>
          <w:b w:val="0"/>
          <w:bCs/>
          <w:spacing w:val="0"/>
          <w:sz w:val="32"/>
          <w:szCs w:val="32"/>
        </w:rPr>
      </w:pPr>
      <w:bookmarkStart w:id="44" w:name="_Toc8100_WPSOffice_Level1"/>
      <w:bookmarkStart w:id="45" w:name="_Toc17383_WPSOffice_Level1"/>
      <w:bookmarkStart w:id="46" w:name="_Toc7457"/>
      <w:bookmarkStart w:id="47" w:name="_Toc31502"/>
      <w:bookmarkStart w:id="48" w:name="_Toc18422"/>
      <w:r>
        <w:rPr>
          <w:rFonts w:hint="eastAsia" w:ascii="方正小标宋简体" w:hAnsi="方正小标宋简体" w:eastAsia="方正小标宋简体" w:cs="方正小标宋简体"/>
          <w:b w:val="0"/>
          <w:bCs/>
          <w:spacing w:val="0"/>
          <w:sz w:val="32"/>
          <w:szCs w:val="32"/>
        </w:rPr>
        <w:t>支持民营经济发展政策</w:t>
      </w:r>
      <w:bookmarkEnd w:id="44"/>
      <w:bookmarkEnd w:id="45"/>
      <w:bookmarkEnd w:id="46"/>
      <w:bookmarkEnd w:id="47"/>
      <w:bookmarkEnd w:id="48"/>
    </w:p>
    <w:p>
      <w:pPr>
        <w:numPr>
          <w:ilvl w:val="0"/>
          <w:numId w:val="0"/>
        </w:numPr>
        <w:rPr>
          <w:rFonts w:hint="eastAsia"/>
          <w:spacing w:val="0"/>
        </w:rPr>
      </w:pP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严格落实公平竞争审查制度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清理废除妨碍统一市场和公平竞争的政策文件</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并向社会公布。(晋发〔2018〕37号）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对获得国家部委、军委相关部门军民融合项目资金的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按金额的5%给予配套。对年度内新增武器装备科研生产合同或与军工企业配套合同金额1000万元以上的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按新增合同额的5%给予奖励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最高不超过200万元。（晋发〔2018〕37号）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8"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各级各部门在满足自身运转和提供公共服务基本需求的前提下</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应预留年度政府采购项目预算总额的30%以上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专门面向中小微企业采购</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其中预留给小微企业的比例不低于60%。（晋发〔2018〕37号）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对各市确定的优先发展产业且用地集约的工业项目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土地出让底价可按不低于所在地土地等别相对应《全国工业用地出让最低价标准》的70%执行。（晋发〔2018〕37号）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支持和鼓励各地建设高标准厂房</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可按幢、层等权属界线封闭且具有独立使用价值的空间为不动产登记单元进行登记。涉及不动产转让的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经批准后办理不动产转移登记。在符合规划、不改变用途的前提下</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现有工业用地提高土地利用效率和增加容积率的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不再征收土地价款差额。（晋发〔2018〕37号）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7"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对未列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国家《建设项目环境影响评价分类管理名录》的建设项目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除未来可能出现的环境影响或环境风险较大的项目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以及涉及自然保护区、风景名胜区、饮用水水源保护区、泉域重点保护区等环境敏感区的项目外</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无需履行环评手续。（晋发〔2018〕37号）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6"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筹资50亿元组建山西省民营企业政策性纾困救助基金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市场化推动解决上市民营企业和重点民营企业的流动性问题</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化解上市公司股权质押平仓风险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避免发生企业所有权恶性转移。（晋发〔2018〕37号）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成立企业债务清理工作小组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开展企业债务清理专项行动</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优先清理政府性工程对民营企业的欠款。（晋发〔2018〕37号）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各市县要自筹资金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为本区域内骨干民营企业提供低成本</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接续还贷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服务</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各市新增应急还贷资金原则上不少于2亿元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各县（市、区）建立应急还贷资金不少于2000万元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省市县共形成50亿元接续还贷周转资金。（晋发〔2018〕37号）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对在沪深两地主板、中小企业板、创业板、科创板上市的企业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由省级财政给予200万元的奖励。对在全国股转系统挂牌的企业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由省级财政奖励100万元。对在山西股权交易中心挂牌、进行股份制改造并融资成功的企业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由省级财政奖励20万元。对当年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库中小企业完成股份制改造的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由省级财政奖励50万元。(晋发〔2018〕37号）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11.省级财政部门按照不超过上年度小微企业和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业务在保余额的1%的资金</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对满足条件的机构予以风险补偿。各级财政部门要制定对行政区域内融资担保机构保费补贴政策</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对融资担保费率低于3%的差额部分给予补贴。(晋发〔2018〕37号）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3"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12.建立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红黑名单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制度。完善守信激励和失信惩戒机制</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红名单的民营企业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进一步加大融资支持力度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对贷款利率实行优惠</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并为其提供多样化、针对性的金融产品和服务。(晋发〔2018〕37号）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13.对首购首用首台套重大技术装备或重大创新产品的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省财政可按购买价格30%给予补贴、最高不超过100万元。对符合政府采购目录的我省首台套重大技术装备、首版次软件产品、首批次原材料等产品</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自2019年1月1日起探索实行政府采购首购首用制度。(晋发〔2018〕37号）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5" w:righ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14.对获得中国质量奖的企业奖励500万元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获得提名奖的企业奖励200万元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获得山西省质量奖的企业奖励100万元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获得提名奖的企业奖励50万元。(晋发〔2018〕37号）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46"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对主导制定新标准以及承担省级以上标准化试点示范项目的民营企业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给予经费补助。(晋发〔2018〕37号）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鼓励民营企业引进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两院</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院士等杰出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才、重点技术领域和行业高层次领军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才、青年拔尖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民营企业引进的各层次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才享受与国有企业和事业单位引进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才同等政策待遇和津贴。（晋发〔2018〕37号）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允许科技创新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才在高校、科研院所和民营企业间双向兼职。支持符合国家有关规定的退休党政干部、企事业领导干部到民营企业进行帮扶。民营企业开展职工技能培训</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可申请政府有关资金支持。对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才培养较好的企业予以适当奖励。（晋发〔2018〕37号）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从2018年起</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省级财政对首次上规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统的小微工业企业</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上规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统后连续2年未退出规模以上工业企业库的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给予5万元的奖励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连续3年的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再给予10万元的奖励。从2018年起给予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小升规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企业3年的适应调整期</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3年内保持税收负担总体不增</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可继续享受相关税收优惠政策。（晋发〔2018〕37号）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全国民营企业500强的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财政给予100万元奖励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山西民营企业100强的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在政治安排和各类评选表彰中优先考虑。(晋发〔2018〕37号）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进一步清理税务证明事项和精简涉税资料报送。2018年底前</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税务总局再取消20项涉税证明事项。2019年</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对民营企业等纳税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向税务机关报送的资料再精简25%以上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简并优化增值税、消费税等纳税申报表</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并推进实施增值税申报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一表集成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、消费税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一键申报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。（税总发〔2018〕174号）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96" w:firstLine="560" w:firstLineChars="200"/>
        <w:jc w:val="both"/>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各地税务机关要积极帮助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走出去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民营企业利用税收协定、国际税收合作机制维护自身合法权益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用好委托境外研发费用企业所得税加计扣除、企业境外所得税综合抵免等政策</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切实减轻税收负担。（税总发〔2018〕174号）</w:t>
      </w:r>
      <w:bookmarkStart w:id="49" w:name="_Toc6328"/>
    </w:p>
    <w:p>
      <w:pPr>
        <w:pStyle w:val="4"/>
        <w:keepNext w:val="0"/>
        <w:keepLines w:val="0"/>
        <w:pageBreakBefore w:val="0"/>
        <w:numPr>
          <w:ilvl w:val="0"/>
          <w:numId w:val="2"/>
        </w:numPr>
        <w:wordWrap/>
        <w:topLinePunct w:val="0"/>
        <w:bidi w:val="0"/>
        <w:spacing w:afterAutospacing="0" w:line="500" w:lineRule="exact"/>
        <w:ind w:left="0" w:leftChars="0" w:firstLine="0" w:firstLineChars="0"/>
        <w:jc w:val="center"/>
        <w:textAlignment w:val="auto"/>
        <w:rPr>
          <w:rFonts w:hint="eastAsia" w:ascii="方正小标宋简体" w:hAnsi="方正小标宋简体" w:eastAsia="方正小标宋简体" w:cs="方正小标宋简体"/>
          <w:b w:val="0"/>
          <w:bCs/>
          <w:spacing w:val="0"/>
          <w:sz w:val="32"/>
          <w:szCs w:val="32"/>
        </w:rPr>
      </w:pPr>
      <w:bookmarkStart w:id="50" w:name="_Toc776_WPSOffice_Level1"/>
      <w:bookmarkStart w:id="51" w:name="_Toc30086"/>
      <w:bookmarkStart w:id="52" w:name="_Toc655_WPSOffice_Level1"/>
      <w:bookmarkStart w:id="53" w:name="_Toc23362"/>
      <w:r>
        <w:rPr>
          <w:rFonts w:hint="eastAsia" w:ascii="方正小标宋简体" w:hAnsi="方正小标宋简体" w:eastAsia="方正小标宋简体" w:cs="方正小标宋简体"/>
          <w:b w:val="0"/>
          <w:bCs/>
          <w:spacing w:val="0"/>
          <w:sz w:val="32"/>
          <w:szCs w:val="32"/>
        </w:rPr>
        <w:t>技术改造和工业转型升级政策</w:t>
      </w:r>
      <w:bookmarkEnd w:id="49"/>
      <w:bookmarkEnd w:id="50"/>
      <w:bookmarkEnd w:id="51"/>
      <w:bookmarkEnd w:id="52"/>
      <w:bookmarkEnd w:id="53"/>
    </w:p>
    <w:p>
      <w:pPr>
        <w:numPr>
          <w:ilvl w:val="0"/>
          <w:numId w:val="0"/>
        </w:numPr>
        <w:ind w:leftChars="0"/>
        <w:rPr>
          <w:rFonts w:hint="eastAsia"/>
          <w:spacing w:val="0"/>
        </w:rPr>
      </w:pP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 w:right="93"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山西省内注册的规模以上独立法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、上</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年度主营业务收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1500万元以上的独立法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企业或其他法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在山西省境内</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实施符合条件的项目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给予技术改造专项资金支持。(晋政办发〔20</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山西省技术改造专项资金支持主要采用贴息、补助和奖励方式:(1）贴息。对企业(单位）在项目建设期内</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从中国境内银行或依法从事贷款业务的非银行金融机构取得的一年期及以上贷款</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给予贴息支持。贴息额度参照贷款合同确定的贷款额、申报年度中国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民银行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授权全国银行间同业拆借中心每月</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公布的一年期贷款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市场报价</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利率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年度算术平均值、投资激励系数、营收激励系数</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计算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，不超过贷款额的</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，且不超过利息实际发生额</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w w:val="100"/>
          <w:sz w:val="28"/>
          <w:szCs w:val="28"/>
          <w:highlight w:val="none"/>
          <w14:textFill>
            <w14:solidFill>
              <w14:schemeClr w14:val="tx1"/>
            </w14:solidFill>
          </w14:textFill>
        </w:rPr>
        <w:t>其中，投资激励系数参照项目申报年度完成固定资产投资额分档确定，营收激励系数参照企业(单位)申报年度营业收入增量分档确定。</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(2）补助。对企业(单位)自筹资金建设项目给予补助支持。补助额度参照项目固定资产投资额度和贴息方式支持比例计算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，不超过项目固定资产投资额度的15%。对其他法人单位实施的服务体系建设项目给予补助支持。</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(3）奖励。对技术创新、仿制药一致性评价等研发类</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两化融合、企业上云、软件等信息化类及其他轻资产项目和企业重大技术装备首台套、新材料首批次、软件首版次项目</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给予奖励支持。奖励额度按项目类别确定。(晋政办发〔20</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山西省技术改造专项资金申报审核流程:(1）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省工信厅结合年度技术改造和转型升级重点、上年度绩效评价结果等因素，制定专项资金年度申报方案并向社会公开发布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市级工业和信息化部门、山西综改示范区管委会按照项目属地原则，组织开展项目申报和审核工作，并将通过审核的项目汇总报送省工信厅</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省工信厅组织或委托行业协会等第三方机构，对报送项目进行评审，择优排序确定拟支持项目和资金分配计划，报省财政厅</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省财政厅根据省工信厅提出的资金分配计划，确定资金。</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号）</w:t>
      </w:r>
    </w:p>
    <w:p>
      <w:pPr>
        <w:keepNext w:val="0"/>
        <w:keepLines w:val="0"/>
        <w:pageBreakBefore w:val="0"/>
        <w:widowControl/>
        <w:kinsoku w:val="0"/>
        <w:wordWrap/>
        <w:overflowPunct/>
        <w:topLinePunct w:val="0"/>
        <w:autoSpaceDE w:val="0"/>
        <w:autoSpaceDN w:val="0"/>
        <w:bidi w:val="0"/>
        <w:adjustRightInd w:val="0"/>
        <w:snapToGrid w:val="0"/>
        <w:spacing w:before="3" w:afterAutospacing="0" w:line="500" w:lineRule="exact"/>
        <w:ind w:left="100"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对落地我省的大型及特大型数据中心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原则上设定目标电价为0.35元/千瓦时。达不到目标电价的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由省、市、县参照数据中心当年缴纳税费的地方留存部分给予相应支持</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不足部分由数据中心所在地市级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人</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民政府予以支持。</w:t>
      </w:r>
    </w:p>
    <w:p>
      <w:pPr>
        <w:keepNext w:val="0"/>
        <w:keepLines w:val="0"/>
        <w:pageBreakBefore w:val="0"/>
        <w:widowControl w:val="0"/>
        <w:numPr>
          <w:ilvl w:val="0"/>
          <w:numId w:val="0"/>
        </w:numPr>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对本省新能源汽车生产销售的</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工业和信息化部《新能源汽车推广应用推荐车型目录》的纯电动汽车、插电式混合动力汽车、燃料电池汽车</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从2017年1月1日起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电动汽车营销补助按照国家同期补助资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金</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1:0.5标准执行。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晋财建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一</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明确对于私人购买的新能源乘用车、作业类专用车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含环卫车）、党政机关公务用车、民航机场场内车辆申请补贴不做运营里程要求</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其他类新能源汽车申请补贴要求调整为2万公里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上牌后允许拨付一部分补贴资金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达到运营里程要求后拨付剩余资金。《财政部工信部科技部发改委关于调整完善新能源汽车推广应用财政补贴政策的通知》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财建〔2018〕18号）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明确对私人购买新能源乘用车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作业类专用车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含环卫车）、党政机关公务用车、民航机场场内车辆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以及运营里程达到2万公里的其他类型新能源汽车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省级营销补助资金应补即补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运营里程未达2万公里的其他类型新能源汽车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车辆销售上牌后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先行预拨50%的省级营销补助资金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待运营里程达2万公里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取得中央新能源汽车推广应用财政补贴证明后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拨付剩余部分。补助标准和技术要求按照车辆获得行驶证年度执行。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晋财建一〔2018〕77号）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加大用电支持。允许年用电量1000万千瓦时及以上的新材料企业全电量参与市场交易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降低企业用电成本。新材料类企业与煤电联营的发电企业开展股权合作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相互参股20%以上的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支持双方开展长协交易试点。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晋政办发〔2017〕26号）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生产《重点新材料首批次应用示范指导目录（2017年版）》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工信部原〔2017〕168号）内首批次新材料产品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并为使用首批次新材料企业购买保险的企业。符合条件的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可申请中央财政保费补贴资金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补贴额度为投保年度保费的80%。（晋政办发〔2017〕26号）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重点支持化解煤炭钢铁煤电行业过剩产能企业。（1）稳岗补贴。根据规定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符合相关条件的企业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补贴额度区分为上年度企业和职工失业保险缴费总额的70%和50%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（2）内部转岗安置补贴。补贴标准为每人3000元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（3）转移就业安置补贴。补贴标准为每人3000元。（晋人社厅发〔2018〕41号）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中央财政预算安排用于支持地方政府和中央企业推动钢铁、煤炭等行业化解过剩产能工作的以奖代补资金。专项奖补资金由地方政府和中央企业主要用于国有企业职工分流安置工作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也可统筹用于符合条件的非国有企业职工分流安置。（财建〔2018〕462号）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加强政策宣传指导</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完善人企协调服务机制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全方位提升服务质量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优化环评、土地、安全、能评等手续审批流程和时限。对焦化企业人园人区、提质升级的建设项目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省技术改造专项资金予以支持。发挥政府设立的各类产业基金引导作用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积极支持焦化产业转型升级项目。鼓励金融机构优化信贷结构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在商业可持续、风险可控前提下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支持焦化产业转型升级。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晋政办发〔2018〕98号）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自2018年5月1日起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在保持八类费率总体稳定的基础上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工伤保险基金累计结余可支付月数在18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含）至23个月的统筹地区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可以现行费率为基础下调20%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累计结余可支付月数在24个月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含）以上的统筹地区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可以现行费率为基础下调50%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降低费率的期限暂执行至2019年4月30日。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人社部发〔2018〕25号）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对同时符合累计缴纳失业保险费36个月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含36个月）以上且自2017年1月1日起取得初级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五级）、中级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四级）、高级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三级）职业资格证书或职业技能等级证书条件的参保职工发放级别提升补贴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具体标准为:取得初级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五级）职业资格证书或职业技能等级证书的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补贴标准为1000元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取得中级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四级）职业资格证书或职业技能等级证书的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补贴标准为1500元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取得高级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三级）职业资格证书或职业技能等级证书的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补贴标准为2000元。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晋人社厅发〔2017〕78号）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凡列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《山西省不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纳入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建设项目环境影响评价审批管理目录》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晋环环评〔2016〕1号）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并符合《建设项目环境影响评价分类管理名录》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部令44号）的建设项目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环境影响评价审批手续一律豁免。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晋政办发〔2017〕152号）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凡《建设项目环境影响评价分类管理名录》中填报环境影响登记表的建设项目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不再进行环评审批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只需办理备案手续。建设单位应当在建设项目建成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并投入生产</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运营前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在线填报并提交建设项目环境影响登记表。（晋政办发〔2017〕152号）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《建设项目环境影响评价分类管理名录》中有关经济林基地、城市道路、污染场地修复、仓储、餐饮场所等15类建设项目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环境影响评价级别由报告书降级为报告表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或由报告表降级为登记表。（晋政办发〔2017〕152号）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取消水土保持方案批复、行业部门预审意见作为环评审批的前置条件。对试点开发区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按照《山西省企业投资项目试行承诺制实行无审批管理的决定》及配套政策的规定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取消相关前置审批要求</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实行并联审批。在此基础上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积极探索符合开发区规划环评的建设项目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在符合准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条件和相关标准基础上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试行承诺制改革试点工作。（晋政办发〔2017〕152号）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对已采纳规划环评要求的开发区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其规划所包含的建设项目可采用在项目环评文件中引用规划环评结论、减少环评文件内容或章节等方式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简化相应的环评内容（晋政办发〔2017〕152号）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取消新建建设项目试生产和竣工环境保护验收审批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在投产前由建设单位自行编制竣工环境保护设施验收报告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自行验收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并向社会公开。（晋政办发〔2017〕152号）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21.2021年山西省技术改造专项资金项目申报企业（单位）或母公司须为山西省内注册、且2020年度主营业务收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1500万元以上的独立法人企业（信息传输、软件和信息技术服务业企业营业收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1000万元以上）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或其他法人单位。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晋工信投资字〔2020〕251号）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22.重点支持省级及以上技术中心企业、技术创新领军企业、合资企业、出口创汇企业、龙头产品企业、典型示范性企业、专精特新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小巨人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企业、军民融合创新企业、高新技术企业。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晋工信投资字〔2020〕251号）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23.重点支持产业基础高级化、产业链现代化示范项目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重点支持新基建、新技术、新材料、新装备、新产品、新业态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六新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重点支持14个战略性新兴产业项目。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晋工信投资字〔2020〕251号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bookmarkStart w:id="54" w:name="_Toc22366"/>
      <w:bookmarkStart w:id="55" w:name="_Toc4458_WPSOffice_Level1"/>
      <w:bookmarkStart w:id="56" w:name="_Toc14562_WPSOffice_Level1"/>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jc w:val="center"/>
        <w:textAlignment w:val="auto"/>
        <w:outlineLvl w:val="0"/>
        <w:rPr>
          <w:rFonts w:hint="eastAsia" w:ascii="方正小标宋简体" w:hAnsi="方正小标宋简体" w:eastAsia="方正小标宋简体" w:cs="方正小标宋简体"/>
          <w:b w:val="0"/>
          <w:bCs/>
          <w:spacing w:val="0"/>
          <w:sz w:val="32"/>
          <w:szCs w:val="32"/>
        </w:rPr>
      </w:pPr>
      <w:bookmarkStart w:id="57" w:name="_Toc7436"/>
      <w:r>
        <w:rPr>
          <w:rFonts w:hint="eastAsia" w:ascii="方正小标宋简体" w:hAnsi="方正小标宋简体" w:eastAsia="方正小标宋简体" w:cs="方正小标宋简体"/>
          <w:b w:val="0"/>
          <w:bCs/>
          <w:spacing w:val="0"/>
          <w:sz w:val="32"/>
          <w:szCs w:val="32"/>
        </w:rPr>
        <w:t>第五部分开发区改革政策</w:t>
      </w:r>
      <w:bookmarkEnd w:id="54"/>
      <w:bookmarkEnd w:id="55"/>
      <w:bookmarkEnd w:id="56"/>
      <w:bookmarkEnd w:id="57"/>
    </w:p>
    <w:p>
      <w:pPr>
        <w:rPr>
          <w:rFonts w:hint="eastAsia"/>
          <w:spacing w:val="0"/>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在城镇规划和土地利用总体规划调整中为开发区留足发展空间。各市、县政府要抓紧修订或编制城镇总体规划、城镇体系规划</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将开发区的设立、扩区纳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城镇总体规划、城镇体系规划</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在本轮市、县土地利用总体规划调整中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为开发区设立、扩区留足空间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新增建设用地应最大限度地向开发区倾斜。继续实行开发区年度用地计划指标单列。（晋发〔2016〕50号）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在省政府批准设立的高新技术开发区、经济技术开发区、工业园区和产业集聚区先行开展区域环评改革试点。（晋政办发〔2018〕121号）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对未列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国家《建设项目环境影响评价分类管理名录》的建设项目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除未来可能出现的环境影响或环境风险较大的项目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以及涉及自然保护区、风景名胜区、饮用水水源保护区、泉域重点保护区等环境敏感区的项目外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无需履行环评手续。（晋政办发〔2018〕121号）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对按照国家《建设项目环境影响评价分类管理名录》要求</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应当填报环境影响登记表的项目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由建设单位在项目建成并投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生产运营前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网上在线自行填报环境影响登记表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办理备案手续。国家规定需要保密的项目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仍采用纸质方式备案。（晋政办发〔2018〕121号）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积极探索推进开发区行政执法体制改革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整合开发区管委会所属的各类行政执法队伍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设立综合行政执法机构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以管委会名义实行综合执法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各部门向开发区的派驻机构实行联合执法。接受社会监督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坚决制止各种不正之风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对违规的人和事坚决查处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查处结果向社会公布。开发区应进一步优化政务服务流程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积极推行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一站式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政务服务大厅并联审批、网上办理等模式创新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五证合一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登记制度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一套材料、一表登记、一窗受理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工作模式。努力打造开发区公平正义的法治环境、优质高效的政务环境和宜居宜业的人文环境。（晋发〔2016〕50号）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实行领导班子任期制。每个任期一般为3年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在同一岗位连续任职一般不超过3个任期。工作特殊需要的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按照干部管理权限经批准后可以适当延长任职年限。（晋人社厅发〔2017〕27号）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实行全员岗位聘任制。开发区管委会应根据机构编制部门核定的人员编制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除领导班子成员外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全面实行人员聘任制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聘期3年。（晋人社厅发〔2017〕27号）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实行绩效工资制。绩效工资总量由各开发区管委会综合考虑本地区经济发展、财力状况、安全生产、社会稳定、上年度人员</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工资收入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等因素自主核定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总量控制在同级政府无收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全额拨款事业单位绩效工资总量的5倍以内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其中超出原财政保障的部分由开发区自行解决。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晋人社厅发〔2017〕27号）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建立专业化的管理运营团队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所有工作人员原则上专业对口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学有所长</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发挥专长</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以此缩短现有人才素质与岗位要求的差距。（晋人社厅发〔2017〕27号）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鼓励开发区积极探索市场化运营改革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国内外战略投资者、专业化园区运营商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整体外包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特许经营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等形式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委托开展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园中园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的设计、建设、招商、运营和维护</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与开发区管委会确定收益回报和风险共担机制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加快推进产业园区建设。人力资源管理系统要全面引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市场化竞争机制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在人员选聘、工资分配、职务职称晋升、考核奖惩等各个管理环节都要服从市场竞争规则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体现市场竞争、优胜劣汰和优秀人才脱颖而出的良性机制。（晋人社厅发〔2017〕27号）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开发区管理要有国际化视野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向国际化迈进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加强与国外园区的交流合作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对标国际先进的管理模式、管理经验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扎扎实实迈开发展步伐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持续不断向国际化标准推进。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晋人社厅发〔2017〕27号）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开发区根据经济发展和管运分离改革的要求</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明确独立运营事项（或园区）和运营机构标准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向社会公开选择合法的、有实力的运营机构。运营机构可以是专业公司、专业团队或有实力的运营企业。根据运营机构的参与意愿</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通过竞争性谈判或磋商等方式择优确定运营机构。开发区所在地政府或开发区管理机构通过与运营机构签订运营合同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约定双方的权利和义务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将开发区整体或局部、或某方面事项交由运营机构管理和运营。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晋办发〔2019〕6号）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以集约节约促进开发区产业集聚。各地在安排项目用地时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除矿山和对环境有特殊要求的工业项目外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新建工业类项目要全部进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开发区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要运用土地调控手段</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引导产业集聚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提高土地利用效率。各地要按照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整体规划、分步实施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的原则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根据资金到位、项目进度等情况区分轻重缓急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合理分配用地指标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科学确定土地供应量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开发区及纳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转型项目储备库的项目用地应保尽保。</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晋政办发〔2018〕31号）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加快示范区环境保护基础设施建设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实现污染集中治理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重点抓好污水集中处理、固体废物集中处置、集中供热、集中供气、风险应急等设施的建设。加快落后产能的关停淘汰和重点行业的污染减排</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推进区域环境综合整治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为新建项目腾出环境容量空间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优先用于示范区重点项目建设。（晋环环评函〔2017〕121号）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市、县规划期内剩余的用地规划指标最大限度地向开发区集中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土地利用总体规划调整完善中下达市、县的新增规划指标优先向开发区集中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积极调整土地利用结构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市、县要大力实施闲置凋敝宅基地整治盘活利用、城乡建设用地增减挂钩、工矿废弃地复垦利用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把流量用地规划指标向开发区集中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贫困县的增减挂钩节余指标要优先向各开发区投放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调整使用已批未征用地指标优先向开发区安排</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依法依规调整开发区规划涉及的基本农田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加快土地利用总体规划调整完善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2017年年底前全面完成市、县级土地利用总体规划调整完善工作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各级规划调整方案要专门说明开发区用地布局情况。</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晋政发〔2017〕28号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p>
    <w:p>
      <w:pPr>
        <w:pStyle w:val="4"/>
        <w:keepNext w:val="0"/>
        <w:keepLines w:val="0"/>
        <w:pageBreakBefore w:val="0"/>
        <w:wordWrap/>
        <w:topLinePunct w:val="0"/>
        <w:bidi w:val="0"/>
        <w:spacing w:afterAutospacing="0" w:line="500" w:lineRule="exact"/>
        <w:jc w:val="center"/>
        <w:textAlignment w:val="auto"/>
        <w:rPr>
          <w:rFonts w:hint="eastAsia" w:ascii="方正小标宋简体" w:hAnsi="方正小标宋简体" w:eastAsia="方正小标宋简体" w:cs="方正小标宋简体"/>
          <w:b w:val="0"/>
          <w:bCs/>
          <w:spacing w:val="0"/>
          <w:sz w:val="32"/>
          <w:szCs w:val="32"/>
        </w:rPr>
      </w:pPr>
      <w:bookmarkStart w:id="58" w:name="_Toc11024_WPSOffice_Level1"/>
      <w:bookmarkStart w:id="59" w:name="_Toc11823_WPSOffice_Level1"/>
      <w:bookmarkStart w:id="60" w:name="_Toc26139"/>
      <w:bookmarkStart w:id="61" w:name="_Toc9413"/>
      <w:bookmarkStart w:id="62" w:name="_Toc13727"/>
      <w:r>
        <w:rPr>
          <w:rFonts w:hint="eastAsia" w:ascii="方正小标宋简体" w:hAnsi="方正小标宋简体" w:eastAsia="方正小标宋简体" w:cs="方正小标宋简体"/>
          <w:b w:val="0"/>
          <w:bCs/>
          <w:spacing w:val="0"/>
          <w:sz w:val="32"/>
          <w:szCs w:val="32"/>
        </w:rPr>
        <w:t>第六部分优化营商环境和构建亲清</w:t>
      </w:r>
      <w:bookmarkEnd w:id="58"/>
      <w:bookmarkEnd w:id="59"/>
      <w:bookmarkStart w:id="63" w:name="_Toc776_WPSOffice_Level2"/>
      <w:r>
        <w:rPr>
          <w:rFonts w:hint="eastAsia" w:ascii="方正小标宋简体" w:hAnsi="方正小标宋简体" w:eastAsia="方正小标宋简体" w:cs="方正小标宋简体"/>
          <w:b w:val="0"/>
          <w:bCs/>
          <w:spacing w:val="0"/>
          <w:sz w:val="32"/>
          <w:szCs w:val="32"/>
        </w:rPr>
        <w:t>政商关系政策</w:t>
      </w:r>
      <w:bookmarkEnd w:id="60"/>
      <w:bookmarkEnd w:id="61"/>
      <w:bookmarkEnd w:id="62"/>
      <w:bookmarkEnd w:id="63"/>
    </w:p>
    <w:p>
      <w:pPr>
        <w:rPr>
          <w:rFonts w:hint="eastAsia"/>
          <w:spacing w:val="0"/>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自2017年10月1日起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向社会开放总局企业名称库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提供企业名称查询服务。启用升级改造的比对系统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为申请人提供企业名称筛查服务。申请人通过国家工商行政管理总局企业登记网上注册申请业务系统（以下简称网上注册系统）提交申请时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即时提供禁限用信息和相同相近比对情况。（工商办字〔2017〕157号）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除冠以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中国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等字样及需要总局现场受理等企业名称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继续实行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一审一核</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其他通过网上注册系统提交的企业名称预先核准申请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审核合一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的制度。（工商办字〔2017〕157号）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从2018年6月1日起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全省范围内各类市场主体（外资企业除外）登记不涉及前置审批和无须国家工商总局预先核准企业名称的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都可以通过山西省工商行政管理局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网上服务大厅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网上登记全程电子化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的企业名称自主申报系统进行申报。企业名称由申请人在设立登记时一并申请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无须预先申报核准。但涉及前置审批事项的企业名称或者需经国家工商总局核准登记的企业名称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应当申请办理名称预先核准。通过名称自主申报系统申报的企业名称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企业登记机关不再核发《企业名称预先核准通知书》。因前置审批或其他原因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需要核发《企业名称预先核准通知书》的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申请人应按照企业名称预先核准程序（网上和现场均可）办理。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晋工商企注字〔2018〕137号）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为工商企业、个体经营者和农民专业合作社提供申领以及补、换营业执照的邮政特快专递服务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即用户在全省各级工商注册部门线上平台及线下窗口申领、补、换工商营业执照时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可根据需求自愿选择邮政特快专递寄递服务送达。（晋工商企注字〔2018〕139号）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优化新办企业申领发票程序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压缩申领时间。新办企业在开展业务时补录税务登记信息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进一步优化发票申领程序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压缩发票申领时间。将新办企业首次办理申领发票的时间压缩至1天以内。（晋政办发〔2018〕73号）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各级社保经办机构不再单独核发社会保险登记证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取消社会保险登记证定期验证和换证制度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采用统一社会信用代码进行登记管理。推动企业职工参保登记业务网上办理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压缩办理时间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为企业提供更加便捷高效的参保登记服务。（晋政办发〔2018〕73号）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规范全程电子化登记和网上注册程序。对于申请人通过全程电子化系统提交的申请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审核人员应当在1个工作日内作出是否受理的决定。对于申请人通过网上注册提交的企业设立登记申请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审核人员应当在1个工作日内进行初审。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晋工商企注字〔2018〕213号）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审核合一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登记制度。企业登记全程均由同一登记人员负责受理、审查、核准等各个环节的业务办理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审核合一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晋工商企注字〔2018〕213号）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严格执行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一次性告知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制度。申请人向工商部门申请办理企业登记时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受理人员对于申请人提交的有关材料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应当认真、全面地进行审查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对材料齐全、符合法定条件的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应当当场受理并准予登记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条件不符或手续不全的应当以书面形式一次性告知需补充完善的材料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做到一次性告知准确、清楚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一次性告知书应留存备查。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晋工商企注字〔2018〕213号）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工商部门负责压缩企业登记办理时间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将办理企业设立登记的时间压缩至3天以内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指工作日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下同）。公安部门负责指导、规范压公章办理时间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公章制作单位应在1天以内完成印章刻制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并按照规定向公安机关备案。税务部门负责压缩新办企业申领发票时间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新办企业首次办理申发票的时间压缩至1天以内。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晋工商企注字〔2018〕220号）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2018年6月底前起全面执行山西省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多证合一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改革事项清单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将国家层面的整合证照事项全部纳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我省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多证合一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改革范畴。实行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三十证合一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。全面实行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一套材料、一表登记、一窗受理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的工作模式。申请人办理企业注册记时自行填写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一张表格</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一个窗口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提交</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一套材料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登记部门直接核发加载统一社会信用代码的营业执照。（晋工商企注字〔2018〕140号）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取消19类工业产品生产许可证管理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将3类工业产品由实施生产许可证管理转为实施强制性产品认证管理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将8类工业产品生产许可证管理权限由质检总局下放给省级人民政府质量技术监督部门。调整后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继续实施工业产品生产许可证管理的产品共计38类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由质检总局实施的19类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由省级人民政府质量技术监督部门实施的19类。（国发〔2017〕34号）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2018年11月10日起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在全省范围内对国务院明确的第一批106项涉企行政审批事项分别按照直接取消审批、审批改为备案、实行告知承诺、优化准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服务等四种方式实施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证照分离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改革。加强事中事后监管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建立部门间信息共享、协同监管和联合奖惩机制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形成全过程监管体系。建立长效机制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积极探索推进涉企行政审批事项改革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做到成熟一批复制推广一批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逐步减少涉企行政审批事项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在全省有序推开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证照分离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逐步对所有涉及市场准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的行政审批事项按照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证照分离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改革模式进行分类管理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为企业进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市场提供更大便利。（晋政发〔2018〕44号）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3545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专项改革。以企业开办、不动产登记、一般性工业项目建设为突破口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大力简环节、减材料、优流程、压时限。2018年底前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申请新开办企业实现省级3个工作日内完成营业执照办理、涉税办理、公章刻制等事项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查封、抵押、注销登记等企业和群众关注度高的不动产登记压缩至5个工作日内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其他不动产登记逐步实现5个工作日内完成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一般性工业项目从立项到竣工验收的审批时限压缩至45个工作日内。（厅字〔2018〕42号）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加快推进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证照分离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改革。采取取消审批、审批改为备案、实行告知承诺、优化准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服务等方式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在5个国家级开发区先期试点的基础上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完善制度设计和政策构架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推动提速扩容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在全省全面推开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证照分离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最大限度让企业用营业执照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一把钥匙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打开准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和准营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两扇大门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。逐步推动减少涉企行政审批事项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实现对所有涉及市场准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、准营的行政审批事项按照证照分离改革模式进行分类管理。（晋政办发〔2018〕119号）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深化企业简易注销改革。拓展企业简易注销适用范围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压缩简易注销公告时间。将非上市股份有限公司、有限责任公司分支机构等企业类型纳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企业简易注销适用范围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试点进一步压缩企业简易注销公告时间。简化优化注销业务流程。对没有拖欠社会保险费用且不存在职工参保关系的企业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社保部门及时反馈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注销无异议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意见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并同步进行社会保险登记注销。加强市场监管部门和税务部门简易注销业务协同。在企业简易注销公告前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设置企业清税提示。对有未办结涉税事项的企业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税务部门应在公告期届满次日提出异议。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深化专利申请改革。2019年底前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大幅消减发明专利审查积压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高价值专利审查周期压减30%以上。5年内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发明专利审查周期压减三分之一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其中高价值专利审查周期压减一半。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全面清理工业产品生产许可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加快向产品认证转变。2019年将实行工业产品生产许可证管理的产品进一步压减至15类左右。加强国家强制性产品认证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CCC）相关政策宣传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协调解决证后监管的疑难问题。</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持续开展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减证便民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行动。进一步精简盖章、审核、备案、确认、告知等环节和手续。坚决落实国务院</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六个一律取消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要求</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全面清理烦扰企业和群众的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奇葩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证明、循环证明、重复证明。全面清理规范政府规章和规范性文件等设定的各类证明事项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对确需保留的证明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实行清单管理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及时公布省、市、县三级证明事项保留清单。清单之外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政府部门、公用事业单位和服务机构不得索要证明。（晋政办发〔2018〕119号）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探索开展证明事项告知承诺制试点。选取部分证明事项在部分地区开展告知承诺制试点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事后进行随机抽查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依法严厉处罚虚假承诺并纳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信用记录。加快推进部分证明事项在全省范围内实施告知承诺制。（晋政办发〔2018〕119号）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全省域开展企业投资项目承诺制改革。企业投资项目全面推行并联审批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以供地、开工、竣工投产为节点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按照政府统一服务、企业承诺的方式对报建审批事项进行流程再造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推动项目审批全面提速。事项办理实施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统一清单告知、统一平台办理、统一流程再造、统一多图联审、统一收费管理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。深化拓展改革试点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探索推进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标准地+承诺制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改革模式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明确建设用地规划、能耗、污染排放、单位产出等标准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积极稳妥将承诺制改革试点范围拓展到核准类投资项目。（晋政办发〔2018〕119号）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全面推进工程建设项目审批制度改革。统一审批流程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精简审批环节</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完善审批体系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一张蓝图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统筹项目实施、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一个系统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实施统一管理、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一个窗口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提供综合服务、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一张表单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整合申报材料、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一套机制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规范审批运行。通过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减、并、转、调、诺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等措施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一般性工业项目从立项到竣工验收的审批时限压缩至45个工作日内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力促项目审批全面提速。除特殊工程和交通、水利、能源等领域的重大工程外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工程建设项目从立项到竣工验收的审批时限压缩至100个工作日内。5年内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工程建设项目从立项到竣工验收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全流程审批时间压减一半以上。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探索试点区域评估。选择山西转型综改示范区和部分开发区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园区）开展区域评估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组织编制土地勘测定界、地质灾害危险评估、建设项目压覆矿产资源评估、地震安全性评价、环境影响评价、节能评估、水土保持方案审查、气候论证、文物评估、地价评估、土地复垦方案等区域性专项评估报告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评估报告5年内有效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落户该区域内的项目免费共享</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降低企业投资成本。政府在出让土地前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统一组织开展各类中介评估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费用纳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土地出让金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原则上不再对企业建设项目进行重复评估。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降低企业用能成本。全面落实好已出台的电网清费政策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推进区域电网和跨省跨区专项工程输电价格改革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规范和降低电网环节收费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全面清理规范电网企业在输配电价之外的收费项目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一般工商业电价平均降低10%。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降低企业物流成本。加快推动实现货车年审、年检和尾气排放检验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三检合一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。简并货运车辆认证许可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取消4.5吨及以下普通货运从业资格证和车辆营运证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对货运车辆推行跨省异地检验。推动取消高速公路省界收费站。简化物流企业分支机构设立手续。（晋政办发〔2018〕119号）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继续推进网络提速降费。加快推动实现流量资费下降30%以上、家庭宽带降价30%、中小企业专线降价10%一15%。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晋政办发〔2018〕119号）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保障企业家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公平竞争</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权益。实施市场准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负面清单制度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保障各类市场主体依法平等进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负面清单以外的行业、领域和业务。全面落实《山西省人民政府关于在市场体系建设中建立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公平竞争</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审查制度的实施意见》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晋政发〔2017〕2号）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依法清理、废除妨碍统一市场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公平竞争</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的各种规定和做法。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健全守信联合激励和失信联合惩戒机制。全面落实《山西省建立完善守信联合激励和失信联合惩戒制度加快推进社会诚信建设实施方案》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晋政发〔2017〕3号）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建立企业家诚信承诺制度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督促企业家诚信守约、依法经营。通过山西省信用信息共享平台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整合工商、财税、金融、司法、环保、安监、行业协会商会等部门和领域的企业及企业家信息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完善企业家个人信用记录和诚信档案。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全面实施</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双随机、一公开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。进一步完善随机抽查系统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确保监管公平公正。及时公开企业违法违规信息和执法检查结果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接受群众监督。建立省市县三级标准统一、互联互通的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双随机、一公开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抽查信息监管系统。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构建新型政商关系。各级党政机关干部要坦荡真诚同企业家交往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树立服务意识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落实各级领导干部联系企业制度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帮助解决企业实际困难。要规范政商行为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构建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亲</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新型政商关系。畅通企业家反映问题、解决问题渠道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建立健全解决企业家诉求长效机制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完善责任明确、部门联动的新型政府服务体系。（晋发〔2018〕2号）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树立对企业家的正向激励导向。对经营业绩优异的企业家实行绩效奖励。开展优秀企业家评选表彰活动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总结我省优秀企业家典型案例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宣传优秀企业家成功经验。适当增加企业家在各级党代表、人大代表、政协委员中的名额</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注重推荐优秀企业家参加劳动模范评选等各类表彰活动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给予一定的社会荣誉</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形成支持鼓励企业家干事创业的良好社会氛围。（晋发〔2018〕2号）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引导企业家积极投身重大战略。建立企业家参与重大战略实施机制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鼓励企业家积极投身</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一带一路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参与国企国资改革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参与军民融合发展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参与基础设施和公共服务领域建设。鼓励企业家干事担当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积极投身山西转型综改试验区、能源革命排头兵、国家新型综合能源基地、世界煤基科技创新成果转化基地、全国重要的现代制造业基地、内陆地区对外开放新高地建设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为山西振兴崛起贡献力量。（晋发〔2018〕2号）</w:t>
      </w:r>
    </w:p>
    <w:p>
      <w:pPr>
        <w:keepNext w:val="0"/>
        <w:keepLines w:val="0"/>
        <w:pageBreakBefore w:val="0"/>
        <w:widowControl w:val="0"/>
        <w:numPr>
          <w:ilvl w:val="0"/>
          <w:numId w:val="0"/>
        </w:numPr>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深化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放管服效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改革。做好国务院取消行政许可事项等的落实承接工作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持续精简省级行政审批项目。对行政审批前置申请材料进行全面清理规范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切实解决企业办事难等突出问题。探索建立企业投资项目承诺制。建立重大项目落地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零距离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服务机制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为省级重大项目审批提供全程服务。设立行政效能监督窗口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不定期邀请人大代表、政协委员、政风行风监督员、新闻媒体和其他社会各界对窗口单位的政务服务进行监督。落实服务企业常态长效制度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围绕建体系、建机制、建平台、建制度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推动建立全省自上而下、横向拓展的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1+N</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工作体系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畅通企业问题受理渠道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上下联动、部门协同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分级分类高效协调解决企业问题。开展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兑现政府对民营企业的承诺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专项行动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完善民营经济综合服务窗口工作机制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打造长效服务平台。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优化面向企业和企业家服务项目的办事流程。积极打造审批最少、流程最优、体制最顺、机制最活、效率最高、服务最好的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六最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营商环境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及时动态调整省政府部门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单位）权责清单并向社会公开。加快推进网上申报办理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加速建设省级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互联网</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政务服务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平台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实行线上线下一体化运行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实现政务服务事项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一号申请、一窗受理、一网通办</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完善涉企政策和信息公开机制。充分利用省政务服务中心、网上政务平台、移动客户端、自助终端、服务热线等线上线下载体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将政府涉企权力事项清单、行政审批事项清单和审批流程等进行公开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接受企业监督。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切实减轻企业负担。全面清理规范涉企收费。坚持依法治税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减少自由裁量权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增加透明度。全面落实</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营改增</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减税降负政策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落实《全省税务系统优化税收营商环境服务经济转型发展实施意见》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持续释放更大改革红利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激励企业家干事创业。巩固和完善政府性基金和行政事业性收费目录清单管理制度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合理降低企业税费负担和融资成本</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优化营商环境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明显降低制度性交易成本、能源成本和物流成本</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五险一金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缴费占工资总额的比例合理降低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人工成本上涨得到有效控制。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晋发〔2018〕2号）</w:t>
      </w:r>
    </w:p>
    <w:p>
      <w:pPr>
        <w:pStyle w:val="4"/>
        <w:keepNext w:val="0"/>
        <w:keepLines w:val="0"/>
        <w:pageBreakBefore w:val="0"/>
        <w:numPr>
          <w:ilvl w:val="0"/>
          <w:numId w:val="3"/>
        </w:numPr>
        <w:wordWrap/>
        <w:topLinePunct w:val="0"/>
        <w:bidi w:val="0"/>
        <w:spacing w:afterAutospacing="0" w:line="500" w:lineRule="exact"/>
        <w:jc w:val="center"/>
        <w:textAlignment w:val="auto"/>
        <w:rPr>
          <w:rFonts w:hint="eastAsia" w:ascii="方正小标宋简体" w:hAnsi="方正小标宋简体" w:eastAsia="方正小标宋简体" w:cs="方正小标宋简体"/>
          <w:b w:val="0"/>
          <w:bCs/>
          <w:spacing w:val="0"/>
          <w:sz w:val="32"/>
          <w:szCs w:val="32"/>
        </w:rPr>
      </w:pPr>
      <w:bookmarkStart w:id="64" w:name="_Toc9706"/>
      <w:bookmarkStart w:id="65" w:name="_Toc32006"/>
      <w:bookmarkStart w:id="66" w:name="_Toc26957"/>
      <w:bookmarkStart w:id="67" w:name="_Toc4360_WPSOffice_Level1"/>
      <w:bookmarkStart w:id="68" w:name="_Toc27473_WPSOffice_Level1"/>
      <w:r>
        <w:rPr>
          <w:rFonts w:hint="eastAsia" w:ascii="方正小标宋简体" w:hAnsi="方正小标宋简体" w:eastAsia="方正小标宋简体" w:cs="方正小标宋简体"/>
          <w:b w:val="0"/>
          <w:bCs/>
          <w:spacing w:val="0"/>
          <w:sz w:val="32"/>
          <w:szCs w:val="32"/>
        </w:rPr>
        <w:t>支持高新技术企业发展政策</w:t>
      </w:r>
      <w:bookmarkEnd w:id="64"/>
      <w:bookmarkEnd w:id="65"/>
      <w:bookmarkEnd w:id="66"/>
      <w:bookmarkEnd w:id="67"/>
      <w:bookmarkEnd w:id="68"/>
    </w:p>
    <w:p>
      <w:pPr>
        <w:numPr>
          <w:ilvl w:val="0"/>
          <w:numId w:val="0"/>
        </w:numPr>
        <w:rPr>
          <w:rFonts w:hint="eastAsia"/>
          <w:spacing w:val="0"/>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国家高新技术企业认定条件:</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1）企业申请高新技术企业认定时须注册成立一年以上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2）在中国境内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不含港、澳、台地区）注册的企业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通过自主研发、受让、受赠、并购等方式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或通过5年以上的独占许可方式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对其主要产品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服务）的核心技术拥有自主知识产权的所有权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且达到下列其中一项数量要求:A、发明专利、植物新品种、国家新药、国家级农作物品种、国家一级中药保护品种、集成电路布图设计专有权1件以上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B、实用新型专利8件以上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C、非简单改变产品图案和形状的外观设计专利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主要是指:运用科学和工程技术的方法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经过研究与开发过程得到的外观设计）或者软件著作权8件以上</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3）对企业主要产品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服务）发挥核心支持作用的技术属于《国家重点支持的高新技术领域目录2016》规定的范围</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4）企业从事研发和相关技术创新活动的科技人员占企业当年职工总数的比例不低于10%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（5）企业近三个会计年度（实际经营期不满三年的按实际经营时间计算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下同）的研究开发费用总额占同期销售收入总额的比例符合如下要求:最近一年销售收入小于5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000万元（含）的企业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比例不低于5%</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最近一年销售收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000万元至2亿元（含）的企业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比例不低于4%</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最近一年销售收入</w:t>
      </w:r>
      <w:bookmarkStart w:id="109" w:name="_GoBack"/>
      <w:bookmarkEnd w:id="109"/>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在2亿元以上的企业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比例不低于3%。其中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企业在中国境内发生的研究开发费用总额占全部研究开发费用总额的比例不低于60%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（委托外部研究开发费用的实际发生额应按照独立交易原则确定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按照实际发生额的80%计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委托方研发费用总额。）</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（6）近一年高新技术产品（服务）收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占企业同期总收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的比例不低于60%</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（7）企业创新能力评价应达到相应要求</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（8）企业申请高新认定前一年内未发生重大安全、重大质量事故或严重环境违法行为。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国家需要重点扶持的高新技术企业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减按15%的税率征收企业所得税。（《中华人民共和国企业所得税法》第二十八条）</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对经认定的技术先进型服务企业（含服务贸易类）</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减按15%的税率征收企业所得税。经认定的技术先进型服务企业发生的职工教育经费支出</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不超过工资薪金总额8%的部分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准予在计算应纳税所得额时扣除</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超过部分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准予在以后纳税年度结转扣除。</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财税〔2018〕44号）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4.对首次通过或连续3次通过高新技术企业认定的企业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根据认定指标得分情况一次性最高奖励20万元。资金用于奖励研发团队。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5.自2018年1月1日起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当年具备高新技术企业或科技型中小企业资格的企业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其具备资格年度之前5个年度发生的尚未弥补完的亏损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准予结转以后年度弥补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最长结转年限由5年延长至10年。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财税〔2018〕76号）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6.企业开展研发活动实际发生的研发费用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未形成无形资产计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当期损益的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在按照规定据实扣除的基础上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在2018年1月1日至2020年12月31日期间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再按照实际发生额的75%在税前加计扣除</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形成无形资产的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在上述期间按照无形资产成本的175%在税前摊销。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财税〔2018〕99号）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7.委托境外进行研发活动所发生的费用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按照费用实际发生额的80%计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委托方的委托境外研发费用。委托境外研发费用不超过境内符合条件的研发费用三分之二的部分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可以按规定在企业所得税前加计扣除。</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财税〔2018〕64号）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8.企业在2014年1月1日后新购进的专门用于研发活动的仪器、设备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单位价值不超过100万元的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允许一次性计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当期成本费用在计算应纳税所得额时扣除</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不再分年度计算折旧</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单位价值超过100万元的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允许按不低于企业所得税法规定折旧年限的60%缩短折旧年限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或选择采取双倍余额递减法或年数总和法进行加速折旧。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晋政办发〔2017〕61号）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开展企业研发项目鉴定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不得向企业收取任何费用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所需要的工作经费应纳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部门经费预算给予保障。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国科发政〔2017〕211号）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自2019年1月1日至2021年12月31日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对国家级、省级科技企业孵化器、大学科技园和国家备案众创空间自用以及无偿或通过出租等方式提供给在孵对象使用的房产、土地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免征房产税和城镇土地使用税</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对其向在孵对象提供孵化服务取得的收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免征增值税。</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财税〔2018〕120号）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对研究与试验发展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R&amp;D）经费投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强度全省排名前十位的企业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根据其研发投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给予一定科研经费奖励。对主营业务收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2亿元及以上的最高奖励400万元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1亿元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含）-2亿元的最高奖励300万元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低于1亿元的最高奖励200万元。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对通过山西科技成果转化和知识产权交易管理服务平台交易科技成果并在省内转化的省内企业、高校、科研院所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按其技术合同成交并实际到账额</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以转账凭证为依据）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给予技术输出方5%的补助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单个科技成果最高补助100万元。对省内企业购买省外先进技术成果并在省内转化、产业化的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按其技术合同成交并实际支付额（以转账凭证为依据）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给予5%的补助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单个科技成果最高补助100万元。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对高校、科研院所与企业联合设立的股份制科技型企业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高校、科研院所以技术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股且股权占比不低于30%的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按该企业科技研发、成果转化和企业产品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技术）销量</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营业额）增长等绩效情况</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一次性最高奖励50万元。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对首次通过或连续3次通过高新技术企业认定的企业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根据认定指标得分情况一次性最高奖励20万元。资金用于奖励研发团队。（晋政办发〔2017〕148号）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对于通过国家科技型中小企业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库登记企业全部纳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全省高新技术企业培育库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提供政策宣传、申报辅导等精准服务。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对新认定的国家级科技企业孵化器奖励100万元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新认定的省级科技企业孵化器奖励50万元。对已有的科技企业孵化器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驻的小微企业和孵化毕业的企业数、融资数等绩效情况择优奖励30万元。（晋政办发〔2017〕148号）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对新认定的国家级众创空间、星创天地奖励100万元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新认定的省级众创空间、星创天地奖励50万元。对已有的众创空间、星创天地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按照创客数、融资数等绩效情况择优奖励30万元。对获得中国创新创业大赛优秀奖和山西赛区一、二等奖的项目分别奖励20万元、10万元和5万元。（晋政办发〔2017〕148号）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通过申领科技创新券的方式对购买创新服务、开展技术合作的科技型中小企业给予资助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每个企业年补助额最高不超过20万元。（晋政办发〔2017〕148号）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运用后补助方式。支持企业通过自主研发、受让、许可、作价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股、产学研合作等方式实施科技成果转化。对企业实施高新技术成果转化项目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根据其综合经济指标的完成情况及项目知识产权的属性、创新程度等</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在一定期限内</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对其研发投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给予扶持。对获得国家科技奖励的重大成果进行转化的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给予省级科技计划立项支持。鼓励通过科技成果转化形成首台（套）重大装备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对实现首台（套）业绩突破的科技成果转化产品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可享受首台（套）相关政策支持。（晋政发〔2017〕31号）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每年审核选择一批具有自主知识产权科技成果、在我省设立或与省内企业共同设立公司、开展科技成果转化活动的科技团队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使用山西省科技成果转化引导基金或其他政府引导基金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进行直接股权投资。科技团队可自主选择申请债权投资还是股权投资。（晋政办发〔2017〕148号）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对以专利质押贷款方式融资达到300万元及以上的企业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一次性补助贷款利息、担保、评估等费用总额的50%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最高补助20万元。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个人合伙人可以按照对初创科技型企业投资额的70%抵扣个人合伙人从合伙创投企业分得的经营所得</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当年不足抵扣的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可以在以后纳税年度结转抵扣。</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财税〔2018〕55号）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依法批准设立的非营利性研究开发机构和高等学校根据《中华人民共和国促进科技成果转化法》规定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从职务科技成果转化收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中给予科技人员的现金奖励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可减按50%计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科技人员当月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工资、薪金所得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依法缴纳个人所得税。本规定自2018年7月1日起施行。本规定施行前非营利性科研机构和高校取得的科技成果转化收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自施行后36个月内给科技人员发放现金奖励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符合本规定的其他条件的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适用本规定。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财税〔2018〕58号）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对新建的国家重点实验室、省部共建国家重点实验室、国家工程技术研究中心、国家临床医学研究中心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给予200万元经费支持。对新建的省级重点实验室、工程技术研究中心、临床医学研究中心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给予100万元建设经费支持</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年度考核为优秀的奖励30万元。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晋政办发〔2017〕148号）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国家鼓励和支持企业建立技术中心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发挥企业在技术创新中的主体作用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建立健全企业主导产业技术研发创新的体制机制。国家根据创新驱动发展要求和经济结构调整需要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对创新能力强、创新机制好、引领示范作用大、符合条件的企业技术中心予以认定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并给予政策支持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鼓励引导行业骨干企业带动产业技术进步和创新能力提高。</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《国家企业技术中心认定管理办法》）</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利用现有资金渠道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重点支持技术创新基础设施和公共实验平台建设、中试生产线及设备、产业共性技术开发和标准制定、人才培养和引进等。鼓励银行在风险可控条件下加大对创新中心的信贷支持力度。研究发行支持创新中心直接融资的创新债券品种。（《制造业创新中心建设工程实施指南（2016-2020）》）落实支持创新的税收优惠政策。创新中心首次商业化的技术装备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《首台（套）重大技术装备推广应用指导目录》的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通过首台（套）重大技术装备保险补偿政策</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支持应用推广。对涉及科技研发相关内容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如确需中央财政支持的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应通过优化整合后的中央财政科技计划（专项、基金等）统筹考虑予以支持。</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《制造业创新中心建设工程实施指南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2016-2020）》）</w:t>
      </w:r>
      <w:bookmarkStart w:id="69" w:name="_Toc27465_WPSOffice_Level1"/>
      <w:bookmarkStart w:id="70" w:name="_Toc651_WPSOffice_Level1"/>
      <w:bookmarkStart w:id="71" w:name="_Toc17741"/>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before="3" w:afterAutospacing="0" w:line="500" w:lineRule="exact"/>
        <w:ind w:left="0" w:leftChars="0" w:firstLine="0" w:firstLineChars="0"/>
        <w:jc w:val="center"/>
        <w:textAlignment w:val="auto"/>
        <w:outlineLvl w:val="0"/>
        <w:rPr>
          <w:rFonts w:hint="eastAsia" w:ascii="方正小标宋简体" w:hAnsi="方正小标宋简体" w:eastAsia="方正小标宋简体" w:cs="方正小标宋简体"/>
          <w:spacing w:val="0"/>
          <w:sz w:val="32"/>
          <w:szCs w:val="32"/>
        </w:rPr>
      </w:pPr>
      <w:bookmarkStart w:id="72" w:name="_Toc24575"/>
      <w:r>
        <w:rPr>
          <w:rFonts w:hint="eastAsia" w:ascii="方正小标宋简体" w:hAnsi="方正小标宋简体" w:eastAsia="方正小标宋简体" w:cs="方正小标宋简体"/>
          <w:spacing w:val="0"/>
          <w:sz w:val="32"/>
          <w:szCs w:val="32"/>
        </w:rPr>
        <w:t>支持</w:t>
      </w:r>
      <w:r>
        <w:rPr>
          <w:rFonts w:hint="eastAsia" w:ascii="方正小标宋简体" w:hAnsi="方正小标宋简体" w:eastAsia="方正小标宋简体" w:cs="方正小标宋简体"/>
          <w:spacing w:val="0"/>
          <w:sz w:val="32"/>
          <w:szCs w:val="32"/>
          <w:lang w:eastAsia="zh-CN"/>
        </w:rPr>
        <w:t>“</w:t>
      </w:r>
      <w:r>
        <w:rPr>
          <w:rFonts w:hint="eastAsia" w:ascii="方正小标宋简体" w:hAnsi="方正小标宋简体" w:eastAsia="方正小标宋简体" w:cs="方正小标宋简体"/>
          <w:spacing w:val="0"/>
          <w:sz w:val="32"/>
          <w:szCs w:val="32"/>
        </w:rPr>
        <w:t>小升规</w:t>
      </w:r>
      <w:r>
        <w:rPr>
          <w:rFonts w:hint="eastAsia" w:ascii="方正小标宋简体" w:hAnsi="方正小标宋简体" w:eastAsia="方正小标宋简体" w:cs="方正小标宋简体"/>
          <w:spacing w:val="0"/>
          <w:sz w:val="32"/>
          <w:szCs w:val="32"/>
          <w:lang w:eastAsia="zh-CN"/>
        </w:rPr>
        <w:t>”</w:t>
      </w:r>
      <w:r>
        <w:rPr>
          <w:rFonts w:hint="eastAsia" w:ascii="方正小标宋简体" w:hAnsi="方正小标宋简体" w:eastAsia="方正小标宋简体" w:cs="方正小标宋简体"/>
          <w:spacing w:val="0"/>
          <w:sz w:val="32"/>
          <w:szCs w:val="32"/>
        </w:rPr>
        <w:t>发展政策</w:t>
      </w:r>
      <w:bookmarkEnd w:id="69"/>
      <w:bookmarkEnd w:id="70"/>
      <w:bookmarkEnd w:id="71"/>
      <w:bookmarkEnd w:id="72"/>
    </w:p>
    <w:p>
      <w:pPr>
        <w:pStyle w:val="2"/>
        <w:numPr>
          <w:ilvl w:val="0"/>
          <w:numId w:val="0"/>
        </w:numPr>
        <w:ind w:leftChars="0"/>
        <w:rPr>
          <w:rFonts w:hint="eastAsia"/>
          <w:spacing w:val="0"/>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分类推动小微工业企业上规升级</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以年主营业务收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500万元至2000万元的小微工业企业为重点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通过培育一批、改造一批、引进一批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力争用3年时间新增2000户规模以上工业企业。（晋政办发〔2018〕89号）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以工商、税务等部门的相关数据为基础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加强调研摸排</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建立小微工业企业基础信息库。筛选一批有发展潜力的企业作为重点培育对象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建立完善重点培育企业库。加强对重点培育企业的帮扶、指导、服务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助推企业年主营业务收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达到规模以上并纳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统计部门联网直报。（晋政办发〔2018〕89号）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鼓励同类小微工业企业通过合并、分立、出售、置换等方式进行资产重组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上规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对资产重组过程中的货物、不动产、土地使用权转让</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不征收增值税。（晋政办发〔2018〕89号）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对重点培育企业和规模以上工业企业纳税确有困难需要减免房产税和土地使用税的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按照税收管理体制有关规定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经税务部门批准</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定期给予减免房产税和土地使用税。（晋政办发〔2018〕89号）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从2018年起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省级财政对首次上规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统的小微工业企业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上规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统后连续2年未退出规模以上工业企业库的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给予5万元的奖励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连续3年的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再给予10万元的奖励。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省级技术改造专项资金优先支持规模以上工业企业。省级中小微企业发展专项资金和省级其他项目扶持资金优先支持重点培育企业和规模以上工业企业。（晋政办发〔2018〕89号）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有关部门要将重点培育企业和规模以上工业企业优先推荐给金融机构。鼓励金融机构按照风险可控、商业可持续原则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支持重点培育企业和规模以上工业企业。（晋政办发〔2018〕89号）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进一步简化行政审批流程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提高行政审批效率。减少安排重点培育企业和规模以上工业企业参加各类非必要的会议、座谈、评比、视察等活动。（晋政办发〔2018〕89号）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各开发区、各有关部门要优先保障重点培育企业和规模以上工业企业的用地、用电需求。对重点培育企业和规模以上工业企业的工业用地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在符合规划、不改变用途的前提下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增加容积率时不加收土地价款。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晋政办发〔2018〕89号）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综合利用大数据、云计算等信息技术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建立全省中小企业大数据平台和月度监测制度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全面掌握中小企业特别是重点培育企业的生产经营情况。省、市、县三级中小企业部门、统计部门、税务部门要加强信息共享和工作协调。（晋政办发〔2018〕89号）</w:t>
      </w:r>
    </w:p>
    <w:p>
      <w:pPr>
        <w:pStyle w:val="2"/>
        <w:keepNext w:val="0"/>
        <w:keepLines w:val="0"/>
        <w:pageBreakBefore w:val="0"/>
        <w:widowControl w:val="0"/>
        <w:kinsoku/>
        <w:wordWrap/>
        <w:overflowPunct/>
        <w:topLinePunct w:val="0"/>
        <w:autoSpaceDE/>
        <w:autoSpaceDN/>
        <w:bidi w:val="0"/>
        <w:adjustRightInd/>
        <w:snapToGrid/>
        <w:spacing w:before="39" w:beforeLines="12" w:line="500" w:lineRule="exact"/>
        <w:ind w:left="0" w:leftChars="0" w:firstLine="560" w:firstLineChars="0"/>
        <w:textAlignment w:val="auto"/>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11.</w:t>
      </w:r>
      <w:r>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t>加大奖励力度。为提高企业上规入统的积极性，对首次上规入统的企业每户在省奖补30万元的基础上再奖励20万元，由市中小企业发展专项资金解决。</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吕</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政办发〔201</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56</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号）</w:t>
      </w:r>
      <w:r>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t>(</w:t>
      </w:r>
      <w:r>
        <w:rPr>
          <w:rStyle w:val="12"/>
          <w:rFonts w:hint="eastAsia" w:ascii="仿宋" w:hAnsi="仿宋" w:eastAsia="仿宋" w:cs="仿宋"/>
          <w:i w:val="0"/>
          <w:caps w:val="0"/>
          <w:color w:val="000000" w:themeColor="text1"/>
          <w:spacing w:val="0"/>
          <w:sz w:val="28"/>
          <w:szCs w:val="28"/>
          <w:highlight w:val="none"/>
          <w:shd w:val="clear" w:fill="FFFFFF"/>
          <w:lang w:eastAsia="zh-CN"/>
          <w14:textFill>
            <w14:solidFill>
              <w14:schemeClr w14:val="tx1"/>
            </w14:solidFill>
          </w14:textFill>
        </w:rPr>
        <w:t>吕梁</w:t>
      </w:r>
      <w:r>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t>市中小企业局、</w:t>
      </w:r>
      <w:r>
        <w:rPr>
          <w:rStyle w:val="12"/>
          <w:rFonts w:hint="eastAsia" w:ascii="仿宋" w:hAnsi="仿宋" w:eastAsia="仿宋" w:cs="仿宋"/>
          <w:i w:val="0"/>
          <w:caps w:val="0"/>
          <w:color w:val="000000" w:themeColor="text1"/>
          <w:spacing w:val="0"/>
          <w:sz w:val="28"/>
          <w:szCs w:val="28"/>
          <w:highlight w:val="none"/>
          <w:shd w:val="clear" w:fill="FFFFFF"/>
          <w:lang w:eastAsia="zh-CN"/>
          <w14:textFill>
            <w14:solidFill>
              <w14:schemeClr w14:val="tx1"/>
            </w14:solidFill>
          </w14:textFill>
        </w:rPr>
        <w:t>吕梁</w:t>
      </w:r>
      <w:r>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t>市财政局负责)</w:t>
      </w:r>
    </w:p>
    <w:p>
      <w:pPr>
        <w:pStyle w:val="2"/>
        <w:keepNext w:val="0"/>
        <w:keepLines w:val="0"/>
        <w:pageBreakBefore w:val="0"/>
        <w:widowControl w:val="0"/>
        <w:kinsoku/>
        <w:wordWrap/>
        <w:overflowPunct/>
        <w:topLinePunct w:val="0"/>
        <w:autoSpaceDE/>
        <w:autoSpaceDN/>
        <w:bidi w:val="0"/>
        <w:adjustRightInd/>
        <w:snapToGrid/>
        <w:spacing w:before="39" w:beforeLines="12" w:line="500" w:lineRule="exact"/>
        <w:ind w:left="0" w:leftChars="0" w:firstLine="561" w:firstLineChars="0"/>
        <w:textAlignment w:val="auto"/>
        <w:rPr>
          <w:rStyle w:val="12"/>
          <w:rFonts w:hint="eastAsia" w:ascii="仿宋" w:hAnsi="仿宋" w:eastAsia="仿宋" w:cs="仿宋"/>
          <w:i w:val="0"/>
          <w:caps w:val="0"/>
          <w:color w:val="000000" w:themeColor="text1"/>
          <w:spacing w:val="0"/>
          <w:sz w:val="28"/>
          <w:szCs w:val="28"/>
          <w:highlight w:val="none"/>
          <w:shd w:val="clear" w:fill="FFFFFF"/>
          <w:lang w:val="en-US" w:eastAsia="zh-CN"/>
          <w14:textFill>
            <w14:solidFill>
              <w14:schemeClr w14:val="tx1"/>
            </w14:solidFill>
          </w14:textFill>
        </w:rPr>
      </w:pPr>
      <w:r>
        <w:rPr>
          <w:rStyle w:val="12"/>
          <w:rFonts w:hint="eastAsia" w:ascii="仿宋" w:hAnsi="仿宋" w:eastAsia="仿宋" w:cs="仿宋"/>
          <w:i w:val="0"/>
          <w:caps w:val="0"/>
          <w:color w:val="000000" w:themeColor="text1"/>
          <w:spacing w:val="0"/>
          <w:sz w:val="28"/>
          <w:szCs w:val="28"/>
          <w:highlight w:val="none"/>
          <w:shd w:val="clear" w:fill="FFFFFF"/>
          <w:lang w:val="en-US" w:eastAsia="zh-CN"/>
          <w14:textFill>
            <w14:solidFill>
              <w14:schemeClr w14:val="tx1"/>
            </w14:solidFill>
          </w14:textFill>
        </w:rPr>
        <w:t>12.</w:t>
      </w:r>
      <w:r>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t>加大政策倾斜。市级中小微企业发展专项资金和市级其他项目扶持资金优先支持重点培育企业和规模以上工业企业。</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吕</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政办发〔201</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lang w:val="en-US" w:eastAsia="zh-CN"/>
          <w14:textFill>
            <w14:solidFill>
              <w14:schemeClr w14:val="tx1"/>
            </w14:solidFill>
          </w14:textFill>
        </w:rPr>
        <w:t>56</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号）</w:t>
      </w:r>
      <w:r>
        <w:rPr>
          <w:rStyle w:val="12"/>
          <w:rFonts w:hint="eastAsia" w:ascii="仿宋" w:hAnsi="仿宋" w:eastAsia="仿宋" w:cs="仿宋"/>
          <w:i w:val="0"/>
          <w:caps w:val="0"/>
          <w:color w:val="000000" w:themeColor="text1"/>
          <w:spacing w:val="0"/>
          <w:sz w:val="28"/>
          <w:szCs w:val="28"/>
          <w:highlight w:val="none"/>
          <w:shd w:val="clear" w:fill="FFFFFF"/>
          <w14:textFill>
            <w14:solidFill>
              <w14:schemeClr w14:val="tx1"/>
            </w14:solidFill>
          </w14:textFill>
        </w:rPr>
        <w:t>(市工信局、市财政局、市中小企业局等有关部门负责)</w:t>
      </w:r>
    </w:p>
    <w:p>
      <w:pPr>
        <w:pStyle w:val="4"/>
        <w:keepNext w:val="0"/>
        <w:keepLines w:val="0"/>
        <w:pageBreakBefore w:val="0"/>
        <w:numPr>
          <w:ilvl w:val="0"/>
          <w:numId w:val="0"/>
        </w:numPr>
        <w:wordWrap/>
        <w:topLinePunct w:val="0"/>
        <w:bidi w:val="0"/>
        <w:spacing w:afterAutospacing="0" w:line="500" w:lineRule="exact"/>
        <w:jc w:val="center"/>
        <w:textAlignment w:val="auto"/>
        <w:outlineLvl w:val="0"/>
        <w:rPr>
          <w:rFonts w:hint="eastAsia" w:ascii="方正小标宋简体" w:hAnsi="方正小标宋简体" w:eastAsia="方正小标宋简体" w:cs="方正小标宋简体"/>
          <w:b w:val="0"/>
          <w:bCs/>
          <w:spacing w:val="0"/>
          <w:sz w:val="32"/>
          <w:szCs w:val="32"/>
        </w:rPr>
      </w:pPr>
      <w:bookmarkStart w:id="73" w:name="_Toc12343_WPSOffice_Level1"/>
      <w:bookmarkStart w:id="74" w:name="_Toc30958_WPSOffice_Level1"/>
      <w:bookmarkStart w:id="75" w:name="_Toc10980"/>
      <w:bookmarkStart w:id="76" w:name="_Toc530"/>
      <w:bookmarkStart w:id="77" w:name="_Toc9702"/>
      <w:r>
        <w:rPr>
          <w:rFonts w:hint="eastAsia" w:ascii="方正小标宋简体" w:hAnsi="方正小标宋简体" w:eastAsia="方正小标宋简体" w:cs="方正小标宋简体"/>
          <w:b w:val="0"/>
          <w:bCs/>
          <w:spacing w:val="0"/>
          <w:sz w:val="32"/>
          <w:szCs w:val="32"/>
          <w:lang w:eastAsia="zh-CN"/>
        </w:rPr>
        <w:t>第九部分</w:t>
      </w:r>
      <w:r>
        <w:rPr>
          <w:rFonts w:hint="eastAsia" w:ascii="方正小标宋简体" w:hAnsi="方正小标宋简体" w:eastAsia="方正小标宋简体" w:cs="方正小标宋简体"/>
          <w:b w:val="0"/>
          <w:bCs/>
          <w:spacing w:val="0"/>
          <w:sz w:val="32"/>
          <w:szCs w:val="32"/>
        </w:rPr>
        <w:t>加快推进数字经济发展的</w:t>
      </w:r>
      <w:bookmarkEnd w:id="73"/>
      <w:bookmarkEnd w:id="74"/>
      <w:bookmarkStart w:id="78" w:name="_Toc14562_WPSOffice_Level2"/>
      <w:r>
        <w:rPr>
          <w:rFonts w:hint="eastAsia" w:ascii="方正小标宋简体" w:hAnsi="方正小标宋简体" w:eastAsia="方正小标宋简体" w:cs="方正小标宋简体"/>
          <w:b w:val="0"/>
          <w:bCs/>
          <w:spacing w:val="0"/>
          <w:sz w:val="32"/>
          <w:szCs w:val="32"/>
        </w:rPr>
        <w:t>若干政策</w:t>
      </w:r>
      <w:bookmarkEnd w:id="75"/>
      <w:bookmarkEnd w:id="76"/>
      <w:bookmarkEnd w:id="77"/>
      <w:bookmarkEnd w:id="78"/>
    </w:p>
    <w:p>
      <w:pPr>
        <w:rPr>
          <w:rFonts w:hint="eastAsia"/>
          <w:spacing w:val="0"/>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1.将通信设施建设纳</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城乡基础设施建设规划。支持通信基础运营商及铁塔公司开展5G移动通信网络、基于1Pv6的下一代互联网、移动物联网等新一代信息基础设施示范建设项目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给予不超过项目投资额的30%、总额不超过500万元补助</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支持在我省设立5G联合创新实验室。（晋政发〔2019〕20号）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2.支持重点行业、典型企业打造工业互联网企业内网标杆网络</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支持中小企业参照标杆网络开展企业生产性网络改造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支持建设跨行业、跨领域工业互联网重点平台或行业性工业互联网重点平台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建设和运营一批标识解析二级节点</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给予不超过项目投资额的30%、总额不超过500万元的补助。鼓励电信运营商优先保障工业企业网络服务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为工业企业推出更有针对性的优惠资费方案和企业信息化综合解决方案。（晋政发〔2019〕20号）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3.对大数据产业、人工智能与实体经济深度融合、工业互联网、软件工程化能力、新型信息消费、网络安全技术应用等领域的国家级试点示范企业（项目）、优秀解决方案</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分别给予一次性100万元、50万元奖励。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4.推进农业、工业、服务业等领域数字化转型</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支持开展数字经济融合应用示范项目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认定后按照投资额的30%给予一次性奖励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最高不超过500万元。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5.推动工业企业数字化、网络化、智能化转型发展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全面推动智能制造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对认定为国家智能制造标杆企业、省级智能制造标杆企业、省级智能制造示范企业的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分别给予一次性300万元、100万元、50万元奖励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工业企业智能制造专家诊断和评估一次性补助不超过20万元。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6.对自主创新能力强、形成核心自主知识产权并快速产业化的数字经济领域相关产品、应用系统、工业APP等研发推广应用项目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一次性给予不超过项目投资额的30%、总额不超过500万元的奖励。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7.支持半导体、通信设备、人工智能、信息安全、传感器、计算机、光电、电子专用装备及关键电子材料、零部件、元器件等电子信息制造企业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年主营业务收入首次达到1亿元、5亿元、10亿元的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分别给予一次性奖补100万元、300万元、500万元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年主营业务收入1亿元以上且同比增幅在10%以上的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按照主营收入增量的3%予以奖励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最高不超过500万元。（晋政发〔2019〕20号）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8.对我省首次进</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全国电子信息百强、软件百强、互联网百强的企业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分别给予一次性奖补200万元。对大数据企业主营业务收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首次达到1亿元、2亿元、3亿元、5亿元的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分别给予一次性奖补100万元、200万元、300万元、500万元。（晋政发〔2019〕20号）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9.鼓励初创大数据企业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驻政府投资建设的标准厂房和办公用房</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省政府按年给予办公场地租金补贴。其中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300平方米以内免房租</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300平方米至1000平方米房租减半补贴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补贴期不超过3年。（晋政发〔2019〕20号）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10.鼓励政策性担保机构加大对大数据产业知识产权质押贷款的担保支持力度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在担保风险分担比例和担保费率等方面给予最大限度支持。同时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对于资信良好、成长性好且经营规范的大数据企业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流动资金贷款200万元（含）以上的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按照当年新增流动资金贷款的5%给予贴息</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每户企业每年最高不超过500万元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补贴期不超过3年。对于获得天使投资的大数据企业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给予所获天使投资额的10%、最高不超过100万元的一次性奖励。（晋政发〔2019〕20号）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11.鼓励大数据企业开展市场拓展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企业参与省外招标项目中标</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单个中标合同金额达300万元及以上的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按合同完成金额的3%给予奖励。同一个项目、系统或产品最高奖励不超过200万元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同一企业年度最高奖励300万元。鼓励企业参加各类专业展会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对展位费的80%予以补贴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每家每年最高不超过10万元。（晋政发〔2019〕20号）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12.对首次通过CMM1（能力成熟度模型集成）3级、4级、5级认证的软件企业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分别给予10万元、20万元、30万元奖励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对首次通过1Tss（信息技术服务标准）运行维护标准、云服务标准符合性评估一级、二级、三级的企业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分别给予30万元、20万元、10万元奖励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对首次通过DCMM（数据管理能力成熟度模型）3级、4级、5级的企业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分别给予10万元、20万元、30万元奖励。由低等次向高等次升级的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奖励其差额部分。（晋政发〔2019〕20号）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13.对牵头制（修）订数字经济领域相关国际标准、国家标准、行业标准和地方标准的企业或单位</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在标准公告并执行后分别给予50万元、30万元、20万元和10万元奖励。（晋政发〔2019〕20号）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14.我省大数据企业、高校或研究机构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新认定为国家（国家地方联合）工程研究中心、技术创新中心、重点实验室的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给予一次性500万元奖励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新认定为省级工程技术研究中心、重点实验室的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给予一次性150万元奖励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新认定为国家级企业技术中心、省级企业技术中心的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分别给予一次性300万元、50万元奖励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新认定为高新技术企业的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给予一次性100万元奖励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新获得</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国家知识产权示范企业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和</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国家知识产权优势企业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分别给予一次性50万元、20万元奖励。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15.培育建设大数据产业基地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打造创新产业政策、集约要素资源、构建产业生态的核心载体。支持产业基地引进专业运营服务机构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经认定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按照产业基地实际服务费用的50%给予奖励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每个基地每年不超过200万元。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16.支持大数据产业基地建设技术研发、测试测评、标准验证等基础性、支撑性公共服务平台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根据公共平台建设运营情况</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按照平台初期建设费用的50%给予一次性奖励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最高不超过500万元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按照平台运营费用的50%给予奖励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每个平台每年不超过100万元。支持省内企业、高校和科研院所组成数字经济共享服务联合体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整合产学研平台资源</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为产业数字化转型发展提供研发、合作、推广、培训等服务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每年优选一批联合体给予一次性奖补</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每个最高不超过500万元。（晋政发〔2019〕20号）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17.支持我省行业协会、专业机构或企业在晋举办数字经济领域行业性大赛、产业大会、产业论坛等活动</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营造发展环境</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培育市场氛围。认定后按照活动费用的50%予以补贴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每场活动最高50万元。（晋政发〔2019〕20号）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18.支持各地对相关行政事业人员和企业开展公益性交流培训</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组织人员赴先进地区交流学习</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对经确认的培训项目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按照培训费用的50%给予奖励。支持大数据产业基地建设大数据教育实训基地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为本地区大数据产业发展提供人才支撑</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经认定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按照实训基地建设费用的30%给予一次性奖励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最高不超过500万元。（晋政发〔2019〕20号）</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19.支持数字经济领域企业实施人才计划项目</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对引进、培育数字经济领域技术、管理、市场和财务等优秀骨干人才的企业给予补贴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骨干人才年薪在社会平均工资3倍以上（含）的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每人每年补贴1-3万元</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参加国内外高级培训或派遣到国外合作企业工作进修的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给予50%的培训费或进修费补贴</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每人次最高不超过10万元。科研院所转化职务发明成果收益给予参与研发的科技人员的现金奖励</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符合税收政策相关规定的</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可减按50%计</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入</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科技人员工资、薪金所得缴纳个人所得税。支持数字经济领域省级研究生教育创新中心建设</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对新认定的给予一次性10万元奖励</w:t>
      </w:r>
      <w:r>
        <w:rPr>
          <w:rFonts w:hint="default" w:ascii="仿宋_GB2312" w:hAnsi="仿宋_GB2312" w:eastAsia="仿宋_GB2312" w:cs="仿宋_GB2312"/>
          <w:color w:val="000000" w:themeColor="text1"/>
          <w:spacing w:val="0"/>
          <w:sz w:val="28"/>
          <w:szCs w:val="28"/>
          <w:highlight w:val="none"/>
          <w:lang w:val="e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对首次考核评价为优秀等次的给予一次性50万元奖励。（晋政发〔2019〕20号）</w:t>
      </w:r>
    </w:p>
    <w:p>
      <w:pPr>
        <w:pStyle w:val="4"/>
        <w:keepNext w:val="0"/>
        <w:keepLines w:val="0"/>
        <w:pageBreakBefore w:val="0"/>
        <w:numPr>
          <w:ilvl w:val="0"/>
          <w:numId w:val="0"/>
        </w:numPr>
        <w:wordWrap/>
        <w:topLinePunct w:val="0"/>
        <w:bidi w:val="0"/>
        <w:spacing w:afterAutospacing="0" w:line="500" w:lineRule="exact"/>
        <w:jc w:val="center"/>
        <w:textAlignment w:val="auto"/>
        <w:outlineLvl w:val="0"/>
        <w:rPr>
          <w:rFonts w:hint="eastAsia" w:ascii="方正小标宋简体" w:hAnsi="方正小标宋简体" w:eastAsia="方正小标宋简体" w:cs="方正小标宋简体"/>
          <w:b w:val="0"/>
          <w:bCs/>
          <w:spacing w:val="0"/>
          <w:sz w:val="32"/>
          <w:szCs w:val="32"/>
          <w:lang w:eastAsia="zh-CN"/>
        </w:rPr>
      </w:pPr>
      <w:bookmarkStart w:id="79" w:name="_Toc8554"/>
      <w:bookmarkStart w:id="80" w:name="_Toc4637_WPSOffice_Level1"/>
      <w:bookmarkStart w:id="81" w:name="_Toc21871_WPSOffice_Level1"/>
      <w:bookmarkStart w:id="82" w:name="_Toc5349"/>
      <w:bookmarkStart w:id="83" w:name="_Toc12720"/>
      <w:r>
        <w:rPr>
          <w:rFonts w:hint="eastAsia" w:ascii="方正小标宋简体" w:hAnsi="方正小标宋简体" w:eastAsia="方正小标宋简体" w:cs="方正小标宋简体"/>
          <w:b w:val="0"/>
          <w:bCs/>
          <w:spacing w:val="0"/>
          <w:sz w:val="32"/>
          <w:szCs w:val="32"/>
          <w:lang w:eastAsia="zh-CN"/>
        </w:rPr>
        <w:t>第十部分战略性新兴产业电价机制政策</w:t>
      </w:r>
      <w:bookmarkEnd w:id="79"/>
      <w:bookmarkEnd w:id="80"/>
      <w:bookmarkEnd w:id="81"/>
      <w:bookmarkEnd w:id="82"/>
      <w:bookmarkEnd w:id="83"/>
    </w:p>
    <w:p>
      <w:pPr>
        <w:numPr>
          <w:ilvl w:val="0"/>
          <w:numId w:val="0"/>
        </w:numPr>
        <w:ind w:leftChars="0"/>
        <w:rPr>
          <w:rFonts w:hint="eastAsia"/>
          <w:spacing w:val="0"/>
        </w:rPr>
      </w:pP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1.根据国家统计局《战略性新兴产业分类（2018</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》规定</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按照充分体现</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六最</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营商环境原则</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建立战略性新兴产业认定负面清单制度</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支持符合条件的企业享受专场交易政策。（晋能源电力发〔2020〕494号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2.按照负面清单机制确定14个战略性新兴产业企业实行专场交易</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参与专场交易的战略性新兴产业企业不受电压等级和电量限制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享受一站式交易咨询、交易绑定、交易申报等服务。（晋能源电力发〔2020〕494号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按照负面清单原则确定可参与战略性新兴产业市场化交易的用电企业名单</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由工信厅备案。省电力公司按确定的名单向电力交易平台推送用电企业基本信息。省电力交易中心为经备案企业提供市场成员注册服务。（晋能源电力发〔2020〕494号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4</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创新电力交易机制</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实现用户终端电价0.3元/千瓦时的目标（用电电压等级为110千伏及以上</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highlight w:val="none"/>
          <w14:textFill>
            <w14:solidFill>
              <w14:schemeClr w14:val="tx1"/>
            </w14:solidFill>
          </w14:textFill>
        </w:rPr>
        <w:t>加快培育壮大14个战略性新兴产业。（晋能源电力发〔2020〕494号</w:t>
      </w: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t>）</w:t>
      </w:r>
    </w:p>
    <w:p>
      <w:pP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highlight w:val="none"/>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bookmarkStart w:id="84" w:name="_Toc11024_WPSOffice_Level2"/>
    </w:p>
    <w:p>
      <w:pPr>
        <w:pStyle w:val="16"/>
        <w:bidi w:val="0"/>
        <w:rPr>
          <w:rFonts w:hint="eastAsia"/>
          <w:spacing w:val="0"/>
        </w:rPr>
      </w:pPr>
      <w:bookmarkStart w:id="85" w:name="_Toc2053"/>
      <w:bookmarkStart w:id="86" w:name="_Toc22638"/>
      <w:r>
        <w:rPr>
          <w:rFonts w:hint="eastAsia"/>
          <w:spacing w:val="0"/>
          <w:lang w:eastAsia="zh-CN"/>
        </w:rPr>
        <w:t>三、</w:t>
      </w:r>
      <w:r>
        <w:rPr>
          <w:rFonts w:hint="eastAsia"/>
          <w:spacing w:val="0"/>
        </w:rPr>
        <w:t>各行业惠企政策汇编目录</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rPr>
          <w:rFonts w:hint="eastAsia" w:ascii="仿宋_GB2312" w:hAnsi="仿宋_GB2312" w:eastAsia="仿宋_GB2312" w:cs="仿宋_GB2312"/>
          <w:color w:val="000000" w:themeColor="text1"/>
          <w:spacing w:val="0"/>
          <w:sz w:val="28"/>
          <w:szCs w:val="28"/>
          <w14:textFill>
            <w14:solidFill>
              <w14:schemeClr w14:val="tx1"/>
            </w14:solidFill>
          </w14:textFill>
        </w:rPr>
      </w:pPr>
      <w:bookmarkStart w:id="87" w:name="_Toc4360_WPSOffice_Level2"/>
      <w:r>
        <w:rPr>
          <w:rFonts w:hint="eastAsia" w:ascii="仿宋_GB2312" w:hAnsi="仿宋_GB2312" w:eastAsia="仿宋_GB2312" w:cs="仿宋_GB2312"/>
          <w:color w:val="000000" w:themeColor="text1"/>
          <w:spacing w:val="0"/>
          <w:sz w:val="28"/>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r>
        <w:rPr>
          <w:rFonts w:hint="eastAsia" w:ascii="楷体" w:hAnsi="楷体" w:eastAsia="楷体" w:cs="楷体"/>
          <w:color w:val="000000" w:themeColor="text1"/>
          <w:spacing w:val="0"/>
          <w:sz w:val="28"/>
          <w:szCs w:val="28"/>
          <w14:textFill>
            <w14:solidFill>
              <w14:schemeClr w14:val="tx1"/>
            </w14:solidFill>
          </w14:textFill>
        </w:rPr>
        <w:t>（一）新能源汽车</w:t>
      </w:r>
      <w:bookmarkEnd w:id="87"/>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1．财政部科技部工业和信息化部发展改革委关于调整新能源汽车推广应用财政补贴政策的通知（财建〔2016〕958号）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2．财政部科技部工业和信息化部发展改革委关于调整完善新能源汽车推广应用财政补贴政策的通知（财建〔2018〕18号）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3．山西省人民政府办公厅关于加快推进电动汽车产业发展和推广应用的实施意见（晋政办发〔2015〕115号）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4．山西省财政厅 山西省经济和信息化委员会关于印发新能源汽车营销补助资金管理办法的通知（晋财建一〔2016〕74号）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5．山西省财政厅  山西省科学技术厅山西省经济和信息化委员会山西省发展和改革委员会关于印发电动汽车推广应用省级补贴资金管理办法的通知（晋财建一〔2016〕75号）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6．山西省财政厅 山西省经济和信息化委员会关于印发新能源汽车营销补助资金管理办法的补充通知（晋财建一〔2017〕119号）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山西省财政厅山西省经济和信息化委员会山西省科学技术厅山西省发展和改革委员会关于转发《财政部工业和信息化部科技部发展改革委关于调整完善新能源汽车推广应用财政补贴政策的通知》的通知（晋财建一〔2018〕77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88" w:name="_Toc651_WPSOffice_Level2"/>
      <w:r>
        <w:rPr>
          <w:rFonts w:hint="eastAsia" w:ascii="楷体" w:hAnsi="楷体" w:eastAsia="楷体" w:cs="楷体"/>
          <w:color w:val="000000" w:themeColor="text1"/>
          <w:spacing w:val="0"/>
          <w:sz w:val="28"/>
          <w:szCs w:val="28"/>
          <w14:textFill>
            <w14:solidFill>
              <w14:schemeClr w14:val="tx1"/>
            </w14:solidFill>
          </w14:textFill>
        </w:rPr>
        <w:t>（二）装备制造</w:t>
      </w:r>
      <w:bookmarkEnd w:id="88"/>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8．关于印发《智能制造综合标准化与新模式应用项目管理工作细则》的通知（工信厅装〔2018〕21号）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9．关于调整重大技术装备进口税收政策有关目录的通知（财关税〔2018〕42号）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10．关于深入做好首台（套）重大技术装备保险补偿机制试点工作的通知（财建办〔2018〕35号）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11．省经信委关于印发《山西省智能制造发展实施意见（2016-2020年）》的通知（晋经信技术字〔2017〕83号）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12．关于开展省级智能制造试点示范培育工作的通知（晋经信技术字〔2017〕370号）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89" w:name="_Toc30958_WPSOffice_Level2"/>
      <w:r>
        <w:rPr>
          <w:rFonts w:hint="eastAsia" w:ascii="楷体" w:hAnsi="楷体" w:eastAsia="楷体" w:cs="楷体"/>
          <w:color w:val="000000" w:themeColor="text1"/>
          <w:spacing w:val="0"/>
          <w:sz w:val="28"/>
          <w:szCs w:val="28"/>
          <w14:textFill>
            <w14:solidFill>
              <w14:schemeClr w14:val="tx1"/>
            </w14:solidFill>
          </w14:textFill>
        </w:rPr>
        <w:t>（三）新材料</w:t>
      </w:r>
      <w:bookmarkEnd w:id="89"/>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13．工业和信息化部发展改革委科技部财政部关于印发《新材料产业发展指南》的通知（工信部联规〔2016〕454号）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14．工业和信息化部办公厅银保监会办公厅关于开展2018年度重点新材料首批次应用保险补偿机制试点工作的通知（工信厅联原函〔2018〕423号）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15．山西省人民政府关于印发《山西省“十三五”战略性新兴产业发展规划》的通知（晋政发〔2016〕41号）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16．山西省发展和改革委员会关于印发《山西省“十三五”新型材料产业发展规划》的通知（晋发改规划发〔2016〕615号）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17．山西省人民政府办公厅关于印发《山西省加快推进新材料产业发展实施方案》的通知（晋政办发〔2017〕26号）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0" w:name="_Toc21871_WPSOffice_Level2"/>
      <w:r>
        <w:rPr>
          <w:rFonts w:hint="eastAsia" w:ascii="楷体" w:hAnsi="楷体" w:eastAsia="楷体" w:cs="楷体"/>
          <w:color w:val="000000" w:themeColor="text1"/>
          <w:spacing w:val="0"/>
          <w:sz w:val="28"/>
          <w:szCs w:val="28"/>
          <w14:textFill>
            <w14:solidFill>
              <w14:schemeClr w14:val="tx1"/>
            </w14:solidFill>
          </w14:textFill>
        </w:rPr>
        <w:t>（四）新一代信息技术</w:t>
      </w:r>
      <w:bookmarkEnd w:id="90"/>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18．工业和信息化部国家机关事务管理局国家能源局关于加强绿色数据中心建设的指导意见（工信部联节〔2019〕24号）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19．山西省人民政府关于印发《山西省促进大数据发展应用若干政策》的通知（晋政发〔2017〕6号）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20．国务院《国家集成电路产业发展推进纲要》</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21．财政部税务总局国家发展改革委工业和信息化部关于进一步鼓励集成电路产业发展企业所得税政策的通知（财税〔2015〕6号）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22．财政部税务总局国家发展改革委工业和信息化部关于集成电路生产企业有关企业所得税政策问题的通知（财税〔2018〕27号）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23．财政部海关总署国家税务总局关于新型显示器件项目进口设备增值税分期纳税政策的通知（财关税〔2016〕30号）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24．光伏、锂离子电池、印刷电路板行业公告管理。</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光伏：《中华人民共和国工业和信息化部公告(2018年第2号)》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锂离子电池：《中华人民共和国工业和信息化部公告(2019年第5号)》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印刷电路板：《中华人民共和国工业和信息化部公告(2018年第71号)》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25．国务院关于印发《进一步鼓励软件产业和集成电路产业发展若干政策》的通知（国发〔2011〕4号）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26．财政部国家税务总局关于软件产品增值税政策的通知（财税〔2011〕100号）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27．财政部国家税务总局关于进一步鼓励软件产业和集成电路产业发展企业所得税政策的通知（财税〔2012〕27号）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28．财政部国家税务总局发展改革委工业和信息化部关于软件和集成电路产业企业所得税优惠政策有关问题的通知（财税〔2016〕49号）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29．山西省人民政府办公厅关于印发《山西省支持现代服务业发展政策措施（2017年版）》的通知（晋政办发〔2017〕155号）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30．云计算发展三年行动计划（2017-2019年）</w:t>
      </w:r>
      <w:r>
        <w:rPr>
          <w:rFonts w:hint="eastAsia" w:ascii="仿宋_GB2312" w:hAnsi="仿宋_GB2312" w:eastAsia="仿宋_GB2312" w:cs="仿宋_GB2312"/>
          <w:color w:val="000000" w:themeColor="text1"/>
          <w:spacing w:val="0"/>
          <w:sz w:val="28"/>
          <w:szCs w:val="28"/>
          <w14:textFill>
            <w14:solidFill>
              <w14:schemeClr w14:val="tx1"/>
            </w14:solidFill>
          </w14:textFill>
        </w:rPr>
        <w:tab/>
      </w:r>
      <w:r>
        <w:rPr>
          <w:rFonts w:hint="eastAsia" w:ascii="仿宋_GB2312" w:hAnsi="仿宋_GB2312" w:eastAsia="仿宋_GB2312" w:cs="仿宋_GB2312"/>
          <w:color w:val="000000" w:themeColor="text1"/>
          <w:spacing w:val="0"/>
          <w:sz w:val="28"/>
          <w:szCs w:val="28"/>
          <w14:textFill>
            <w14:solidFill>
              <w14:schemeClr w14:val="tx1"/>
            </w14:solidFill>
          </w14:textFill>
        </w:rPr>
        <w:t>(工信部信软〔2017〕49号)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31．工业互联网发展行动计划（2018-2020年）</w:t>
      </w:r>
      <w:r>
        <w:rPr>
          <w:rFonts w:hint="eastAsia" w:ascii="仿宋_GB2312" w:hAnsi="仿宋_GB2312" w:eastAsia="仿宋_GB2312" w:cs="仿宋_GB2312"/>
          <w:color w:val="000000" w:themeColor="text1"/>
          <w:spacing w:val="0"/>
          <w:sz w:val="28"/>
          <w:szCs w:val="28"/>
          <w14:textFill>
            <w14:solidFill>
              <w14:schemeClr w14:val="tx1"/>
            </w14:solidFill>
          </w14:textFill>
        </w:rPr>
        <w:tab/>
      </w:r>
      <w:r>
        <w:rPr>
          <w:rFonts w:hint="eastAsia" w:ascii="仿宋_GB2312" w:hAnsi="仿宋_GB2312" w:eastAsia="仿宋_GB2312" w:cs="仿宋_GB2312"/>
          <w:color w:val="000000" w:themeColor="text1"/>
          <w:spacing w:val="0"/>
          <w:sz w:val="28"/>
          <w:szCs w:val="28"/>
          <w14:textFill>
            <w14:solidFill>
              <w14:schemeClr w14:val="tx1"/>
            </w14:solidFill>
          </w14:textFill>
        </w:rPr>
        <w:t>(工信部信管函〔2018〕188号)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32．推动企业上云实施指南（2018-2020年）(工信部信软〔2018〕135号)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33．山西省人民政府关于深化“互联网+先进制造业”发展工业互联网的实施意见(晋政发〔2018〕34号)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34．山西省“企业上云”行动计划（2018—2020年）(晋政办发〔2018〕63号)</w:t>
      </w:r>
      <w:r>
        <w:rPr>
          <w:rFonts w:hint="eastAsia" w:ascii="仿宋_GB2312" w:hAnsi="仿宋_GB2312" w:eastAsia="仿宋_GB2312" w:cs="仿宋_GB2312"/>
          <w:color w:val="000000" w:themeColor="text1"/>
          <w:spacing w:val="0"/>
          <w:sz w:val="28"/>
          <w:szCs w:val="28"/>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35．山西省“企业上云”行动计划实施细则（试行）(晋工信办字〔2018〕4号)</w:t>
      </w:r>
      <w:r>
        <w:rPr>
          <w:rFonts w:hint="eastAsia" w:ascii="仿宋_GB2312" w:hAnsi="仿宋_GB2312" w:eastAsia="仿宋_GB2312" w:cs="仿宋_GB2312"/>
          <w:color w:val="000000" w:themeColor="text1"/>
          <w:spacing w:val="0"/>
          <w:sz w:val="28"/>
          <w:szCs w:val="28"/>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1" w:name="_Toc24482_WPSOffice_Level2"/>
      <w:r>
        <w:rPr>
          <w:rFonts w:hint="eastAsia" w:ascii="楷体" w:hAnsi="楷体" w:eastAsia="楷体" w:cs="楷体"/>
          <w:color w:val="000000" w:themeColor="text1"/>
          <w:spacing w:val="0"/>
          <w:sz w:val="28"/>
          <w:szCs w:val="28"/>
          <w14:textFill>
            <w14:solidFill>
              <w14:schemeClr w14:val="tx1"/>
            </w14:solidFill>
          </w14:textFill>
        </w:rPr>
        <w:t>（五）节能与资源综合利用</w:t>
      </w:r>
      <w:bookmarkEnd w:id="91"/>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36．财政部国家税务总局关于执行资源综合利用企业所得税优惠目录有关问题的通知（财税〔2008〕47号）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37．财政部国家税务总局关于印发资源综合利用产品和劳务增值税优惠目录的通知（财税〔2015〕78号）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38．国家发展改革委科学技术部工业和信息化部财政部国土资源部环境保护部住房和城乡建设部国家税务总局国家质量监督检验检疫总局国家安全生产监督管理总局等10部门令第19号《粉煤灰综合利用管理办法》</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39．国家发展和改革委员会科学技术部工业和信息化部财政部国土资源部环境保护部住房和城乡建设部国家税务总局国家质量监督检验检疫总局国家安全生产监督管理总局等10部门令第18号《煤矸石综合利用管理办法（2014年修订版）》</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40．工业和信息化部《废钢铁加工行业准入条件》（公告2012年第47号）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41．财政部工业和信息化部关于组织开展绿色制造系统集成工作的通知（财建〔2016〕797号）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42．工业和信息化部办公厅关于开展绿色制造体系建设的通知（工信厅节函〔2016〕586号）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43．山西省经信委关于印发《山西省绿色制造体系建设实施方案》和《山西省绿色制造体系建设2017年行动计划》的通知（晋经信资源字〔2017〕154号）</w:t>
      </w: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2" w:name="_Toc1488_WPSOffice_Level2"/>
      <w:r>
        <w:rPr>
          <w:rFonts w:hint="eastAsia" w:ascii="楷体" w:hAnsi="楷体" w:eastAsia="楷体" w:cs="楷体"/>
          <w:color w:val="000000" w:themeColor="text1"/>
          <w:spacing w:val="0"/>
          <w:sz w:val="28"/>
          <w:szCs w:val="28"/>
          <w14:textFill>
            <w14:solidFill>
              <w14:schemeClr w14:val="tx1"/>
            </w14:solidFill>
          </w14:textFill>
        </w:rPr>
        <w:t>（六）消费品</w:t>
      </w:r>
      <w:bookmarkEnd w:id="92"/>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44．国家发展改革委工业和信息化部关于促进食品工业健康发展的指导意见（发改产业〔2017〕19号）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45．国家中医药管理局关于印发中医药发展“十三五”规划的通知（国中医药规财发〔2016〕25号）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46．国务院办公厅关于开展消费品工业“三品”专项行动营造良好市场环境的若干意见（国办发〔2016〕40号）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47．国务院办公厅关于印发中医药健康服务发展规划（2015—2020年）的通知（国办发〔2015〕32号）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48．国务院办公厅关于转发工业和信息化部等部门中药材保护和发展规划（2015—2020年）的通知（国办发〔2015〕27号）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49．国务院关于扶持和促进中医药事业发展的若干意见（国发〔2009〕22号）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50．山西省发展和改革委员会山西经济和信息化委员会关于印发《山西省“十三五”纺织工业发展规划》的通知（晋发改规划发〔2016〕534号）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51．山西省发展和改革委员会山西经济和信息化委员会关于印发《山西省“十三五”轻工业发展规划》的通知（晋发改规划发〔2016〕535号）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52．西省发展和改革委员会山西经济和信息化委员会关于印发《山西省“十三五”食品工业发展规划》的通知（晋发改规划发〔2016〕271号）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53．山西省发展和改革委员会山西经济和信息化委员会关于印发《山西省“十三五”医药工业发展规划》的通知（晋发改规划发〔2016〕354号）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54．山西省中药材产业发展“十三五”规划</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55．山西省人民政府关于印发山西省贯彻中医药发展战略规划纲要（2016-2030年）实施方案的通知（晋政发〔2016〕71号）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56．山西省经济和信息化委员会关于印发《山西省加快推进现代医药产业发展的实施方案》《山西省现代医药产业2017年行动计划》的通知（晋经信合作字〔2017〕70号）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57．山西省人民政府办公厅关于促进中药产业发展若干措施的通知（晋政办发〔2015〕104号）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58．山西省人民政府办公厅关于进一步促进农产品加工业发展的实施意见（晋政办发〔2017〕64号）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59．山西省人民政府办公厅关于印发山西省中药材保护和发展实施方案的通知（晋政办发〔2015〕105号)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60．山西省经济和信息化委员会关于印发《山西省生物医药产业集群发展推进计划》的通知(晋经信合作字〔2018〕106号)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61．山西省经济和信息化委员会关于印发《山西省消费品工业三年（2018—2020年）振兴计划》的通知(晋经信合作字〔2018〕91号)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62．山西省人民政府办公厅关于开展消费品工业“三品”专项行动营造良好市场环境的若干意见(晋政办发〔2016〕156号)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3" w:name="_Toc6432_WPSOffice_Level2"/>
      <w:r>
        <w:rPr>
          <w:rFonts w:hint="eastAsia" w:ascii="楷体" w:hAnsi="楷体" w:eastAsia="楷体" w:cs="楷体"/>
          <w:color w:val="000000" w:themeColor="text1"/>
          <w:spacing w:val="0"/>
          <w:sz w:val="28"/>
          <w:szCs w:val="28"/>
          <w14:textFill>
            <w14:solidFill>
              <w14:schemeClr w14:val="tx1"/>
            </w14:solidFill>
          </w14:textFill>
        </w:rPr>
        <w:t>（七）交通物流</w:t>
      </w:r>
      <w:bookmarkEnd w:id="93"/>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63．关于开展多式联运示范工程的通知（交运发〔2015〕107号）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64．山西省人民政府办公厅关于印发山西省支持现代服务业发展政策措施(2017年版)的通知（晋政办发〔2017〕155号）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65．山西省人民政府关于同意我省高速公路继续实行差异化收费优惠政策的批复（晋政函〔2018〕172号）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66．山西省人民政府办公厅关于印发《山西省鼓励投资政策（2017年版）》的通知（晋政办发〔2017〕61号）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67．山西省工业和信息化厅关于印发《山西省融入“一带一路”综合物流基地和配送中心建设实施意见》的通知（晋工信办字〔2018〕44号）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68．山西省进一步支持服务业发展的若干措施(晋政发〔2016〕32号）</w:t>
      </w: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4" w:name="_Toc4370_WPSOffice_Level2"/>
      <w:r>
        <w:rPr>
          <w:rFonts w:hint="eastAsia" w:ascii="楷体" w:hAnsi="楷体" w:eastAsia="楷体" w:cs="楷体"/>
          <w:color w:val="000000" w:themeColor="text1"/>
          <w:spacing w:val="0"/>
          <w:sz w:val="28"/>
          <w:szCs w:val="28"/>
          <w14:textFill>
            <w14:solidFill>
              <w14:schemeClr w14:val="tx1"/>
            </w14:solidFill>
          </w14:textFill>
        </w:rPr>
        <w:t>（八）钢铁</w:t>
      </w:r>
      <w:bookmarkEnd w:id="94"/>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69．关于印发《工业企业结构调整专项奖补资金管理办法》的通知（财建〔2018〕462号）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70．山西省财政厅关于印发《工业企业结构调整专项奖补资金管理实施细则》的通知（晋财建〔2016〕242号）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5" w:name="_Toc2375_WPSOffice_Level2"/>
      <w:r>
        <w:rPr>
          <w:rFonts w:hint="eastAsia" w:ascii="楷体" w:hAnsi="楷体" w:eastAsia="楷体" w:cs="楷体"/>
          <w:color w:val="000000" w:themeColor="text1"/>
          <w:spacing w:val="0"/>
          <w:sz w:val="28"/>
          <w:szCs w:val="28"/>
          <w14:textFill>
            <w14:solidFill>
              <w14:schemeClr w14:val="tx1"/>
            </w14:solidFill>
          </w14:textFill>
        </w:rPr>
        <w:t>（九）化工</w:t>
      </w:r>
      <w:bookmarkEnd w:id="95"/>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71．国务院办公厅关于推进城镇人口密集区危险化学品生产企业搬迁改造的指导意见（国办发〔2017〕77号）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72．国家发展改革委工业和信息化部关于印发《现代煤化工产业创新发展布局方案》的通知（发改产〔2017〕553号）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73．财政部中国人民银行海关总署国家税务总局关于完善石脑油燃料油生产乙烯、芳烃类化工产品消费税退税政策的通知（财税〔2013〕2号）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74．财政部国家税务总局关于利用石脑油和燃料油生产乙烯芳烃类产品有关增值税政策的通知（财税〔2014〕17号）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75．财政部国家税务总局关于以外购或委托加工汽、柴油连续生产汽、柴油允许抵扣消费税政策问题的通知（财税〔2014〕15号）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76．国务院办公厅关于石化产业调结构促转型增效益的指导意见（国办发〔2016〕57号）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77．山西省人民政府办公厅关于印发《山西省焦化产业打好污染防治攻坚战推动转型升级实施方案》的通知（晋政办发〔2018〕98号）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78．山西省经济和信息化委员会山西省环境保护厅关于印发《山西省焦化行业中央环境保护督察问题整改工作方案》的通知（晋经信能〔2017〕280号）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79．山西省人民政府办公厅关于印发《山西省城镇人口密集区危险化学品生产企业搬迁改造实施方案》的通知（晋政办发〔2018〕74号）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6" w:name="_Toc24441_WPSOffice_Level2"/>
      <w:r>
        <w:rPr>
          <w:rFonts w:hint="eastAsia" w:ascii="楷体" w:hAnsi="楷体" w:eastAsia="楷体" w:cs="楷体"/>
          <w:color w:val="000000" w:themeColor="text1"/>
          <w:spacing w:val="0"/>
          <w:sz w:val="28"/>
          <w:szCs w:val="28"/>
          <w14:textFill>
            <w14:solidFill>
              <w14:schemeClr w14:val="tx1"/>
            </w14:solidFill>
          </w14:textFill>
        </w:rPr>
        <w:t>（十）建材</w:t>
      </w:r>
      <w:bookmarkEnd w:id="96"/>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80．财政部国家税务总局关于新型墙体材料增值税政策的通知(财税〔2015〕73号）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81．山西省人民政府关于加快发展新型墙体材料的实施意见（晋政发〔2007〕20号）</w:t>
      </w: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0" w:firstLineChars="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7" w:name="_Toc17318_WPSOffice_Level2"/>
      <w:r>
        <w:rPr>
          <w:rFonts w:hint="eastAsia" w:ascii="楷体" w:hAnsi="楷体" w:eastAsia="楷体" w:cs="楷体"/>
          <w:color w:val="000000" w:themeColor="text1"/>
          <w:spacing w:val="0"/>
          <w:sz w:val="28"/>
          <w:szCs w:val="28"/>
          <w14:textFill>
            <w14:solidFill>
              <w14:schemeClr w14:val="tx1"/>
            </w14:solidFill>
          </w14:textFill>
        </w:rPr>
        <w:t>（十一）投资与规划</w:t>
      </w:r>
      <w:bookmarkEnd w:id="97"/>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82．工业和信息化部关于加快推进工业强基的指导意见（工信部规〔2014〕67号）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83．工业和信息化部规划司关于编制2018年度工业企业技术改造升级导向计划（第一批）的通知（工规函〔2017〕1680号）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84．工业和信息化部办公厅财政部办公厅关于发布2018年工业转型升级资金工作指南的通知（工信厅联规〔2018〕36号）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85．工信部办公厅关于组织开展2018年工业强基工程重点产品和工艺示范应用的通知（工信厅规函〔2018〕116号）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86．工业和信息化部办公厅关于征集重大投资项目编制2018年度工业企业技术改造升级导向计划（第二批）的通知（工信厅规函〔2018〕278号）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87．工业和信息化部办公厅关于组织开展2018年度工业强基工程重点产品、工艺“一条龙”应用计划工作的通知（工信厅规函〔2018〕287号）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88．工业和信息化部发展改革委科技部财政部关于《印发制造业创新中心等5大工程实施指南的通知》（包含《工业强基工程实施指南（2016-2020年）》）（工信部发改委科技部财政部联合发文）</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89．山西省人民政府关于促进企业技术改造工作的实施意见（晋政发〔2017〕7号）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90．山西省人民政府办公厅关于印发山西省技术改造专项资金使用管理暂行办法的通知（晋政办发〔2018〕49号）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91．山西省工业和信息化厅关于印发《山西省企业技术改造指导目录（2019年本）》的通知（晋工信投资字〔2019〕38号）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92．山西省工业和信息化厅关于组织开展2019年山西省技术改造专项资金项目申报工作的通知（晋工信投资字〔2019〕39号）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8" w:name="_Toc14661_WPSOffice_Level2"/>
      <w:r>
        <w:rPr>
          <w:rFonts w:hint="eastAsia" w:ascii="楷体" w:hAnsi="楷体" w:eastAsia="楷体" w:cs="楷体"/>
          <w:color w:val="000000" w:themeColor="text1"/>
          <w:spacing w:val="0"/>
          <w:sz w:val="28"/>
          <w:szCs w:val="28"/>
          <w14:textFill>
            <w14:solidFill>
              <w14:schemeClr w14:val="tx1"/>
            </w14:solidFill>
          </w14:textFill>
        </w:rPr>
        <w:t>（十二）企业技术中心</w:t>
      </w:r>
      <w:bookmarkEnd w:id="98"/>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93．《国家企业技术中心认定管理办法》（中华人民共和国国家发展和改革委员会、中华人民共和国科学技术部、中华人民共和国财政部、中华人民共和国海关总署、国家税务总局令2016年第34号）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94．《国家企业技术中心认定评价工作指南（试行）》（发改办高技〔2016〕937号）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95．《山西省企业技术中心管理办法》（山西省人民政府令2008年第219号)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96．《山西省企业技术中心认定评价工作指南（试行）》、《山西省行业技术中心认定评价工作指南（试行）》（晋经信技术字〔2017〕163号）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99" w:name="_Toc11939_WPSOffice_Level2"/>
      <w:r>
        <w:rPr>
          <w:rFonts w:hint="eastAsia" w:ascii="楷体" w:hAnsi="楷体" w:eastAsia="楷体" w:cs="楷体"/>
          <w:color w:val="000000" w:themeColor="text1"/>
          <w:spacing w:val="0"/>
          <w:sz w:val="28"/>
          <w:szCs w:val="28"/>
          <w14:textFill>
            <w14:solidFill>
              <w14:schemeClr w14:val="tx1"/>
            </w14:solidFill>
          </w14:textFill>
        </w:rPr>
        <w:t>（十三）制造业创新中心</w:t>
      </w:r>
      <w:bookmarkEnd w:id="99"/>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97．国务院关于印发《中国制造2025》的通知(国发〔2015〕28号)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98．工业和信息化部发展改革委科技部财政部关于印发《制造业创新中心等5大工程实施指南》的通知(附件1制造业创新中心建设工程实施指南(2016-2020年))（工信部发改委科技部财政部联合发文）</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99．工业和信息化部关于完善制造业创新体系，推进制造业创新中心建设的指导意见（工信部科〔2016〕273号）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100．工业和信息化部关于印发《制造业创新中心知识产权指南》的通知（工信厅科〔2016〕159号)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101．工业和信息化部办公厅关于印发省级制造业创新中心升级为国家制造业创新中心条件的通知（工信厅科〔2017〕64号)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102．工业和信息化部办公厅关于印发《国家制造业创新中心考核评估办法(暂行)》的通知（工信厅科〔2018〕37号）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103．国务院关于支持山西省进一步深化改革促进资源型经济转型发展的意见（国发〔2017〕42号）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104．山西省人民政府关于印发中国制造2025山西行动纲要的通知（晋政发〔2016〕20号)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105．持山西省进一步深化改革促进资源型经济转型发展意见行动计划》的通知(晋发〔2017〕49号)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106．山西省经济和信息化委员会关于印发《关于贯彻落实国务院支持山西省进一步深化改革促进资源型经济转型发展意见行动计划的任务分解和责任分工方案》的通知（晋经信综合字〔2017〕311号)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107．山西省经济和信息化委员会关于印发《关于开展山西省省级制造业创新中心创建工作的实施方案》的通知（晋经信技术字〔2017〕372号)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108．山西省经济和信息化委员会关于组织开展山西省制造业创新中心（第一批)试点的通知(晋经信技术字〔2018〕79号）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109．山西省经济和信息化委员会关于组织开展山西省技术改造专项资金申请申报工作的通知（晋经信投资字〔2018〕54号）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110．山西省经济和信息化委员会兼于申报2018年山西省技术改造专项资金技术创新提升专项(第一批)的通知（晋经信技术函〔2018〕235号）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100" w:name="_Toc21963_WPSOffice_Level2"/>
      <w:r>
        <w:rPr>
          <w:rFonts w:hint="eastAsia" w:ascii="楷体" w:hAnsi="楷体" w:eastAsia="楷体" w:cs="楷体"/>
          <w:color w:val="000000" w:themeColor="text1"/>
          <w:spacing w:val="0"/>
          <w:sz w:val="28"/>
          <w:szCs w:val="28"/>
          <w14:textFill>
            <w14:solidFill>
              <w14:schemeClr w14:val="tx1"/>
            </w14:solidFill>
          </w14:textFill>
        </w:rPr>
        <w:t>（十四）企业创新板</w:t>
      </w:r>
      <w:bookmarkEnd w:id="100"/>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111．关于印发《山西股权交易中心开设“企业创新板”工作方案》的通知（晋经信技术字〔2017〕302号）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112．关于印发《“企业创新板”挂牌企业管理办法》的通知（晋经信技术字〔2018〕181号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left="0" w:leftChars="0" w:firstLine="560" w:firstLineChars="200"/>
        <w:jc w:val="left"/>
        <w:textAlignment w:val="auto"/>
        <w:rPr>
          <w:rFonts w:hint="eastAsia" w:ascii="楷体" w:hAnsi="楷体" w:eastAsia="楷体" w:cs="楷体"/>
          <w:color w:val="000000" w:themeColor="text1"/>
          <w:spacing w:val="0"/>
          <w:sz w:val="28"/>
          <w:szCs w:val="28"/>
          <w14:textFill>
            <w14:solidFill>
              <w14:schemeClr w14:val="tx1"/>
            </w14:solidFill>
          </w14:textFill>
        </w:rPr>
      </w:pPr>
      <w:bookmarkStart w:id="101" w:name="_Toc27836_WPSOffice_Level2"/>
      <w:r>
        <w:rPr>
          <w:rFonts w:hint="eastAsia" w:ascii="楷体" w:hAnsi="楷体" w:eastAsia="楷体" w:cs="楷体"/>
          <w:color w:val="000000" w:themeColor="text1"/>
          <w:spacing w:val="0"/>
          <w:sz w:val="28"/>
          <w:szCs w:val="28"/>
          <w14:textFill>
            <w14:solidFill>
              <w14:schemeClr w14:val="tx1"/>
            </w14:solidFill>
          </w14:textFill>
        </w:rPr>
        <w:t>（十五）招商引资</w:t>
      </w:r>
      <w:bookmarkEnd w:id="101"/>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113．山西省人民政府办公厅关于印发《山西省鼓励投资政策（2017年版）》的通知</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114．山西省人民政府关于促进外资增长的若干意见</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115．中共山西省委办公厅山西省人民政府办公厅关于实施晋商晋才回乡创业创新工程的意见</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jc w:val="both"/>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p>
      <w:pPr>
        <w:pStyle w:val="16"/>
        <w:bidi w:val="0"/>
        <w:outlineLvl w:val="9"/>
        <w:rPr>
          <w:rFonts w:hint="eastAsia"/>
          <w:spacing w:val="0"/>
        </w:rPr>
      </w:pPr>
    </w:p>
    <w:p>
      <w:pPr>
        <w:pStyle w:val="16"/>
        <w:bidi w:val="0"/>
        <w:rPr>
          <w:rFonts w:hint="eastAsia"/>
          <w:spacing w:val="0"/>
        </w:rPr>
      </w:pPr>
      <w:bookmarkStart w:id="102" w:name="_Toc6432_WPSOffice_Level1"/>
      <w:bookmarkStart w:id="103" w:name="_Toc11656_WPSOffice_Level1"/>
      <w:bookmarkStart w:id="104" w:name="_Toc15947"/>
      <w:bookmarkStart w:id="105" w:name="_Toc8539"/>
      <w:r>
        <w:rPr>
          <w:rFonts w:hint="eastAsia"/>
          <w:spacing w:val="0"/>
          <w:lang w:eastAsia="zh-CN"/>
        </w:rPr>
        <w:t>四、</w:t>
      </w:r>
      <w:r>
        <w:rPr>
          <w:rFonts w:hint="eastAsia"/>
          <w:spacing w:val="0"/>
        </w:rPr>
        <w:t>2018年以来减税降费政策汇编目录</w:t>
      </w:r>
      <w:bookmarkEnd w:id="102"/>
      <w:bookmarkEnd w:id="103"/>
      <w:bookmarkEnd w:id="104"/>
      <w:bookmarkEnd w:id="105"/>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p>
    <w:p>
      <w:pPr>
        <w:rPr>
          <w:rFonts w:hint="eastAsia" w:ascii="仿宋_GB2312" w:hAnsi="仿宋_GB2312" w:eastAsia="仿宋_GB2312" w:cs="仿宋_GB2312"/>
          <w:color w:val="000000" w:themeColor="text1"/>
          <w:spacing w:val="0"/>
          <w:sz w:val="28"/>
          <w:szCs w:val="28"/>
          <w14:textFill>
            <w14:solidFill>
              <w14:schemeClr w14:val="tx1"/>
            </w14:solidFill>
          </w14:textFill>
        </w:rPr>
      </w:pPr>
      <w:bookmarkStart w:id="106" w:name="_Toc23585_WPSOffice_Level2"/>
      <w:r>
        <w:rPr>
          <w:rFonts w:hint="eastAsia" w:ascii="仿宋_GB2312" w:hAnsi="仿宋_GB2312" w:eastAsia="仿宋_GB2312" w:cs="仿宋_GB2312"/>
          <w:color w:val="000000" w:themeColor="text1"/>
          <w:spacing w:val="0"/>
          <w:sz w:val="28"/>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Autospacing="0" w:line="500" w:lineRule="exact"/>
        <w:ind w:firstLine="643" w:firstLineChars="200"/>
        <w:jc w:val="both"/>
        <w:textAlignment w:val="auto"/>
        <w:rPr>
          <w:rFonts w:hint="eastAsia" w:ascii="楷体" w:hAnsi="楷体" w:eastAsia="楷体" w:cs="楷体"/>
          <w:b/>
          <w:bCs/>
          <w:color w:val="000000" w:themeColor="text1"/>
          <w:spacing w:val="0"/>
          <w:sz w:val="32"/>
          <w:szCs w:val="32"/>
          <w14:textFill>
            <w14:solidFill>
              <w14:schemeClr w14:val="tx1"/>
            </w14:solidFill>
          </w14:textFill>
        </w:rPr>
      </w:pPr>
      <w:r>
        <w:rPr>
          <w:rFonts w:hint="eastAsia" w:ascii="楷体" w:hAnsi="楷体" w:eastAsia="楷体" w:cs="楷体"/>
          <w:b/>
          <w:bCs/>
          <w:color w:val="000000" w:themeColor="text1"/>
          <w:spacing w:val="0"/>
          <w:sz w:val="32"/>
          <w:szCs w:val="32"/>
          <w14:textFill>
            <w14:solidFill>
              <w14:schemeClr w14:val="tx1"/>
            </w14:solidFill>
          </w14:textFill>
        </w:rPr>
        <w:t>（一）财政部牵头发布的减税降费政策</w:t>
      </w:r>
      <w:bookmarkEnd w:id="106"/>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1．财政部海关总署税务总局关于完善启运港退税政策的通知（财税〔2018〕5号）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2．财政部税务总局关于公益性捐赠支出企业所得税税前结转扣除有关政策的通知（财税〔2018〕15号）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3．财政部税务总局关于继续支持企业事业单位改制重组有关契税政策的通知（财税〔2018〕17号）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4．财政部税务总局证监会关于支持原油等货物期货市场对外开放税收政策的通知（财税〔2018〕21号）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5．财政部税务总局人力资源社会保障部中国银行保险监督管理委员会证监会关于开展个人税收递延型商业养老保险试点的通知（财税〔2018〕22号）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6．财政部税务总局关于对页岩气减征资源税的通知（财税〔2018〕26号）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7．财政部税务总局国家发展改革委工业和信息化部关于集成电路生产企业有关企业所得税政策问题的通知</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8．（财税〔2018〕27号）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9．财政部税务总局关于调整增值税税率的通知（财税〔2018〕32号）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10．财政部税务总局关于统一增值税小规模纳税人标准的通知（财税〔2018〕33号）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11．财政部税务总局关于延续动漫产业增值税政策的通知（财税〔2018〕38号）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12．财政部税务总局关于保险保障基金有关税收政策问题的通知（财税〔2018〕41号）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13．财政部税务总局商务部科技部国家发展改革委关于将服务贸易创新发展试点地区技术先进型服务企业所得税政策推广至全国实施的通知（财税〔2018〕44号）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14．财政部海关总署税务总局国家药品监督管理局关于抗癌药品增值税政策的通知（财税〔2018〕47号）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15．财政部税务总局关于对营业账簿减免印花税的通知（财税〔2018〕50号）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16．财政部税务总局关于企业职工教育经费税前扣除政策的通知（财税〔2018〕51号）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17．财政部税务总局关于延续宣传文化增值税优惠政策的通知（财税〔2018〕53号）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18．财政部税务总局关于设备器具扣除有关企业所得税政策的通知（财税〔2018〕54号）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19．财政部税务总局关于创业投资企业和天使投资个人有关税收政策的通知（财税〔2018〕55号）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20．财政部税务总局关于继续实施企业改制重组有关土地增值税政策的通知（财税〔2018〕57号）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21．财政部税务总局关于科技人员取得职务科技成果转化现金奖励有关个人所得税政策的通知（财税〔2018〕58号）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22．财政部税务总局关于物流企业承租用于大宗商品仓储设施的土地城镇土地使用税优惠政策的通知（财税〔2018〕62号）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23．财政部税务总局科技部关于企业委托境外研究开发费用税前加计扣除有关政策问题的通知（财税〔2018〕64号）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24．财政部税务总局工业和信息化部关于对挂车减征车辆购置税的公告（财政部税务总局工业和信息化部公告2018年第69号）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25．财政部税务总局关于2018年退还部分行业增值税留抵税额有关税收政策的通知（财税〔2018〕70号）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26．财政部税务总局工业和信息化部交通运输部关于节能新能源车船享受车船税优惠政策的通知（财税〔2018〕74号）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27．财政部税务总局关于延长高新技术企业和科技型中小企业亏损结转年限的通知（财税〔2018〕76号）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28．财政部税务总局关于进一步扩大小型微利企业所得税优惠政策范围的通知（财税〔2018〕77号）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29．财政部税务总局关于增值税期末留抵退税有关城市维护建设税教育费附加和地方教育附加政策的通知（财税〔2018〕80号）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30．财政部税务总局关于金融机构小微企业贷款利息收入免征增值税政策的通知（财税〔2018〕91号）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31．财政部税务总局关于提高机电文化等产品出口退税率的通知（财税〔2018〕93号）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32．财政部税务总局关于全国社会保障基金有关投资业务税收政策的通知（财税〔2018〕94号）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33．财政部税务总局关于基本养老保险基金有关投资业务税收政策的通知（财税〔2018〕95号）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34．财政部税务总局关于中国邮政储蓄银行三农金融事业部涉农贷款增值税政策的通知（财税〔2018〕97号）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35．财政部税务总局关于2018年第四季度个人所得税减除费用和税率适用问题的通知（财税〔2018〕98号）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36．财政部税务总局科技部关于提高研究开发费用税前加计扣除比例的通知（财税〔2018〕99号）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37．财政部税务总局国家发展改革委商务部关于扩大境外投资者以分配利润直接投资暂不征收预提所得税政策适用范围的通知（财税〔2018〕102号）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38．财政部税务总局商务部海关总署关于跨境电子商务综合试验区零售出口货物税收政策的通知（财税〔2018〕103号）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39．财政部税务总局关于去产能和调结构房产税城镇土地使用税政策的通知（财税〔2018〕107号）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40．财政部税务总局关于境外机构投资境内债券市场企业</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所得税增值税政策的通知（财税〔2018〕108号）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41．财政部税务总局民政部关于公益性捐赠税前扣除资格有关问题的补充通知（财税〔2018〕110号）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42．财政部税务总局生态环境部关于明确环境保护税应税污染物适用等有关问题的通知（财税〔2018〕117号）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43．财政部税务总局海关总署关于第七届世界军人运动会税收政策的通知（财税〔2018〕119号）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44．财政部税务总局科技部教育部关于科技企业孵化器大学科技园和众创空间税收政策的通知（财税〔2018〕120号）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45．财政部税务总局关于调整部分产品出口退税率的通知（财税〔2018〕123号）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46．财政部税务总局关于易地扶贫搬迁税收优惠政策的通知（财税〔2018〕135号）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47．财政部税务总局人力资源社会保障部关于进一步落实重点群体创业就业税收政策的通知（财税〔2018〕136号）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48．财政部税务总局证监会关于个人转让全国中小企业股份转让系统挂牌公司股票有关个人所得税政策的通知（财税〔2018〕137号）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49．财政部税务总局关于延长对废矿物油再生油品免征消费税政策实施期限的通知（财税〔2018〕144号）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50．财政部税务总局证监会关于继续执行内地与香港基金互认有关个人所得税政策的通知（财税〔2018〕154号）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51．财政部税务总局关于个人所得税法修改后有关优惠政策衔接问题的通知（财税〔2018〕164号）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52．财政部税务总局关于冬奥会和冬残奥会企业赞助有关增值税政策的通知（财税〔2019〕6号）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53．财政部税务总局发展改革委证监会关于创业投资企业个人合伙人所得税政策问题的通知（财税〔2019〕8号）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54．财政部税务总局关于继续对城市公交站场道路客运站场城市轨道交通系统减免城镇土地使用税优惠政策的通知（财税〔2019〕11号）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55．财政部税务总局关于继续实行农产品批发市场农贸市场房产税城镇土地使用税优惠政策的通知（财税〔2019〕12号）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56．财政部税务总局关于实施小微企业普惠性税收减免政策的通知（财税〔2019〕13号）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57．财政部税务总局关于高校学生公寓房产税印花税政策的通知（财税〔2019〕14号）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58．财政部税务总局中央宣传部关于继续实施文化体制改革中经营性文化事业单位转制为企业若干税收政策的通知（财税〔2019〕16号）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59．财政部税务总局关于继续实施支持文化企业发展增值税政策的通知（财税〔2019〕17号）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60．财政部税务总局关于国家综合性消防救援车辆车船税政策的通知（财税〔2019〕18号）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61．财政部税务总局关于明确养老机构免征增值税等政策的通知（财税〔2019〕20号）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62．财政部税务总局退役军人部关于进一步扶持自主就业退役士兵创业就业有关税收政策的通知（财税〔2019〕21号）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63．财政部税务总局人力资源社会保障部国务院扶贫办关于进一步支持和促进重点群体创业就业有关税收政策的通知（财税〔2019〕22号）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64．财政部海关总署税务总局药监局关于罕见病药品增值税政策的通知（财税〔2019〕24号）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643" w:firstLineChars="200"/>
        <w:jc w:val="both"/>
        <w:textAlignment w:val="auto"/>
        <w:rPr>
          <w:rFonts w:hint="eastAsia" w:ascii="楷体" w:hAnsi="楷体" w:eastAsia="楷体" w:cs="楷体"/>
          <w:b/>
          <w:bCs/>
          <w:color w:val="000000" w:themeColor="text1"/>
          <w:spacing w:val="0"/>
          <w:sz w:val="32"/>
          <w:szCs w:val="32"/>
          <w14:textFill>
            <w14:solidFill>
              <w14:schemeClr w14:val="tx1"/>
            </w14:solidFill>
          </w14:textFill>
        </w:rPr>
      </w:pPr>
      <w:bookmarkStart w:id="107" w:name="_Toc9463_WPSOffice_Level2"/>
      <w:r>
        <w:rPr>
          <w:rFonts w:hint="eastAsia" w:ascii="楷体" w:hAnsi="楷体" w:eastAsia="楷体" w:cs="楷体"/>
          <w:b/>
          <w:bCs/>
          <w:color w:val="000000" w:themeColor="text1"/>
          <w:spacing w:val="0"/>
          <w:sz w:val="32"/>
          <w:szCs w:val="32"/>
          <w14:textFill>
            <w14:solidFill>
              <w14:schemeClr w14:val="tx1"/>
            </w14:solidFill>
          </w14:textFill>
        </w:rPr>
        <w:t>（二）税务总局发布的减税降费政策</w:t>
      </w:r>
      <w:bookmarkEnd w:id="107"/>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65．国家税务总局关于调整增值税纳税申报有关事项的公告（国家税务总局公告2018年第17号）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66．国家税务总局关于统一小规模纳税人标准等若干增值税问题的公告（国家税务总局公告2018年第18号）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67．国家税务总局关于统一小规模纳税人标准有关出口退（免）税问题的公告（国家税务总局公告2018年第20号）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68．国家税务总局关于开展个人税收递延型商业养老保险试点有关征管问题的公告（国家税务总局公告2018年第21号）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69．国家税务总局关于科技人员取得职务科技成果转化现金奖励有关个人所得税征管问题的公告（国家税务总局公告2018年第30号）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70．国家税务总局关于贯彻落实进一步扩大小型微利企业所得税优惠政策范围有关征管问题的公告（国家税务总局公告2018年第40号）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71．国家税务总局关于创业投资企业和天使投资个人税收政策有关问题的公告（国家税务总局公告2018年第43号）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72．国家税务总局关于延长高新技术企业和科技型中小企业亏损结转弥补年限有关企业所得税处理问题的公告（国家税务总局公告2018年第45号）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73．国家税务总局关于设备器具扣除有关企业所得税政策执行问题的公告（国家税务总局公告2018年第46号）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74．国家税务总局关于扩大境外投资者以分配利润直接投资暂不征收预提所得税政策适用范围有关问题的公告（国家税务总局公告2018年第53号）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75．国家税务总局关于实施小型微利企业普惠性所得税减免政策有关问题的公告（国家税务总局公告2019年第2号）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76．国家税务总局关于修订《中华人民共和国企业所得税月（季）度预缴纳税申报表（A类2018年版）》等部分表单样式及填报说明的公告（国家税务总局公告2019年第3号）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77．国家税务总局关于小规模纳税人免征增值税政策有关征管问题的公告（国家税务总局公告2019年第4号）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78．国家税务总局关于增值税小规模纳税人地方税种和相关附加减征政策有关征管问题的公告（国家税务总局公告2019年第5号）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79．国家税务总局关于扩大小规模纳税人自行开具增值税专用发票试点范围等事项的公告（国家税务总局公告2019年第8号）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80．国家税务总局人力资源社会保障部国务院扶贫办教育部关于实施支持和促进重点群体创业就业有关税收政策具体操作问题的公告（国家税务总局人力资源社会保障部国务院扶贫办教育部公告2019年第10号）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81．国家税务总局关于深入贯彻落实减税降费政策措施的通知（税总发〔2019〕13号）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643" w:firstLineChars="200"/>
        <w:jc w:val="both"/>
        <w:textAlignment w:val="auto"/>
        <w:rPr>
          <w:rFonts w:hint="eastAsia" w:ascii="楷体" w:hAnsi="楷体" w:eastAsia="楷体" w:cs="楷体"/>
          <w:b/>
          <w:bCs/>
          <w:color w:val="000000" w:themeColor="text1"/>
          <w:spacing w:val="0"/>
          <w:sz w:val="32"/>
          <w:szCs w:val="32"/>
          <w14:textFill>
            <w14:solidFill>
              <w14:schemeClr w14:val="tx1"/>
            </w14:solidFill>
          </w14:textFill>
        </w:rPr>
      </w:pPr>
      <w:bookmarkStart w:id="108" w:name="_Toc10838_WPSOffice_Level2"/>
      <w:r>
        <w:rPr>
          <w:rFonts w:hint="eastAsia" w:ascii="楷体" w:hAnsi="楷体" w:eastAsia="楷体" w:cs="楷体"/>
          <w:b/>
          <w:bCs/>
          <w:color w:val="000000" w:themeColor="text1"/>
          <w:spacing w:val="0"/>
          <w:sz w:val="32"/>
          <w:szCs w:val="32"/>
          <w14:textFill>
            <w14:solidFill>
              <w14:schemeClr w14:val="tx1"/>
            </w14:solidFill>
          </w14:textFill>
        </w:rPr>
        <w:t>（三）省财政厅、省税务局发布的减税降费政策</w:t>
      </w:r>
      <w:bookmarkEnd w:id="108"/>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82．山西省财政厅国家税务总局山西省税务局关于调整城镇土地使用税税额标准的通知（晋财税〔2019〕1号）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83．山西省财政厅国家税务总局山西省税务局关于转发《财政部税务总局关于实施小微企业普惠性税收减免政策的通知》的通知（晋财税〔2019〕2号）</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jc w:val="both"/>
        <w:textAlignment w:val="auto"/>
        <w:rPr>
          <w:rFonts w:hint="eastAsia" w:ascii="仿宋_GB2312" w:hAnsi="仿宋_GB2312" w:eastAsia="仿宋_GB2312" w:cs="仿宋_GB2312"/>
          <w:color w:val="333333"/>
          <w:spacing w:val="0"/>
          <w:sz w:val="28"/>
          <w:szCs w:val="28"/>
        </w:rPr>
      </w:pPr>
      <w:r>
        <w:rPr>
          <w:rFonts w:hint="eastAsia" w:ascii="仿宋_GB2312" w:hAnsi="仿宋_GB2312" w:eastAsia="仿宋_GB2312" w:cs="仿宋_GB2312"/>
          <w:color w:val="000000" w:themeColor="text1"/>
          <w:spacing w:val="0"/>
          <w:sz w:val="28"/>
          <w:szCs w:val="28"/>
          <w14:textFill>
            <w14:solidFill>
              <w14:schemeClr w14:val="tx1"/>
            </w14:solidFill>
          </w14:textFill>
        </w:rPr>
        <w:t>84．国家税务总局山西省税务局关于全面贯彻落实减税降费政策措施的通知（晋税发〔2019〕7号）</w:t>
      </w:r>
    </w:p>
    <w:p>
      <w:pPr>
        <w:keepNext w:val="0"/>
        <w:keepLines w:val="0"/>
        <w:pageBreakBefore w:val="0"/>
        <w:wordWrap/>
        <w:topLinePunct w:val="0"/>
        <w:bidi w:val="0"/>
        <w:spacing w:afterAutospacing="0" w:line="500" w:lineRule="exact"/>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44B0D"/>
    <w:multiLevelType w:val="singleLevel"/>
    <w:tmpl w:val="9F144B0D"/>
    <w:lvl w:ilvl="0" w:tentative="0">
      <w:start w:val="3"/>
      <w:numFmt w:val="chineseCounting"/>
      <w:suff w:val="space"/>
      <w:lvlText w:val="第%1部分"/>
      <w:lvlJc w:val="left"/>
      <w:rPr>
        <w:rFonts w:hint="eastAsia"/>
      </w:rPr>
    </w:lvl>
  </w:abstractNum>
  <w:abstractNum w:abstractNumId="1">
    <w:nsid w:val="328FF0D1"/>
    <w:multiLevelType w:val="singleLevel"/>
    <w:tmpl w:val="328FF0D1"/>
    <w:lvl w:ilvl="0" w:tentative="0">
      <w:start w:val="7"/>
      <w:numFmt w:val="chineseCounting"/>
      <w:suff w:val="space"/>
      <w:lvlText w:val="第%1部分"/>
      <w:lvlJc w:val="left"/>
      <w:rPr>
        <w:rFonts w:hint="eastAsia"/>
      </w:rPr>
    </w:lvl>
  </w:abstractNum>
  <w:abstractNum w:abstractNumId="2">
    <w:nsid w:val="5C3FFABC"/>
    <w:multiLevelType w:val="singleLevel"/>
    <w:tmpl w:val="5C3FFABC"/>
    <w:lvl w:ilvl="0" w:tentative="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YTQ2N2FmYzdmYzJhYjIxYTk5OWE4YmI3YWM5Y2MifQ=="/>
  </w:docVars>
  <w:rsids>
    <w:rsidRoot w:val="3B4216B4"/>
    <w:rsid w:val="029E1C40"/>
    <w:rsid w:val="087844B6"/>
    <w:rsid w:val="0A7A65FA"/>
    <w:rsid w:val="0B804810"/>
    <w:rsid w:val="15764B8C"/>
    <w:rsid w:val="1E114485"/>
    <w:rsid w:val="21970632"/>
    <w:rsid w:val="22CE691B"/>
    <w:rsid w:val="234101BE"/>
    <w:rsid w:val="23762F8B"/>
    <w:rsid w:val="24490717"/>
    <w:rsid w:val="2B9916BE"/>
    <w:rsid w:val="2BDA3EE2"/>
    <w:rsid w:val="2E21549D"/>
    <w:rsid w:val="3366701B"/>
    <w:rsid w:val="39973306"/>
    <w:rsid w:val="3B4216B4"/>
    <w:rsid w:val="3BDE4841"/>
    <w:rsid w:val="3F5F3D39"/>
    <w:rsid w:val="45847274"/>
    <w:rsid w:val="470A0313"/>
    <w:rsid w:val="47457006"/>
    <w:rsid w:val="48FB4965"/>
    <w:rsid w:val="4A893596"/>
    <w:rsid w:val="551039F0"/>
    <w:rsid w:val="55F62CFA"/>
    <w:rsid w:val="5AF673B1"/>
    <w:rsid w:val="5B5774C8"/>
    <w:rsid w:val="5B983C70"/>
    <w:rsid w:val="5CF70FDE"/>
    <w:rsid w:val="5D015F4D"/>
    <w:rsid w:val="6849253F"/>
    <w:rsid w:val="6A224697"/>
    <w:rsid w:val="6A8172A2"/>
    <w:rsid w:val="6AFFD8F0"/>
    <w:rsid w:val="6C10119D"/>
    <w:rsid w:val="6DC525A4"/>
    <w:rsid w:val="731278F6"/>
    <w:rsid w:val="73310CE5"/>
    <w:rsid w:val="7375735D"/>
    <w:rsid w:val="77C438BB"/>
    <w:rsid w:val="77D11813"/>
    <w:rsid w:val="7AE075A9"/>
    <w:rsid w:val="CEFDEA64"/>
    <w:rsid w:val="E2E75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next w:val="5"/>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样式1"/>
    <w:basedOn w:val="1"/>
    <w:qFormat/>
    <w:uiPriority w:val="0"/>
    <w:pPr>
      <w:widowControl/>
      <w:shd w:val="clear" w:color="auto" w:fill="FFFFFF"/>
      <w:spacing w:line="500" w:lineRule="exact"/>
      <w:jc w:val="center"/>
      <w:outlineLvl w:val="4"/>
    </w:pPr>
    <w:rPr>
      <w:rFonts w:hint="eastAsia" w:ascii="方正小标宋简体" w:hAnsi="方正小标宋简体" w:eastAsia="方正小标宋简体" w:cs="方正小标宋简体"/>
      <w:color w:val="000000" w:themeColor="text1"/>
      <w:sz w:val="32"/>
      <w:szCs w:val="32"/>
      <w14:textFill>
        <w14:solidFill>
          <w14:schemeClr w14:val="tx1"/>
        </w14:solidFill>
      </w14:textFill>
    </w:rPr>
  </w:style>
  <w:style w:type="paragraph" w:customStyle="1" w:styleId="16">
    <w:name w:val="一级标题"/>
    <w:basedOn w:val="1"/>
    <w:qFormat/>
    <w:uiPriority w:val="0"/>
    <w:pPr>
      <w:jc w:val="center"/>
      <w:outlineLvl w:val="0"/>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57493</Words>
  <Characters>61070</Characters>
  <Lines>0</Lines>
  <Paragraphs>0</Paragraphs>
  <TotalTime>128</TotalTime>
  <ScaleCrop>false</ScaleCrop>
  <LinksUpToDate>false</LinksUpToDate>
  <CharactersWithSpaces>61134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2022-02-17T18:15:00Z</dcterms:created>
  <dc:creator>Administrator</dc:creator>
  <cp:lastModifiedBy>lenovo</cp:lastModifiedBy>
  <dcterms:modified xsi:type="dcterms:W3CDTF">2024-05-09T09:11:27Z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FE0B8B7FC71F422091F4E0EE1320AC7B</vt:lpwstr>
  </property>
</Properties>
</file>