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555849">
      <w:pPr>
        <w:rPr>
          <w:rFonts w:ascii="Arial" w:hAnsi="Arial" w:eastAsia="等线" w:cs="Arial"/>
          <w:b/>
          <w:sz w:val="52"/>
        </w:rPr>
      </w:pPr>
    </w:p>
    <w:p w14:paraId="447E00D4">
      <w:pPr>
        <w:rPr>
          <w:rFonts w:ascii="Arial" w:hAnsi="Arial" w:eastAsia="等线" w:cs="Arial"/>
          <w:b/>
          <w:sz w:val="52"/>
        </w:rPr>
      </w:pPr>
    </w:p>
    <w:p w14:paraId="165B5117">
      <w:pPr>
        <w:rPr>
          <w:rFonts w:ascii="Arial" w:hAnsi="Arial" w:eastAsia="等线" w:cs="Arial"/>
          <w:b/>
          <w:sz w:val="52"/>
        </w:rPr>
      </w:pPr>
    </w:p>
    <w:p w14:paraId="2891D089">
      <w:pPr>
        <w:rPr>
          <w:rFonts w:ascii="Arial" w:hAnsi="Arial" w:eastAsia="等线" w:cs="Arial"/>
          <w:b/>
          <w:sz w:val="52"/>
        </w:rPr>
      </w:pPr>
    </w:p>
    <w:p w14:paraId="103D14BC">
      <w:pPr>
        <w:rPr>
          <w:rFonts w:ascii="Arial" w:hAnsi="Arial" w:eastAsia="等线" w:cs="Arial"/>
          <w:b/>
          <w:sz w:val="52"/>
        </w:rPr>
      </w:pPr>
    </w:p>
    <w:p w14:paraId="08EA679D">
      <w:pPr>
        <w:rPr>
          <w:rFonts w:ascii="Arial" w:hAnsi="Arial" w:eastAsia="等线" w:cs="Arial"/>
          <w:b/>
          <w:sz w:val="52"/>
        </w:rPr>
      </w:pPr>
    </w:p>
    <w:p w14:paraId="6AD04937">
      <w:pPr>
        <w:jc w:val="center"/>
        <w:rPr>
          <w:rFonts w:hint="eastAsia" w:ascii="方正小标宋简体" w:hAnsi="方正小标宋简体" w:eastAsia="方正小标宋简体" w:cs="方正小标宋简体"/>
          <w:b w:val="0"/>
          <w:bCs/>
          <w:sz w:val="52"/>
        </w:rPr>
      </w:pPr>
      <w:r>
        <w:rPr>
          <w:rFonts w:hint="eastAsia" w:ascii="方正小标宋简体" w:hAnsi="方正小标宋简体" w:eastAsia="方正小标宋简体" w:cs="方正小标宋简体"/>
          <w:b w:val="0"/>
          <w:bCs/>
          <w:sz w:val="52"/>
        </w:rPr>
        <w:t>吕梁市镓基材料产业“十五五”规划</w:t>
      </w:r>
    </w:p>
    <w:p w14:paraId="12FAA023">
      <w:pPr>
        <w:jc w:val="center"/>
        <w:rPr>
          <w:rFonts w:hint="eastAsia" w:ascii="楷体" w:hAnsi="楷体" w:eastAsia="楷体" w:cs="楷体"/>
          <w:b/>
          <w:sz w:val="32"/>
          <w:szCs w:val="32"/>
          <w:lang w:eastAsia="zh-CN"/>
        </w:rPr>
      </w:pPr>
      <w:r>
        <w:rPr>
          <w:rFonts w:hint="eastAsia" w:ascii="楷体" w:hAnsi="楷体" w:eastAsia="楷体" w:cs="楷体"/>
          <w:b/>
          <w:sz w:val="32"/>
          <w:szCs w:val="32"/>
          <w:lang w:eastAsia="zh-CN"/>
        </w:rPr>
        <w:t>（征求意见稿）</w:t>
      </w:r>
    </w:p>
    <w:p w14:paraId="3C574573">
      <w:pPr>
        <w:jc w:val="center"/>
        <w:rPr>
          <w:rFonts w:hint="eastAsia" w:ascii="Arial" w:hAnsi="Arial" w:eastAsia="等线" w:cs="Arial"/>
          <w:b/>
          <w:sz w:val="32"/>
          <w:szCs w:val="32"/>
          <w:lang w:val="en-US" w:eastAsia="zh-CN"/>
        </w:rPr>
      </w:pPr>
    </w:p>
    <w:p w14:paraId="064B0461">
      <w:pPr>
        <w:jc w:val="center"/>
        <w:rPr>
          <w:rFonts w:hint="eastAsia" w:ascii="Arial" w:hAnsi="Arial" w:eastAsia="等线" w:cs="Arial"/>
          <w:b/>
          <w:sz w:val="32"/>
          <w:szCs w:val="32"/>
          <w:lang w:val="en-US" w:eastAsia="zh-CN"/>
        </w:rPr>
      </w:pPr>
    </w:p>
    <w:p w14:paraId="3AA75230">
      <w:pPr>
        <w:jc w:val="center"/>
        <w:rPr>
          <w:rFonts w:hint="eastAsia" w:ascii="Arial" w:hAnsi="Arial" w:eastAsia="等线" w:cs="Arial"/>
          <w:b/>
          <w:sz w:val="32"/>
          <w:szCs w:val="32"/>
          <w:lang w:val="en-US" w:eastAsia="zh-CN"/>
        </w:rPr>
      </w:pPr>
    </w:p>
    <w:p w14:paraId="6F0025CE">
      <w:pPr>
        <w:jc w:val="center"/>
        <w:rPr>
          <w:rFonts w:hint="eastAsia" w:ascii="Arial" w:hAnsi="Arial" w:eastAsia="等线" w:cs="Arial"/>
          <w:b/>
          <w:sz w:val="32"/>
          <w:szCs w:val="32"/>
          <w:lang w:val="en-US" w:eastAsia="zh-CN"/>
        </w:rPr>
      </w:pPr>
    </w:p>
    <w:p w14:paraId="17C0CBF6">
      <w:pPr>
        <w:jc w:val="center"/>
        <w:rPr>
          <w:rFonts w:hint="eastAsia" w:ascii="Arial" w:hAnsi="Arial" w:eastAsia="等线" w:cs="Arial"/>
          <w:b/>
          <w:sz w:val="32"/>
          <w:szCs w:val="32"/>
          <w:lang w:val="en-US" w:eastAsia="zh-CN"/>
        </w:rPr>
      </w:pPr>
    </w:p>
    <w:p w14:paraId="53455E6A">
      <w:pPr>
        <w:jc w:val="center"/>
        <w:rPr>
          <w:rFonts w:hint="eastAsia" w:ascii="Arial" w:hAnsi="Arial" w:eastAsia="等线" w:cs="Arial"/>
          <w:b/>
          <w:sz w:val="32"/>
          <w:szCs w:val="32"/>
          <w:lang w:val="en-US" w:eastAsia="zh-CN"/>
        </w:rPr>
      </w:pPr>
    </w:p>
    <w:p w14:paraId="328FB0B3">
      <w:pPr>
        <w:jc w:val="center"/>
        <w:rPr>
          <w:rFonts w:hint="eastAsia" w:ascii="Arial" w:hAnsi="Arial" w:eastAsia="等线" w:cs="Arial"/>
          <w:b/>
          <w:sz w:val="32"/>
          <w:szCs w:val="32"/>
          <w:lang w:val="en-US" w:eastAsia="zh-CN"/>
        </w:rPr>
      </w:pPr>
    </w:p>
    <w:p w14:paraId="4E2A28FB">
      <w:pPr>
        <w:jc w:val="center"/>
        <w:rPr>
          <w:rFonts w:hint="eastAsia" w:ascii="Arial" w:hAnsi="Arial" w:eastAsia="等线" w:cs="Arial"/>
          <w:b/>
          <w:sz w:val="32"/>
          <w:szCs w:val="32"/>
          <w:lang w:val="en-US" w:eastAsia="zh-CN"/>
        </w:rPr>
      </w:pPr>
    </w:p>
    <w:p w14:paraId="7D9C2AD6">
      <w:pPr>
        <w:jc w:val="both"/>
        <w:rPr>
          <w:rFonts w:hint="eastAsia" w:ascii="Arial" w:hAnsi="Arial" w:eastAsia="等线" w:cs="Arial"/>
          <w:b/>
          <w:sz w:val="32"/>
          <w:szCs w:val="32"/>
          <w:lang w:val="en-US" w:eastAsia="zh-CN"/>
        </w:rPr>
      </w:pPr>
    </w:p>
    <w:p w14:paraId="2C9EB65C">
      <w:pPr>
        <w:jc w:val="center"/>
        <w:rPr>
          <w:rFonts w:hint="eastAsia" w:ascii="Arial" w:hAnsi="Arial" w:eastAsia="等线" w:cs="Arial"/>
          <w:b/>
          <w:sz w:val="32"/>
          <w:szCs w:val="32"/>
          <w:lang w:val="en-US" w:eastAsia="zh-CN"/>
        </w:rPr>
      </w:pPr>
    </w:p>
    <w:p w14:paraId="0481FBD4">
      <w:pPr>
        <w:jc w:val="center"/>
        <w:rPr>
          <w:rFonts w:hint="eastAsia" w:ascii="Arial" w:hAnsi="Arial" w:eastAsia="等线" w:cs="Arial"/>
          <w:b/>
          <w:sz w:val="32"/>
          <w:szCs w:val="32"/>
          <w:lang w:val="en-US" w:eastAsia="zh-CN"/>
        </w:rPr>
      </w:pPr>
    </w:p>
    <w:p w14:paraId="61D6971C">
      <w:pPr>
        <w:jc w:val="center"/>
        <w:rPr>
          <w:rFonts w:hint="eastAsia" w:ascii="Arial" w:hAnsi="Arial" w:eastAsia="等线" w:cs="Arial"/>
          <w:b/>
          <w:sz w:val="32"/>
          <w:szCs w:val="32"/>
          <w:lang w:val="en-US" w:eastAsia="zh-CN"/>
        </w:rPr>
      </w:pPr>
    </w:p>
    <w:p w14:paraId="72790288">
      <w:pPr>
        <w:jc w:val="center"/>
        <w:rPr>
          <w:rFonts w:hint="default" w:ascii="Arial" w:hAnsi="Arial" w:eastAsia="等线" w:cs="Arial"/>
          <w:b/>
          <w:sz w:val="32"/>
          <w:szCs w:val="32"/>
          <w:lang w:val="en-US" w:eastAsia="zh-CN"/>
        </w:rPr>
      </w:pPr>
      <w:r>
        <w:rPr>
          <w:rFonts w:hint="eastAsia" w:ascii="Arial" w:hAnsi="Arial" w:eastAsia="等线" w:cs="Arial"/>
          <w:b/>
          <w:sz w:val="32"/>
          <w:szCs w:val="32"/>
          <w:lang w:val="en-US" w:eastAsia="zh-CN"/>
        </w:rPr>
        <w:t>2026年6月</w:t>
      </w:r>
    </w:p>
    <w:sdt>
      <w:sdtPr>
        <w:rPr>
          <w:rFonts w:ascii="宋体" w:hAnsi="宋体" w:eastAsia="宋体"/>
          <w:sz w:val="21"/>
        </w:rPr>
        <w:id w:val="147458710"/>
        <w15:color w:val="DBDBDB"/>
        <w:docPartObj>
          <w:docPartGallery w:val="Table of Contents"/>
          <w:docPartUnique/>
        </w:docPartObj>
      </w:sdtPr>
      <w:sdtEndPr>
        <w:rPr>
          <w:rFonts w:hint="eastAsia" w:ascii="Arial" w:hAnsi="Arial" w:eastAsia="等线" w:cs="Arial"/>
          <w:sz w:val="28"/>
        </w:rPr>
      </w:sdtEndPr>
      <w:sdtContent>
        <w:p w14:paraId="558D6DA7">
          <w:pPr>
            <w:spacing w:line="240" w:lineRule="auto"/>
            <w:jc w:val="center"/>
            <w:rPr>
              <w:rFonts w:ascii="宋体" w:hAnsi="宋体" w:eastAsia="宋体"/>
              <w:sz w:val="21"/>
            </w:rPr>
          </w:pPr>
        </w:p>
        <w:p w14:paraId="6AE2BCEA">
          <w:pPr>
            <w:spacing w:line="240" w:lineRule="auto"/>
            <w:jc w:val="center"/>
            <w:rPr>
              <w:sz w:val="22"/>
              <w:szCs w:val="22"/>
            </w:rPr>
          </w:pPr>
          <w:r>
            <w:rPr>
              <w:rFonts w:ascii="宋体" w:hAnsi="宋体" w:eastAsia="宋体"/>
              <w:sz w:val="22"/>
              <w:szCs w:val="22"/>
            </w:rPr>
            <w:t>目录</w:t>
          </w:r>
        </w:p>
        <w:p w14:paraId="1F09353E">
          <w:pPr>
            <w:pStyle w:val="8"/>
            <w:tabs>
              <w:tab w:val="right" w:leader="dot" w:pos="8519"/>
            </w:tabs>
            <w:rPr>
              <w:sz w:val="24"/>
            </w:rPr>
          </w:pPr>
          <w:r>
            <w:rPr>
              <w:rFonts w:hint="eastAsia" w:ascii="Arial" w:hAnsi="Arial" w:eastAsia="等线" w:cs="Arial"/>
              <w:b/>
              <w:sz w:val="52"/>
            </w:rPr>
            <w:fldChar w:fldCharType="begin"/>
          </w:r>
          <w:r>
            <w:rPr>
              <w:rFonts w:hint="eastAsia" w:ascii="Arial" w:hAnsi="Arial" w:eastAsia="等线" w:cs="Arial"/>
              <w:b/>
              <w:sz w:val="52"/>
            </w:rPr>
            <w:instrText xml:space="preserve">TOC \o "1-2" \h \u </w:instrText>
          </w:r>
          <w:r>
            <w:rPr>
              <w:rFonts w:hint="eastAsia" w:ascii="Arial" w:hAnsi="Arial" w:eastAsia="等线" w:cs="Arial"/>
              <w:b/>
              <w:sz w:val="52"/>
            </w:rPr>
            <w:fldChar w:fldCharType="separate"/>
          </w:r>
          <w:r>
            <w:fldChar w:fldCharType="begin"/>
          </w:r>
          <w:r>
            <w:instrText xml:space="preserve"> HYPERLINK \l "_Toc29516" </w:instrText>
          </w:r>
          <w:r>
            <w:fldChar w:fldCharType="separate"/>
          </w:r>
          <w:r>
            <w:rPr>
              <w:rFonts w:hint="eastAsia"/>
              <w:sz w:val="24"/>
            </w:rPr>
            <w:t>第一章 发展基础与面临形势</w:t>
          </w:r>
          <w:r>
            <w:rPr>
              <w:sz w:val="24"/>
            </w:rPr>
            <w:tab/>
          </w:r>
          <w:r>
            <w:rPr>
              <w:sz w:val="24"/>
            </w:rPr>
            <w:fldChar w:fldCharType="begin"/>
          </w:r>
          <w:r>
            <w:rPr>
              <w:sz w:val="24"/>
            </w:rPr>
            <w:instrText xml:space="preserve"> PAGEREF _Toc29516 \h </w:instrText>
          </w:r>
          <w:r>
            <w:rPr>
              <w:sz w:val="24"/>
            </w:rPr>
            <w:fldChar w:fldCharType="separate"/>
          </w:r>
          <w:r>
            <w:rPr>
              <w:sz w:val="24"/>
            </w:rPr>
            <w:t>1</w:t>
          </w:r>
          <w:r>
            <w:rPr>
              <w:sz w:val="24"/>
            </w:rPr>
            <w:fldChar w:fldCharType="end"/>
          </w:r>
          <w:r>
            <w:rPr>
              <w:sz w:val="24"/>
            </w:rPr>
            <w:fldChar w:fldCharType="end"/>
          </w:r>
        </w:p>
        <w:p w14:paraId="497B2565">
          <w:pPr>
            <w:pStyle w:val="9"/>
            <w:tabs>
              <w:tab w:val="right" w:leader="dot" w:pos="8519"/>
            </w:tabs>
            <w:ind w:left="560"/>
            <w:rPr>
              <w:sz w:val="24"/>
            </w:rPr>
          </w:pPr>
          <w:r>
            <w:fldChar w:fldCharType="begin"/>
          </w:r>
          <w:r>
            <w:instrText xml:space="preserve"> HYPERLINK \l "_Toc21844" </w:instrText>
          </w:r>
          <w:r>
            <w:fldChar w:fldCharType="separate"/>
          </w:r>
          <w:r>
            <w:rPr>
              <w:rFonts w:hint="eastAsia"/>
              <w:sz w:val="24"/>
            </w:rPr>
            <w:t>第一节 产业发展基础</w:t>
          </w:r>
          <w:r>
            <w:rPr>
              <w:sz w:val="24"/>
            </w:rPr>
            <w:tab/>
          </w:r>
          <w:r>
            <w:rPr>
              <w:sz w:val="24"/>
            </w:rPr>
            <w:fldChar w:fldCharType="begin"/>
          </w:r>
          <w:r>
            <w:rPr>
              <w:sz w:val="24"/>
            </w:rPr>
            <w:instrText xml:space="preserve"> PAGEREF _Toc21844 \h </w:instrText>
          </w:r>
          <w:r>
            <w:rPr>
              <w:sz w:val="24"/>
            </w:rPr>
            <w:fldChar w:fldCharType="separate"/>
          </w:r>
          <w:r>
            <w:rPr>
              <w:sz w:val="24"/>
            </w:rPr>
            <w:t>1</w:t>
          </w:r>
          <w:r>
            <w:rPr>
              <w:sz w:val="24"/>
            </w:rPr>
            <w:fldChar w:fldCharType="end"/>
          </w:r>
          <w:r>
            <w:rPr>
              <w:sz w:val="24"/>
            </w:rPr>
            <w:fldChar w:fldCharType="end"/>
          </w:r>
        </w:p>
        <w:p w14:paraId="47FA8A00">
          <w:pPr>
            <w:pStyle w:val="9"/>
            <w:tabs>
              <w:tab w:val="right" w:leader="dot" w:pos="8519"/>
            </w:tabs>
            <w:ind w:left="560"/>
            <w:rPr>
              <w:sz w:val="24"/>
            </w:rPr>
          </w:pPr>
          <w:r>
            <w:fldChar w:fldCharType="begin"/>
          </w:r>
          <w:r>
            <w:instrText xml:space="preserve"> HYPERLINK \l "_Toc10895" </w:instrText>
          </w:r>
          <w:r>
            <w:fldChar w:fldCharType="separate"/>
          </w:r>
          <w:r>
            <w:rPr>
              <w:rFonts w:hint="eastAsia"/>
              <w:sz w:val="24"/>
            </w:rPr>
            <w:t>第二节 面临的机遇与挑战</w:t>
          </w:r>
          <w:r>
            <w:rPr>
              <w:sz w:val="24"/>
            </w:rPr>
            <w:tab/>
          </w:r>
          <w:r>
            <w:rPr>
              <w:sz w:val="24"/>
            </w:rPr>
            <w:fldChar w:fldCharType="begin"/>
          </w:r>
          <w:r>
            <w:rPr>
              <w:sz w:val="24"/>
            </w:rPr>
            <w:instrText xml:space="preserve"> PAGEREF _Toc10895 \h </w:instrText>
          </w:r>
          <w:r>
            <w:rPr>
              <w:sz w:val="24"/>
            </w:rPr>
            <w:fldChar w:fldCharType="separate"/>
          </w:r>
          <w:r>
            <w:rPr>
              <w:sz w:val="24"/>
            </w:rPr>
            <w:t>6</w:t>
          </w:r>
          <w:r>
            <w:rPr>
              <w:sz w:val="24"/>
            </w:rPr>
            <w:fldChar w:fldCharType="end"/>
          </w:r>
          <w:r>
            <w:rPr>
              <w:sz w:val="24"/>
            </w:rPr>
            <w:fldChar w:fldCharType="end"/>
          </w:r>
        </w:p>
        <w:p w14:paraId="0CF23174">
          <w:pPr>
            <w:pStyle w:val="8"/>
            <w:tabs>
              <w:tab w:val="right" w:leader="dot" w:pos="8519"/>
            </w:tabs>
            <w:rPr>
              <w:sz w:val="24"/>
            </w:rPr>
          </w:pPr>
          <w:r>
            <w:fldChar w:fldCharType="begin"/>
          </w:r>
          <w:r>
            <w:instrText xml:space="preserve"> HYPERLINK \l "_Toc32344" </w:instrText>
          </w:r>
          <w:r>
            <w:fldChar w:fldCharType="separate"/>
          </w:r>
          <w:r>
            <w:rPr>
              <w:rFonts w:hint="eastAsia"/>
              <w:sz w:val="24"/>
            </w:rPr>
            <w:t>第二章 总体要求</w:t>
          </w:r>
          <w:r>
            <w:rPr>
              <w:sz w:val="24"/>
            </w:rPr>
            <w:tab/>
          </w:r>
          <w:r>
            <w:rPr>
              <w:sz w:val="24"/>
            </w:rPr>
            <w:fldChar w:fldCharType="begin"/>
          </w:r>
          <w:r>
            <w:rPr>
              <w:sz w:val="24"/>
            </w:rPr>
            <w:instrText xml:space="preserve"> PAGEREF _Toc32344 \h </w:instrText>
          </w:r>
          <w:r>
            <w:rPr>
              <w:sz w:val="24"/>
            </w:rPr>
            <w:fldChar w:fldCharType="separate"/>
          </w:r>
          <w:r>
            <w:rPr>
              <w:sz w:val="24"/>
            </w:rPr>
            <w:t>9</w:t>
          </w:r>
          <w:r>
            <w:rPr>
              <w:sz w:val="24"/>
            </w:rPr>
            <w:fldChar w:fldCharType="end"/>
          </w:r>
          <w:r>
            <w:rPr>
              <w:sz w:val="24"/>
            </w:rPr>
            <w:fldChar w:fldCharType="end"/>
          </w:r>
        </w:p>
        <w:p w14:paraId="49EB04F5">
          <w:pPr>
            <w:pStyle w:val="9"/>
            <w:tabs>
              <w:tab w:val="right" w:leader="dot" w:pos="8519"/>
            </w:tabs>
            <w:ind w:left="560"/>
            <w:rPr>
              <w:sz w:val="24"/>
            </w:rPr>
          </w:pPr>
          <w:r>
            <w:fldChar w:fldCharType="begin"/>
          </w:r>
          <w:r>
            <w:instrText xml:space="preserve"> HYPERLINK \l "_Toc30787" </w:instrText>
          </w:r>
          <w:r>
            <w:fldChar w:fldCharType="separate"/>
          </w:r>
          <w:r>
            <w:rPr>
              <w:rFonts w:hint="eastAsia"/>
              <w:sz w:val="24"/>
            </w:rPr>
            <w:t>第一节 指导思想</w:t>
          </w:r>
          <w:r>
            <w:rPr>
              <w:sz w:val="24"/>
            </w:rPr>
            <w:tab/>
          </w:r>
          <w:r>
            <w:rPr>
              <w:sz w:val="24"/>
            </w:rPr>
            <w:fldChar w:fldCharType="begin"/>
          </w:r>
          <w:r>
            <w:rPr>
              <w:sz w:val="24"/>
            </w:rPr>
            <w:instrText xml:space="preserve"> PAGEREF _Toc30787 \h </w:instrText>
          </w:r>
          <w:r>
            <w:rPr>
              <w:sz w:val="24"/>
            </w:rPr>
            <w:fldChar w:fldCharType="separate"/>
          </w:r>
          <w:r>
            <w:rPr>
              <w:sz w:val="24"/>
            </w:rPr>
            <w:t>9</w:t>
          </w:r>
          <w:r>
            <w:rPr>
              <w:sz w:val="24"/>
            </w:rPr>
            <w:fldChar w:fldCharType="end"/>
          </w:r>
          <w:r>
            <w:rPr>
              <w:sz w:val="24"/>
            </w:rPr>
            <w:fldChar w:fldCharType="end"/>
          </w:r>
        </w:p>
        <w:p w14:paraId="296AEE68">
          <w:pPr>
            <w:pStyle w:val="9"/>
            <w:tabs>
              <w:tab w:val="right" w:leader="dot" w:pos="8519"/>
            </w:tabs>
            <w:ind w:left="560"/>
            <w:rPr>
              <w:sz w:val="24"/>
            </w:rPr>
          </w:pPr>
          <w:r>
            <w:fldChar w:fldCharType="begin"/>
          </w:r>
          <w:r>
            <w:instrText xml:space="preserve"> HYPERLINK \l "_Toc7067" </w:instrText>
          </w:r>
          <w:r>
            <w:fldChar w:fldCharType="separate"/>
          </w:r>
          <w:r>
            <w:rPr>
              <w:rFonts w:hint="eastAsia"/>
              <w:sz w:val="24"/>
            </w:rPr>
            <w:t>第二节 基本原则</w:t>
          </w:r>
          <w:r>
            <w:rPr>
              <w:sz w:val="24"/>
            </w:rPr>
            <w:tab/>
          </w:r>
          <w:r>
            <w:rPr>
              <w:sz w:val="24"/>
            </w:rPr>
            <w:fldChar w:fldCharType="begin"/>
          </w:r>
          <w:r>
            <w:rPr>
              <w:sz w:val="24"/>
            </w:rPr>
            <w:instrText xml:space="preserve"> PAGEREF _Toc7067 \h </w:instrText>
          </w:r>
          <w:r>
            <w:rPr>
              <w:sz w:val="24"/>
            </w:rPr>
            <w:fldChar w:fldCharType="separate"/>
          </w:r>
          <w:r>
            <w:rPr>
              <w:sz w:val="24"/>
            </w:rPr>
            <w:t>10</w:t>
          </w:r>
          <w:r>
            <w:rPr>
              <w:sz w:val="24"/>
            </w:rPr>
            <w:fldChar w:fldCharType="end"/>
          </w:r>
          <w:r>
            <w:rPr>
              <w:sz w:val="24"/>
            </w:rPr>
            <w:fldChar w:fldCharType="end"/>
          </w:r>
        </w:p>
        <w:p w14:paraId="50930236">
          <w:pPr>
            <w:pStyle w:val="9"/>
            <w:tabs>
              <w:tab w:val="right" w:leader="dot" w:pos="8519"/>
            </w:tabs>
            <w:ind w:left="560"/>
            <w:rPr>
              <w:sz w:val="24"/>
            </w:rPr>
          </w:pPr>
          <w:r>
            <w:fldChar w:fldCharType="begin"/>
          </w:r>
          <w:r>
            <w:instrText xml:space="preserve"> HYPERLINK \l "_Toc27513" </w:instrText>
          </w:r>
          <w:r>
            <w:fldChar w:fldCharType="separate"/>
          </w:r>
          <w:r>
            <w:rPr>
              <w:rFonts w:hint="eastAsia"/>
              <w:sz w:val="24"/>
            </w:rPr>
            <w:t>第三节 发展目标</w:t>
          </w:r>
          <w:r>
            <w:rPr>
              <w:sz w:val="24"/>
            </w:rPr>
            <w:tab/>
          </w:r>
          <w:r>
            <w:rPr>
              <w:sz w:val="24"/>
            </w:rPr>
            <w:fldChar w:fldCharType="begin"/>
          </w:r>
          <w:r>
            <w:rPr>
              <w:sz w:val="24"/>
            </w:rPr>
            <w:instrText xml:space="preserve"> PAGEREF _Toc27513 \h </w:instrText>
          </w:r>
          <w:r>
            <w:rPr>
              <w:sz w:val="24"/>
            </w:rPr>
            <w:fldChar w:fldCharType="separate"/>
          </w:r>
          <w:r>
            <w:rPr>
              <w:sz w:val="24"/>
            </w:rPr>
            <w:t>11</w:t>
          </w:r>
          <w:r>
            <w:rPr>
              <w:sz w:val="24"/>
            </w:rPr>
            <w:fldChar w:fldCharType="end"/>
          </w:r>
          <w:r>
            <w:rPr>
              <w:sz w:val="24"/>
            </w:rPr>
            <w:fldChar w:fldCharType="end"/>
          </w:r>
        </w:p>
        <w:p w14:paraId="16161DB9">
          <w:pPr>
            <w:pStyle w:val="8"/>
            <w:tabs>
              <w:tab w:val="right" w:leader="dot" w:pos="8519"/>
            </w:tabs>
            <w:rPr>
              <w:sz w:val="24"/>
            </w:rPr>
          </w:pPr>
          <w:r>
            <w:fldChar w:fldCharType="begin"/>
          </w:r>
          <w:r>
            <w:instrText xml:space="preserve"> HYPERLINK \l "_Toc18084" </w:instrText>
          </w:r>
          <w:r>
            <w:fldChar w:fldCharType="separate"/>
          </w:r>
          <w:r>
            <w:rPr>
              <w:rFonts w:hint="eastAsia"/>
              <w:sz w:val="24"/>
            </w:rPr>
            <w:t>第三章 发展重点</w:t>
          </w:r>
          <w:r>
            <w:rPr>
              <w:sz w:val="24"/>
            </w:rPr>
            <w:tab/>
          </w:r>
          <w:r>
            <w:rPr>
              <w:sz w:val="24"/>
            </w:rPr>
            <w:fldChar w:fldCharType="begin"/>
          </w:r>
          <w:r>
            <w:rPr>
              <w:sz w:val="24"/>
            </w:rPr>
            <w:instrText xml:space="preserve"> PAGEREF _Toc18084 \h </w:instrText>
          </w:r>
          <w:r>
            <w:rPr>
              <w:sz w:val="24"/>
            </w:rPr>
            <w:fldChar w:fldCharType="separate"/>
          </w:r>
          <w:r>
            <w:rPr>
              <w:sz w:val="24"/>
            </w:rPr>
            <w:t>13</w:t>
          </w:r>
          <w:r>
            <w:rPr>
              <w:sz w:val="24"/>
            </w:rPr>
            <w:fldChar w:fldCharType="end"/>
          </w:r>
          <w:r>
            <w:rPr>
              <w:sz w:val="24"/>
            </w:rPr>
            <w:fldChar w:fldCharType="end"/>
          </w:r>
        </w:p>
        <w:p w14:paraId="75055264">
          <w:pPr>
            <w:pStyle w:val="9"/>
            <w:tabs>
              <w:tab w:val="right" w:leader="dot" w:pos="8519"/>
            </w:tabs>
            <w:ind w:left="560"/>
            <w:rPr>
              <w:sz w:val="24"/>
            </w:rPr>
          </w:pPr>
          <w:r>
            <w:fldChar w:fldCharType="begin"/>
          </w:r>
          <w:r>
            <w:instrText xml:space="preserve"> HYPERLINK \l "_Toc11137" </w:instrText>
          </w:r>
          <w:r>
            <w:fldChar w:fldCharType="separate"/>
          </w:r>
          <w:r>
            <w:rPr>
              <w:rFonts w:hint="eastAsia"/>
              <w:sz w:val="24"/>
            </w:rPr>
            <w:t>第一节 粗镓提取与伴生资源综合利用</w:t>
          </w:r>
          <w:r>
            <w:rPr>
              <w:sz w:val="24"/>
            </w:rPr>
            <w:tab/>
          </w:r>
          <w:r>
            <w:rPr>
              <w:sz w:val="24"/>
            </w:rPr>
            <w:fldChar w:fldCharType="begin"/>
          </w:r>
          <w:r>
            <w:rPr>
              <w:sz w:val="24"/>
            </w:rPr>
            <w:instrText xml:space="preserve"> PAGEREF _Toc11137 \h </w:instrText>
          </w:r>
          <w:r>
            <w:rPr>
              <w:sz w:val="24"/>
            </w:rPr>
            <w:fldChar w:fldCharType="separate"/>
          </w:r>
          <w:r>
            <w:rPr>
              <w:sz w:val="24"/>
            </w:rPr>
            <w:t>13</w:t>
          </w:r>
          <w:r>
            <w:rPr>
              <w:sz w:val="24"/>
            </w:rPr>
            <w:fldChar w:fldCharType="end"/>
          </w:r>
          <w:r>
            <w:rPr>
              <w:sz w:val="24"/>
            </w:rPr>
            <w:fldChar w:fldCharType="end"/>
          </w:r>
        </w:p>
        <w:p w14:paraId="52C640A4">
          <w:pPr>
            <w:pStyle w:val="9"/>
            <w:tabs>
              <w:tab w:val="right" w:leader="dot" w:pos="8519"/>
            </w:tabs>
            <w:ind w:left="560"/>
            <w:rPr>
              <w:sz w:val="24"/>
            </w:rPr>
          </w:pPr>
          <w:r>
            <w:fldChar w:fldCharType="begin"/>
          </w:r>
          <w:r>
            <w:instrText xml:space="preserve"> HYPERLINK \l "_Toc21952" </w:instrText>
          </w:r>
          <w:r>
            <w:fldChar w:fldCharType="separate"/>
          </w:r>
          <w:r>
            <w:rPr>
              <w:rFonts w:hint="eastAsia"/>
              <w:sz w:val="24"/>
            </w:rPr>
            <w:t>第二节 镓基功能合金材料</w:t>
          </w:r>
          <w:r>
            <w:rPr>
              <w:sz w:val="24"/>
            </w:rPr>
            <w:tab/>
          </w:r>
          <w:r>
            <w:rPr>
              <w:sz w:val="24"/>
            </w:rPr>
            <w:fldChar w:fldCharType="begin"/>
          </w:r>
          <w:r>
            <w:rPr>
              <w:sz w:val="24"/>
            </w:rPr>
            <w:instrText xml:space="preserve"> PAGEREF _Toc21952 \h </w:instrText>
          </w:r>
          <w:r>
            <w:rPr>
              <w:sz w:val="24"/>
            </w:rPr>
            <w:fldChar w:fldCharType="separate"/>
          </w:r>
          <w:r>
            <w:rPr>
              <w:sz w:val="24"/>
            </w:rPr>
            <w:t>14</w:t>
          </w:r>
          <w:r>
            <w:rPr>
              <w:sz w:val="24"/>
            </w:rPr>
            <w:fldChar w:fldCharType="end"/>
          </w:r>
          <w:r>
            <w:rPr>
              <w:sz w:val="24"/>
            </w:rPr>
            <w:fldChar w:fldCharType="end"/>
          </w:r>
        </w:p>
        <w:p w14:paraId="65672FCB">
          <w:pPr>
            <w:pStyle w:val="9"/>
            <w:tabs>
              <w:tab w:val="right" w:leader="dot" w:pos="8519"/>
            </w:tabs>
            <w:ind w:left="560"/>
            <w:rPr>
              <w:sz w:val="24"/>
            </w:rPr>
          </w:pPr>
          <w:r>
            <w:fldChar w:fldCharType="begin"/>
          </w:r>
          <w:r>
            <w:instrText xml:space="preserve"> HYPERLINK \l "_Toc22707" </w:instrText>
          </w:r>
          <w:r>
            <w:fldChar w:fldCharType="separate"/>
          </w:r>
          <w:r>
            <w:rPr>
              <w:rFonts w:hint="eastAsia"/>
              <w:sz w:val="24"/>
            </w:rPr>
            <w:t>第三节 超高纯镓规模化制备</w:t>
          </w:r>
          <w:r>
            <w:rPr>
              <w:sz w:val="24"/>
            </w:rPr>
            <w:tab/>
          </w:r>
          <w:r>
            <w:rPr>
              <w:sz w:val="24"/>
            </w:rPr>
            <w:fldChar w:fldCharType="begin"/>
          </w:r>
          <w:r>
            <w:rPr>
              <w:sz w:val="24"/>
            </w:rPr>
            <w:instrText xml:space="preserve"> PAGEREF _Toc22707 \h </w:instrText>
          </w:r>
          <w:r>
            <w:rPr>
              <w:sz w:val="24"/>
            </w:rPr>
            <w:fldChar w:fldCharType="separate"/>
          </w:r>
          <w:r>
            <w:rPr>
              <w:sz w:val="24"/>
            </w:rPr>
            <w:t>16</w:t>
          </w:r>
          <w:r>
            <w:rPr>
              <w:sz w:val="24"/>
            </w:rPr>
            <w:fldChar w:fldCharType="end"/>
          </w:r>
          <w:r>
            <w:rPr>
              <w:sz w:val="24"/>
            </w:rPr>
            <w:fldChar w:fldCharType="end"/>
          </w:r>
        </w:p>
        <w:p w14:paraId="04ACC4F5">
          <w:pPr>
            <w:pStyle w:val="9"/>
            <w:tabs>
              <w:tab w:val="right" w:leader="dot" w:pos="8519"/>
            </w:tabs>
            <w:ind w:left="560"/>
            <w:rPr>
              <w:sz w:val="24"/>
            </w:rPr>
          </w:pPr>
          <w:r>
            <w:fldChar w:fldCharType="begin"/>
          </w:r>
          <w:r>
            <w:instrText xml:space="preserve"> HYPERLINK \l "_Toc26170" </w:instrText>
          </w:r>
          <w:r>
            <w:fldChar w:fldCharType="separate"/>
          </w:r>
          <w:r>
            <w:rPr>
              <w:rFonts w:hint="eastAsia"/>
              <w:sz w:val="24"/>
            </w:rPr>
            <w:t>第四节 镓基化合物前驱体材料</w:t>
          </w:r>
          <w:r>
            <w:rPr>
              <w:sz w:val="24"/>
            </w:rPr>
            <w:tab/>
          </w:r>
          <w:r>
            <w:rPr>
              <w:sz w:val="24"/>
            </w:rPr>
            <w:fldChar w:fldCharType="begin"/>
          </w:r>
          <w:r>
            <w:rPr>
              <w:sz w:val="24"/>
            </w:rPr>
            <w:instrText xml:space="preserve"> PAGEREF _Toc26170 \h </w:instrText>
          </w:r>
          <w:r>
            <w:rPr>
              <w:sz w:val="24"/>
            </w:rPr>
            <w:fldChar w:fldCharType="separate"/>
          </w:r>
          <w:r>
            <w:rPr>
              <w:sz w:val="24"/>
            </w:rPr>
            <w:t>17</w:t>
          </w:r>
          <w:r>
            <w:rPr>
              <w:sz w:val="24"/>
            </w:rPr>
            <w:fldChar w:fldCharType="end"/>
          </w:r>
          <w:r>
            <w:rPr>
              <w:sz w:val="24"/>
            </w:rPr>
            <w:fldChar w:fldCharType="end"/>
          </w:r>
        </w:p>
        <w:p w14:paraId="7CF1A64F">
          <w:pPr>
            <w:pStyle w:val="9"/>
            <w:tabs>
              <w:tab w:val="right" w:leader="dot" w:pos="8519"/>
            </w:tabs>
            <w:ind w:left="560"/>
            <w:rPr>
              <w:sz w:val="24"/>
            </w:rPr>
          </w:pPr>
          <w:r>
            <w:fldChar w:fldCharType="begin"/>
          </w:r>
          <w:r>
            <w:instrText xml:space="preserve"> HYPERLINK \l "_Toc26677" </w:instrText>
          </w:r>
          <w:r>
            <w:fldChar w:fldCharType="separate"/>
          </w:r>
          <w:r>
            <w:rPr>
              <w:rFonts w:hint="eastAsia"/>
              <w:sz w:val="24"/>
            </w:rPr>
            <w:t>第五节 镓基单晶与衬底材料</w:t>
          </w:r>
          <w:r>
            <w:rPr>
              <w:sz w:val="24"/>
            </w:rPr>
            <w:tab/>
          </w:r>
          <w:r>
            <w:rPr>
              <w:sz w:val="24"/>
            </w:rPr>
            <w:fldChar w:fldCharType="begin"/>
          </w:r>
          <w:r>
            <w:rPr>
              <w:sz w:val="24"/>
            </w:rPr>
            <w:instrText xml:space="preserve"> PAGEREF _Toc26677 \h </w:instrText>
          </w:r>
          <w:r>
            <w:rPr>
              <w:sz w:val="24"/>
            </w:rPr>
            <w:fldChar w:fldCharType="separate"/>
          </w:r>
          <w:r>
            <w:rPr>
              <w:sz w:val="24"/>
            </w:rPr>
            <w:t>18</w:t>
          </w:r>
          <w:r>
            <w:rPr>
              <w:sz w:val="24"/>
            </w:rPr>
            <w:fldChar w:fldCharType="end"/>
          </w:r>
          <w:r>
            <w:rPr>
              <w:sz w:val="24"/>
            </w:rPr>
            <w:fldChar w:fldCharType="end"/>
          </w:r>
        </w:p>
        <w:p w14:paraId="5E0B90C6">
          <w:pPr>
            <w:pStyle w:val="8"/>
            <w:tabs>
              <w:tab w:val="right" w:leader="dot" w:pos="8519"/>
            </w:tabs>
            <w:rPr>
              <w:sz w:val="24"/>
            </w:rPr>
          </w:pPr>
          <w:r>
            <w:fldChar w:fldCharType="begin"/>
          </w:r>
          <w:r>
            <w:instrText xml:space="preserve"> HYPERLINK \l "_Toc22911" </w:instrText>
          </w:r>
          <w:r>
            <w:fldChar w:fldCharType="separate"/>
          </w:r>
          <w:r>
            <w:rPr>
              <w:rFonts w:hint="eastAsia"/>
              <w:sz w:val="24"/>
            </w:rPr>
            <w:t>第四章 产业空间布局</w:t>
          </w:r>
          <w:r>
            <w:rPr>
              <w:sz w:val="24"/>
            </w:rPr>
            <w:tab/>
          </w:r>
          <w:r>
            <w:rPr>
              <w:sz w:val="24"/>
            </w:rPr>
            <w:fldChar w:fldCharType="begin"/>
          </w:r>
          <w:r>
            <w:rPr>
              <w:sz w:val="24"/>
            </w:rPr>
            <w:instrText xml:space="preserve"> PAGEREF _Toc22911 \h </w:instrText>
          </w:r>
          <w:r>
            <w:rPr>
              <w:sz w:val="24"/>
            </w:rPr>
            <w:fldChar w:fldCharType="separate"/>
          </w:r>
          <w:r>
            <w:rPr>
              <w:sz w:val="24"/>
            </w:rPr>
            <w:t>20</w:t>
          </w:r>
          <w:r>
            <w:rPr>
              <w:sz w:val="24"/>
            </w:rPr>
            <w:fldChar w:fldCharType="end"/>
          </w:r>
          <w:r>
            <w:rPr>
              <w:sz w:val="24"/>
            </w:rPr>
            <w:fldChar w:fldCharType="end"/>
          </w:r>
        </w:p>
        <w:p w14:paraId="5C7AF488">
          <w:pPr>
            <w:pStyle w:val="9"/>
            <w:tabs>
              <w:tab w:val="right" w:leader="dot" w:pos="8519"/>
            </w:tabs>
            <w:ind w:left="560"/>
            <w:rPr>
              <w:sz w:val="24"/>
            </w:rPr>
          </w:pPr>
          <w:r>
            <w:fldChar w:fldCharType="begin"/>
          </w:r>
          <w:r>
            <w:instrText xml:space="preserve"> HYPERLINK \l "_Toc31514" </w:instrText>
          </w:r>
          <w:r>
            <w:fldChar w:fldCharType="separate"/>
          </w:r>
          <w:r>
            <w:rPr>
              <w:rFonts w:hint="eastAsia"/>
              <w:sz w:val="24"/>
            </w:rPr>
            <w:t>第一节 总体布局框架</w:t>
          </w:r>
          <w:r>
            <w:rPr>
              <w:sz w:val="24"/>
            </w:rPr>
            <w:tab/>
          </w:r>
          <w:r>
            <w:rPr>
              <w:sz w:val="24"/>
            </w:rPr>
            <w:fldChar w:fldCharType="begin"/>
          </w:r>
          <w:r>
            <w:rPr>
              <w:sz w:val="24"/>
            </w:rPr>
            <w:instrText xml:space="preserve"> PAGEREF _Toc31514 \h </w:instrText>
          </w:r>
          <w:r>
            <w:rPr>
              <w:sz w:val="24"/>
            </w:rPr>
            <w:fldChar w:fldCharType="separate"/>
          </w:r>
          <w:r>
            <w:rPr>
              <w:sz w:val="24"/>
            </w:rPr>
            <w:t>20</w:t>
          </w:r>
          <w:r>
            <w:rPr>
              <w:sz w:val="24"/>
            </w:rPr>
            <w:fldChar w:fldCharType="end"/>
          </w:r>
          <w:r>
            <w:rPr>
              <w:sz w:val="24"/>
            </w:rPr>
            <w:fldChar w:fldCharType="end"/>
          </w:r>
        </w:p>
        <w:p w14:paraId="7A6CDC2F">
          <w:pPr>
            <w:pStyle w:val="9"/>
            <w:tabs>
              <w:tab w:val="right" w:leader="dot" w:pos="8519"/>
            </w:tabs>
            <w:ind w:left="560"/>
            <w:rPr>
              <w:sz w:val="24"/>
            </w:rPr>
          </w:pPr>
          <w:r>
            <w:fldChar w:fldCharType="begin"/>
          </w:r>
          <w:r>
            <w:instrText xml:space="preserve"> HYPERLINK \l "_Toc25679" </w:instrText>
          </w:r>
          <w:r>
            <w:fldChar w:fldCharType="separate"/>
          </w:r>
          <w:r>
            <w:rPr>
              <w:rFonts w:hint="eastAsia"/>
              <w:sz w:val="24"/>
            </w:rPr>
            <w:t>第二节 重点园区功能定位</w:t>
          </w:r>
          <w:r>
            <w:rPr>
              <w:sz w:val="24"/>
            </w:rPr>
            <w:tab/>
          </w:r>
          <w:r>
            <w:rPr>
              <w:sz w:val="24"/>
            </w:rPr>
            <w:fldChar w:fldCharType="begin"/>
          </w:r>
          <w:r>
            <w:rPr>
              <w:sz w:val="24"/>
            </w:rPr>
            <w:instrText xml:space="preserve"> PAGEREF _Toc25679 \h </w:instrText>
          </w:r>
          <w:r>
            <w:rPr>
              <w:sz w:val="24"/>
            </w:rPr>
            <w:fldChar w:fldCharType="separate"/>
          </w:r>
          <w:r>
            <w:rPr>
              <w:sz w:val="24"/>
            </w:rPr>
            <w:t>21</w:t>
          </w:r>
          <w:r>
            <w:rPr>
              <w:sz w:val="24"/>
            </w:rPr>
            <w:fldChar w:fldCharType="end"/>
          </w:r>
          <w:r>
            <w:rPr>
              <w:sz w:val="24"/>
            </w:rPr>
            <w:fldChar w:fldCharType="end"/>
          </w:r>
        </w:p>
        <w:p w14:paraId="5F2393D1">
          <w:pPr>
            <w:pStyle w:val="9"/>
            <w:tabs>
              <w:tab w:val="right" w:leader="dot" w:pos="8519"/>
            </w:tabs>
            <w:ind w:left="560"/>
            <w:rPr>
              <w:sz w:val="24"/>
            </w:rPr>
          </w:pPr>
          <w:r>
            <w:fldChar w:fldCharType="begin"/>
          </w:r>
          <w:r>
            <w:instrText xml:space="preserve"> HYPERLINK \l "_Toc29522" </w:instrText>
          </w:r>
          <w:r>
            <w:fldChar w:fldCharType="separate"/>
          </w:r>
          <w:r>
            <w:rPr>
              <w:rFonts w:hint="eastAsia"/>
              <w:sz w:val="24"/>
            </w:rPr>
            <w:t>第三节 园区专业化配套建设</w:t>
          </w:r>
          <w:r>
            <w:rPr>
              <w:sz w:val="24"/>
            </w:rPr>
            <w:tab/>
          </w:r>
          <w:r>
            <w:rPr>
              <w:sz w:val="24"/>
            </w:rPr>
            <w:fldChar w:fldCharType="begin"/>
          </w:r>
          <w:r>
            <w:rPr>
              <w:sz w:val="24"/>
            </w:rPr>
            <w:instrText xml:space="preserve"> PAGEREF _Toc29522 \h </w:instrText>
          </w:r>
          <w:r>
            <w:rPr>
              <w:sz w:val="24"/>
            </w:rPr>
            <w:fldChar w:fldCharType="separate"/>
          </w:r>
          <w:r>
            <w:rPr>
              <w:sz w:val="24"/>
            </w:rPr>
            <w:t>24</w:t>
          </w:r>
          <w:r>
            <w:rPr>
              <w:sz w:val="24"/>
            </w:rPr>
            <w:fldChar w:fldCharType="end"/>
          </w:r>
          <w:r>
            <w:rPr>
              <w:sz w:val="24"/>
            </w:rPr>
            <w:fldChar w:fldCharType="end"/>
          </w:r>
        </w:p>
        <w:p w14:paraId="17B28B80">
          <w:pPr>
            <w:pStyle w:val="8"/>
            <w:tabs>
              <w:tab w:val="right" w:leader="dot" w:pos="8519"/>
            </w:tabs>
            <w:rPr>
              <w:sz w:val="24"/>
            </w:rPr>
          </w:pPr>
          <w:r>
            <w:fldChar w:fldCharType="begin"/>
          </w:r>
          <w:r>
            <w:instrText xml:space="preserve"> HYPERLINK \l "_Toc2138" </w:instrText>
          </w:r>
          <w:r>
            <w:fldChar w:fldCharType="separate"/>
          </w:r>
          <w:r>
            <w:rPr>
              <w:rFonts w:hint="eastAsia"/>
              <w:sz w:val="24"/>
            </w:rPr>
            <w:t>第五章 主要任务</w:t>
          </w:r>
          <w:r>
            <w:rPr>
              <w:sz w:val="24"/>
            </w:rPr>
            <w:tab/>
          </w:r>
          <w:r>
            <w:rPr>
              <w:sz w:val="24"/>
            </w:rPr>
            <w:fldChar w:fldCharType="begin"/>
          </w:r>
          <w:r>
            <w:rPr>
              <w:sz w:val="24"/>
            </w:rPr>
            <w:instrText xml:space="preserve"> PAGEREF _Toc2138 \h </w:instrText>
          </w:r>
          <w:r>
            <w:rPr>
              <w:sz w:val="24"/>
            </w:rPr>
            <w:fldChar w:fldCharType="separate"/>
          </w:r>
          <w:r>
            <w:rPr>
              <w:sz w:val="24"/>
            </w:rPr>
            <w:t>26</w:t>
          </w:r>
          <w:r>
            <w:rPr>
              <w:sz w:val="24"/>
            </w:rPr>
            <w:fldChar w:fldCharType="end"/>
          </w:r>
          <w:r>
            <w:rPr>
              <w:sz w:val="24"/>
            </w:rPr>
            <w:fldChar w:fldCharType="end"/>
          </w:r>
        </w:p>
        <w:p w14:paraId="44FEBB40">
          <w:pPr>
            <w:pStyle w:val="9"/>
            <w:tabs>
              <w:tab w:val="right" w:leader="dot" w:pos="8519"/>
            </w:tabs>
            <w:ind w:left="560"/>
            <w:rPr>
              <w:sz w:val="24"/>
            </w:rPr>
          </w:pPr>
          <w:r>
            <w:fldChar w:fldCharType="begin"/>
          </w:r>
          <w:r>
            <w:instrText xml:space="preserve"> HYPERLINK \l "_Toc23871" </w:instrText>
          </w:r>
          <w:r>
            <w:fldChar w:fldCharType="separate"/>
          </w:r>
          <w:r>
            <w:rPr>
              <w:rFonts w:hint="eastAsia"/>
              <w:sz w:val="24"/>
            </w:rPr>
            <w:t>第一节 实施粗镓“应提尽提”工程</w:t>
          </w:r>
          <w:r>
            <w:rPr>
              <w:sz w:val="24"/>
            </w:rPr>
            <w:tab/>
          </w:r>
          <w:r>
            <w:rPr>
              <w:sz w:val="24"/>
            </w:rPr>
            <w:fldChar w:fldCharType="begin"/>
          </w:r>
          <w:r>
            <w:rPr>
              <w:sz w:val="24"/>
            </w:rPr>
            <w:instrText xml:space="preserve"> PAGEREF _Toc23871 \h </w:instrText>
          </w:r>
          <w:r>
            <w:rPr>
              <w:sz w:val="24"/>
            </w:rPr>
            <w:fldChar w:fldCharType="separate"/>
          </w:r>
          <w:r>
            <w:rPr>
              <w:sz w:val="24"/>
            </w:rPr>
            <w:t>27</w:t>
          </w:r>
          <w:r>
            <w:rPr>
              <w:sz w:val="24"/>
            </w:rPr>
            <w:fldChar w:fldCharType="end"/>
          </w:r>
          <w:r>
            <w:rPr>
              <w:sz w:val="24"/>
            </w:rPr>
            <w:fldChar w:fldCharType="end"/>
          </w:r>
        </w:p>
        <w:p w14:paraId="6F24F8A0">
          <w:pPr>
            <w:pStyle w:val="9"/>
            <w:tabs>
              <w:tab w:val="right" w:leader="dot" w:pos="8519"/>
            </w:tabs>
            <w:ind w:left="560"/>
            <w:rPr>
              <w:sz w:val="24"/>
            </w:rPr>
          </w:pPr>
          <w:r>
            <w:fldChar w:fldCharType="begin"/>
          </w:r>
          <w:r>
            <w:instrText xml:space="preserve"> HYPERLINK \l "_Toc21512" </w:instrText>
          </w:r>
          <w:r>
            <w:fldChar w:fldCharType="separate"/>
          </w:r>
          <w:r>
            <w:rPr>
              <w:rFonts w:hint="eastAsia"/>
              <w:sz w:val="24"/>
            </w:rPr>
            <w:t>第二节 实施镓基功能合金培育工程</w:t>
          </w:r>
          <w:r>
            <w:rPr>
              <w:sz w:val="24"/>
            </w:rPr>
            <w:tab/>
          </w:r>
          <w:r>
            <w:rPr>
              <w:sz w:val="24"/>
            </w:rPr>
            <w:fldChar w:fldCharType="begin"/>
          </w:r>
          <w:r>
            <w:rPr>
              <w:sz w:val="24"/>
            </w:rPr>
            <w:instrText xml:space="preserve"> PAGEREF _Toc21512 \h </w:instrText>
          </w:r>
          <w:r>
            <w:rPr>
              <w:sz w:val="24"/>
            </w:rPr>
            <w:fldChar w:fldCharType="separate"/>
          </w:r>
          <w:r>
            <w:rPr>
              <w:sz w:val="24"/>
            </w:rPr>
            <w:t>28</w:t>
          </w:r>
          <w:r>
            <w:rPr>
              <w:sz w:val="24"/>
            </w:rPr>
            <w:fldChar w:fldCharType="end"/>
          </w:r>
          <w:r>
            <w:rPr>
              <w:sz w:val="24"/>
            </w:rPr>
            <w:fldChar w:fldCharType="end"/>
          </w:r>
        </w:p>
        <w:p w14:paraId="1AF3DAB4">
          <w:pPr>
            <w:pStyle w:val="9"/>
            <w:tabs>
              <w:tab w:val="right" w:leader="dot" w:pos="8519"/>
            </w:tabs>
            <w:ind w:left="560"/>
            <w:rPr>
              <w:sz w:val="24"/>
            </w:rPr>
          </w:pPr>
          <w:r>
            <w:fldChar w:fldCharType="begin"/>
          </w:r>
          <w:r>
            <w:instrText xml:space="preserve"> HYPERLINK \l "_Toc15095" </w:instrText>
          </w:r>
          <w:r>
            <w:fldChar w:fldCharType="separate"/>
          </w:r>
          <w:r>
            <w:rPr>
              <w:rFonts w:hint="eastAsia"/>
              <w:sz w:val="24"/>
            </w:rPr>
            <w:t>第三节 实施超高纯镓集群建设工程</w:t>
          </w:r>
          <w:r>
            <w:rPr>
              <w:sz w:val="24"/>
            </w:rPr>
            <w:tab/>
          </w:r>
          <w:r>
            <w:rPr>
              <w:sz w:val="24"/>
            </w:rPr>
            <w:fldChar w:fldCharType="begin"/>
          </w:r>
          <w:r>
            <w:rPr>
              <w:sz w:val="24"/>
            </w:rPr>
            <w:instrText xml:space="preserve"> PAGEREF _Toc15095 \h </w:instrText>
          </w:r>
          <w:r>
            <w:rPr>
              <w:sz w:val="24"/>
            </w:rPr>
            <w:fldChar w:fldCharType="separate"/>
          </w:r>
          <w:r>
            <w:rPr>
              <w:sz w:val="24"/>
            </w:rPr>
            <w:t>29</w:t>
          </w:r>
          <w:r>
            <w:rPr>
              <w:sz w:val="24"/>
            </w:rPr>
            <w:fldChar w:fldCharType="end"/>
          </w:r>
          <w:r>
            <w:rPr>
              <w:sz w:val="24"/>
            </w:rPr>
            <w:fldChar w:fldCharType="end"/>
          </w:r>
        </w:p>
        <w:p w14:paraId="67CCBACB">
          <w:pPr>
            <w:pStyle w:val="9"/>
            <w:tabs>
              <w:tab w:val="right" w:leader="dot" w:pos="8519"/>
            </w:tabs>
            <w:ind w:left="560"/>
            <w:rPr>
              <w:sz w:val="24"/>
            </w:rPr>
          </w:pPr>
          <w:r>
            <w:fldChar w:fldCharType="begin"/>
          </w:r>
          <w:r>
            <w:instrText xml:space="preserve"> HYPERLINK \l "_Toc24889" </w:instrText>
          </w:r>
          <w:r>
            <w:fldChar w:fldCharType="separate"/>
          </w:r>
          <w:r>
            <w:rPr>
              <w:rFonts w:hint="eastAsia"/>
              <w:sz w:val="24"/>
            </w:rPr>
            <w:t>第四节 实施化合物前驱体攻坚工程</w:t>
          </w:r>
          <w:r>
            <w:rPr>
              <w:sz w:val="24"/>
            </w:rPr>
            <w:tab/>
          </w:r>
          <w:r>
            <w:rPr>
              <w:sz w:val="24"/>
            </w:rPr>
            <w:fldChar w:fldCharType="begin"/>
          </w:r>
          <w:r>
            <w:rPr>
              <w:sz w:val="24"/>
            </w:rPr>
            <w:instrText xml:space="preserve"> PAGEREF _Toc24889 \h </w:instrText>
          </w:r>
          <w:r>
            <w:rPr>
              <w:sz w:val="24"/>
            </w:rPr>
            <w:fldChar w:fldCharType="separate"/>
          </w:r>
          <w:r>
            <w:rPr>
              <w:sz w:val="24"/>
            </w:rPr>
            <w:t>31</w:t>
          </w:r>
          <w:r>
            <w:rPr>
              <w:sz w:val="24"/>
            </w:rPr>
            <w:fldChar w:fldCharType="end"/>
          </w:r>
          <w:r>
            <w:rPr>
              <w:sz w:val="24"/>
            </w:rPr>
            <w:fldChar w:fldCharType="end"/>
          </w:r>
        </w:p>
        <w:p w14:paraId="2DB66BEA">
          <w:pPr>
            <w:pStyle w:val="9"/>
            <w:tabs>
              <w:tab w:val="right" w:leader="dot" w:pos="8519"/>
            </w:tabs>
            <w:ind w:left="560"/>
            <w:rPr>
              <w:sz w:val="24"/>
            </w:rPr>
          </w:pPr>
          <w:r>
            <w:fldChar w:fldCharType="begin"/>
          </w:r>
          <w:r>
            <w:instrText xml:space="preserve"> HYPERLINK \l "_Toc26226" </w:instrText>
          </w:r>
          <w:r>
            <w:fldChar w:fldCharType="separate"/>
          </w:r>
          <w:r>
            <w:rPr>
              <w:rFonts w:hint="eastAsia"/>
              <w:sz w:val="24"/>
            </w:rPr>
            <w:t>第五节 实施单晶衬底突破工程</w:t>
          </w:r>
          <w:r>
            <w:rPr>
              <w:sz w:val="24"/>
            </w:rPr>
            <w:tab/>
          </w:r>
          <w:r>
            <w:rPr>
              <w:sz w:val="24"/>
            </w:rPr>
            <w:fldChar w:fldCharType="begin"/>
          </w:r>
          <w:r>
            <w:rPr>
              <w:sz w:val="24"/>
            </w:rPr>
            <w:instrText xml:space="preserve"> PAGEREF _Toc26226 \h </w:instrText>
          </w:r>
          <w:r>
            <w:rPr>
              <w:sz w:val="24"/>
            </w:rPr>
            <w:fldChar w:fldCharType="separate"/>
          </w:r>
          <w:r>
            <w:rPr>
              <w:sz w:val="24"/>
            </w:rPr>
            <w:t>32</w:t>
          </w:r>
          <w:r>
            <w:rPr>
              <w:sz w:val="24"/>
            </w:rPr>
            <w:fldChar w:fldCharType="end"/>
          </w:r>
          <w:r>
            <w:rPr>
              <w:sz w:val="24"/>
            </w:rPr>
            <w:fldChar w:fldCharType="end"/>
          </w:r>
        </w:p>
        <w:p w14:paraId="6439BE13">
          <w:pPr>
            <w:pStyle w:val="8"/>
            <w:tabs>
              <w:tab w:val="right" w:leader="dot" w:pos="8519"/>
            </w:tabs>
            <w:rPr>
              <w:sz w:val="24"/>
            </w:rPr>
          </w:pPr>
          <w:r>
            <w:fldChar w:fldCharType="begin"/>
          </w:r>
          <w:r>
            <w:instrText xml:space="preserve"> HYPERLINK \l "_Toc4924" </w:instrText>
          </w:r>
          <w:r>
            <w:fldChar w:fldCharType="separate"/>
          </w:r>
          <w:r>
            <w:rPr>
              <w:rFonts w:hint="eastAsia"/>
              <w:sz w:val="24"/>
            </w:rPr>
            <w:t>第六章 保障措施</w:t>
          </w:r>
          <w:r>
            <w:rPr>
              <w:sz w:val="24"/>
            </w:rPr>
            <w:tab/>
          </w:r>
          <w:r>
            <w:rPr>
              <w:sz w:val="24"/>
            </w:rPr>
            <w:fldChar w:fldCharType="begin"/>
          </w:r>
          <w:r>
            <w:rPr>
              <w:sz w:val="24"/>
            </w:rPr>
            <w:instrText xml:space="preserve"> PAGEREF _Toc4924 \h </w:instrText>
          </w:r>
          <w:r>
            <w:rPr>
              <w:sz w:val="24"/>
            </w:rPr>
            <w:fldChar w:fldCharType="separate"/>
          </w:r>
          <w:r>
            <w:rPr>
              <w:sz w:val="24"/>
            </w:rPr>
            <w:t>33</w:t>
          </w:r>
          <w:r>
            <w:rPr>
              <w:sz w:val="24"/>
            </w:rPr>
            <w:fldChar w:fldCharType="end"/>
          </w:r>
          <w:r>
            <w:rPr>
              <w:sz w:val="24"/>
            </w:rPr>
            <w:fldChar w:fldCharType="end"/>
          </w:r>
        </w:p>
        <w:p w14:paraId="719C0265">
          <w:pPr>
            <w:pStyle w:val="9"/>
            <w:tabs>
              <w:tab w:val="right" w:leader="dot" w:pos="8519"/>
            </w:tabs>
            <w:ind w:left="560"/>
            <w:rPr>
              <w:sz w:val="24"/>
            </w:rPr>
          </w:pPr>
          <w:r>
            <w:fldChar w:fldCharType="begin"/>
          </w:r>
          <w:r>
            <w:instrText xml:space="preserve"> HYPERLINK \l "_Toc10798" </w:instrText>
          </w:r>
          <w:r>
            <w:fldChar w:fldCharType="separate"/>
          </w:r>
          <w:r>
            <w:rPr>
              <w:rFonts w:hint="eastAsia"/>
              <w:sz w:val="24"/>
            </w:rPr>
            <w:t>第一节 健全组织推进机制</w:t>
          </w:r>
          <w:r>
            <w:rPr>
              <w:sz w:val="24"/>
            </w:rPr>
            <w:tab/>
          </w:r>
          <w:r>
            <w:rPr>
              <w:sz w:val="24"/>
            </w:rPr>
            <w:fldChar w:fldCharType="begin"/>
          </w:r>
          <w:r>
            <w:rPr>
              <w:sz w:val="24"/>
            </w:rPr>
            <w:instrText xml:space="preserve"> PAGEREF _Toc10798 \h </w:instrText>
          </w:r>
          <w:r>
            <w:rPr>
              <w:sz w:val="24"/>
            </w:rPr>
            <w:fldChar w:fldCharType="separate"/>
          </w:r>
          <w:r>
            <w:rPr>
              <w:sz w:val="24"/>
            </w:rPr>
            <w:t>34</w:t>
          </w:r>
          <w:r>
            <w:rPr>
              <w:sz w:val="24"/>
            </w:rPr>
            <w:fldChar w:fldCharType="end"/>
          </w:r>
          <w:r>
            <w:rPr>
              <w:sz w:val="24"/>
            </w:rPr>
            <w:fldChar w:fldCharType="end"/>
          </w:r>
        </w:p>
        <w:p w14:paraId="01DAC1C8">
          <w:pPr>
            <w:pStyle w:val="9"/>
            <w:tabs>
              <w:tab w:val="right" w:leader="dot" w:pos="8519"/>
            </w:tabs>
            <w:ind w:left="560"/>
            <w:rPr>
              <w:sz w:val="24"/>
            </w:rPr>
          </w:pPr>
          <w:r>
            <w:fldChar w:fldCharType="begin"/>
          </w:r>
          <w:r>
            <w:instrText xml:space="preserve"> HYPERLINK \l "_Toc27679" </w:instrText>
          </w:r>
          <w:r>
            <w:fldChar w:fldCharType="separate"/>
          </w:r>
          <w:r>
            <w:rPr>
              <w:rFonts w:hint="eastAsia"/>
              <w:sz w:val="24"/>
            </w:rPr>
            <w:t>第二节 强化政策帮扶引导</w:t>
          </w:r>
          <w:r>
            <w:rPr>
              <w:sz w:val="24"/>
            </w:rPr>
            <w:tab/>
          </w:r>
          <w:r>
            <w:rPr>
              <w:sz w:val="24"/>
            </w:rPr>
            <w:fldChar w:fldCharType="begin"/>
          </w:r>
          <w:r>
            <w:rPr>
              <w:sz w:val="24"/>
            </w:rPr>
            <w:instrText xml:space="preserve"> PAGEREF _Toc27679 \h </w:instrText>
          </w:r>
          <w:r>
            <w:rPr>
              <w:sz w:val="24"/>
            </w:rPr>
            <w:fldChar w:fldCharType="separate"/>
          </w:r>
          <w:r>
            <w:rPr>
              <w:sz w:val="24"/>
            </w:rPr>
            <w:t>34</w:t>
          </w:r>
          <w:r>
            <w:rPr>
              <w:sz w:val="24"/>
            </w:rPr>
            <w:fldChar w:fldCharType="end"/>
          </w:r>
          <w:r>
            <w:rPr>
              <w:sz w:val="24"/>
            </w:rPr>
            <w:fldChar w:fldCharType="end"/>
          </w:r>
        </w:p>
        <w:p w14:paraId="2BD254D1">
          <w:pPr>
            <w:pStyle w:val="9"/>
            <w:tabs>
              <w:tab w:val="right" w:leader="dot" w:pos="8519"/>
            </w:tabs>
            <w:ind w:left="560"/>
            <w:rPr>
              <w:sz w:val="24"/>
            </w:rPr>
          </w:pPr>
          <w:r>
            <w:fldChar w:fldCharType="begin"/>
          </w:r>
          <w:r>
            <w:instrText xml:space="preserve"> HYPERLINK \l "_Toc26236" </w:instrText>
          </w:r>
          <w:r>
            <w:fldChar w:fldCharType="separate"/>
          </w:r>
          <w:r>
            <w:rPr>
              <w:rFonts w:hint="eastAsia"/>
              <w:sz w:val="24"/>
            </w:rPr>
            <w:t>第三节 加大金融支持力度</w:t>
          </w:r>
          <w:r>
            <w:rPr>
              <w:sz w:val="24"/>
            </w:rPr>
            <w:tab/>
          </w:r>
          <w:r>
            <w:rPr>
              <w:sz w:val="24"/>
            </w:rPr>
            <w:fldChar w:fldCharType="begin"/>
          </w:r>
          <w:r>
            <w:rPr>
              <w:sz w:val="24"/>
            </w:rPr>
            <w:instrText xml:space="preserve"> PAGEREF _Toc26236 \h </w:instrText>
          </w:r>
          <w:r>
            <w:rPr>
              <w:sz w:val="24"/>
            </w:rPr>
            <w:fldChar w:fldCharType="separate"/>
          </w:r>
          <w:r>
            <w:rPr>
              <w:sz w:val="24"/>
            </w:rPr>
            <w:t>35</w:t>
          </w:r>
          <w:r>
            <w:rPr>
              <w:sz w:val="24"/>
            </w:rPr>
            <w:fldChar w:fldCharType="end"/>
          </w:r>
          <w:r>
            <w:rPr>
              <w:sz w:val="24"/>
            </w:rPr>
            <w:fldChar w:fldCharType="end"/>
          </w:r>
        </w:p>
        <w:p w14:paraId="5A291A0D">
          <w:pPr>
            <w:pStyle w:val="9"/>
            <w:tabs>
              <w:tab w:val="right" w:leader="dot" w:pos="8519"/>
            </w:tabs>
            <w:ind w:left="560"/>
            <w:rPr>
              <w:sz w:val="24"/>
            </w:rPr>
          </w:pPr>
          <w:r>
            <w:fldChar w:fldCharType="begin"/>
          </w:r>
          <w:r>
            <w:instrText xml:space="preserve"> HYPERLINK \l "_Toc25818" </w:instrText>
          </w:r>
          <w:r>
            <w:fldChar w:fldCharType="separate"/>
          </w:r>
          <w:r>
            <w:rPr>
              <w:rFonts w:hint="eastAsia"/>
              <w:sz w:val="24"/>
            </w:rPr>
            <w:t>第四节 加强人才队伍建设</w:t>
          </w:r>
          <w:r>
            <w:rPr>
              <w:sz w:val="24"/>
            </w:rPr>
            <w:tab/>
          </w:r>
          <w:r>
            <w:rPr>
              <w:sz w:val="24"/>
            </w:rPr>
            <w:fldChar w:fldCharType="begin"/>
          </w:r>
          <w:r>
            <w:rPr>
              <w:sz w:val="24"/>
            </w:rPr>
            <w:instrText xml:space="preserve"> PAGEREF _Toc25818 \h </w:instrText>
          </w:r>
          <w:r>
            <w:rPr>
              <w:sz w:val="24"/>
            </w:rPr>
            <w:fldChar w:fldCharType="separate"/>
          </w:r>
          <w:r>
            <w:rPr>
              <w:sz w:val="24"/>
            </w:rPr>
            <w:t>36</w:t>
          </w:r>
          <w:r>
            <w:rPr>
              <w:sz w:val="24"/>
            </w:rPr>
            <w:fldChar w:fldCharType="end"/>
          </w:r>
          <w:r>
            <w:rPr>
              <w:sz w:val="24"/>
            </w:rPr>
            <w:fldChar w:fldCharType="end"/>
          </w:r>
        </w:p>
        <w:p w14:paraId="63533439">
          <w:pPr>
            <w:pStyle w:val="9"/>
            <w:tabs>
              <w:tab w:val="right" w:leader="dot" w:pos="8519"/>
            </w:tabs>
            <w:ind w:left="560"/>
          </w:pPr>
          <w:r>
            <w:fldChar w:fldCharType="begin"/>
          </w:r>
          <w:r>
            <w:instrText xml:space="preserve"> HYPERLINK \l "_Toc25682" </w:instrText>
          </w:r>
          <w:r>
            <w:fldChar w:fldCharType="separate"/>
          </w:r>
          <w:r>
            <w:rPr>
              <w:rFonts w:hint="eastAsia"/>
              <w:sz w:val="24"/>
            </w:rPr>
            <w:t>第五节 强化规划实施评估</w:t>
          </w:r>
          <w:r>
            <w:rPr>
              <w:sz w:val="24"/>
            </w:rPr>
            <w:tab/>
          </w:r>
          <w:r>
            <w:rPr>
              <w:sz w:val="24"/>
            </w:rPr>
            <w:fldChar w:fldCharType="begin"/>
          </w:r>
          <w:r>
            <w:rPr>
              <w:sz w:val="24"/>
            </w:rPr>
            <w:instrText xml:space="preserve"> PAGEREF _Toc25682 \h </w:instrText>
          </w:r>
          <w:r>
            <w:rPr>
              <w:sz w:val="24"/>
            </w:rPr>
            <w:fldChar w:fldCharType="separate"/>
          </w:r>
          <w:r>
            <w:rPr>
              <w:sz w:val="24"/>
            </w:rPr>
            <w:t>37</w:t>
          </w:r>
          <w:r>
            <w:rPr>
              <w:sz w:val="24"/>
            </w:rPr>
            <w:fldChar w:fldCharType="end"/>
          </w:r>
          <w:r>
            <w:rPr>
              <w:sz w:val="24"/>
            </w:rPr>
            <w:fldChar w:fldCharType="end"/>
          </w:r>
        </w:p>
        <w:p w14:paraId="14D5B761">
          <w:pPr>
            <w:rPr>
              <w:rFonts w:ascii="Arial" w:hAnsi="Arial" w:eastAsia="等线" w:cs="Arial"/>
            </w:rPr>
            <w:sectPr>
              <w:footerReference r:id="rId5" w:type="default"/>
              <w:pgSz w:w="11906" w:h="16838"/>
              <w:pgMar w:top="1247" w:right="1587" w:bottom="1440" w:left="1587" w:header="851" w:footer="992" w:gutter="0"/>
              <w:pgNumType w:fmt="decimal" w:start="1"/>
              <w:cols w:space="425" w:num="1"/>
              <w:docGrid w:type="lines" w:linePitch="312" w:charSpace="0"/>
            </w:sectPr>
          </w:pPr>
        </w:p>
        <w:p w14:paraId="36D38DDD">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hAnsi="Arial" w:eastAsia="等线" w:cs="Arial"/>
              <w:b/>
              <w:sz w:val="52"/>
            </w:rPr>
          </w:pPr>
          <w:r>
            <w:rPr>
              <w:rFonts w:hint="eastAsia" w:ascii="Arial" w:hAnsi="Arial" w:eastAsia="等线" w:cs="Arial"/>
            </w:rPr>
            <w:fldChar w:fldCharType="end"/>
          </w:r>
        </w:p>
      </w:sdtContent>
    </w:sdt>
    <w:p w14:paraId="3C61F3E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rPr>
      </w:pPr>
      <w:bookmarkStart w:id="0" w:name="_Toc29516"/>
      <w:r>
        <w:rPr>
          <w:rFonts w:hint="eastAsia" w:ascii="方正小标宋简体" w:hAnsi="方正小标宋简体" w:eastAsia="方正小标宋简体" w:cs="方正小标宋简体"/>
          <w:b w:val="0"/>
          <w:bCs/>
          <w:sz w:val="44"/>
          <w:szCs w:val="44"/>
          <w:lang w:eastAsia="zh-CN"/>
        </w:rPr>
        <w:t>第一章</w:t>
      </w:r>
      <w:r>
        <w:rPr>
          <w:rFonts w:hint="eastAsia" w:ascii="方正小标宋简体" w:hAnsi="方正小标宋简体" w:eastAsia="方正小标宋简体" w:cs="方正小标宋简体"/>
          <w:b w:val="0"/>
          <w:bCs/>
          <w:sz w:val="44"/>
          <w:szCs w:val="44"/>
          <w:lang w:val="en-US" w:eastAsia="zh-CN"/>
        </w:rPr>
        <w:t xml:space="preserve"> </w:t>
      </w:r>
      <w:r>
        <w:rPr>
          <w:rFonts w:hint="eastAsia" w:ascii="方正小标宋简体" w:hAnsi="方正小标宋简体" w:eastAsia="方正小标宋简体" w:cs="方正小标宋简体"/>
          <w:b w:val="0"/>
          <w:bCs/>
          <w:sz w:val="44"/>
          <w:szCs w:val="44"/>
        </w:rPr>
        <w:t>发展基础与面临形势</w:t>
      </w:r>
      <w:bookmarkEnd w:id="0"/>
    </w:p>
    <w:p w14:paraId="71D2E371">
      <w:pPr>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楷体" w:hAnsi="楷体" w:eastAsia="楷体" w:cs="楷体"/>
          <w:b/>
          <w:sz w:val="32"/>
          <w:szCs w:val="32"/>
          <w:lang w:eastAsia="zh-CN"/>
        </w:rPr>
      </w:pPr>
      <w:bookmarkStart w:id="1" w:name="_Toc21844"/>
    </w:p>
    <w:p w14:paraId="5337F0EA">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r>
        <w:rPr>
          <w:rFonts w:hint="eastAsia" w:ascii="楷体" w:hAnsi="楷体" w:eastAsia="楷体" w:cs="楷体"/>
          <w:b/>
          <w:sz w:val="32"/>
          <w:szCs w:val="32"/>
          <w:lang w:eastAsia="zh-CN"/>
        </w:rPr>
        <w:t>第一节</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lang w:eastAsia="zh-CN"/>
        </w:rPr>
        <w:t>产业发展基础</w:t>
      </w:r>
      <w:bookmarkEnd w:id="1"/>
    </w:p>
    <w:p w14:paraId="738C5EED">
      <w:pPr>
        <w:pStyle w:val="4"/>
        <w:pageBreakBefore w:val="0"/>
        <w:widowControl w:val="0"/>
        <w:numPr>
          <w:numId w:val="0"/>
        </w:numPr>
        <w:kinsoku/>
        <w:wordWrap/>
        <w:overflowPunct/>
        <w:topLinePunct w:val="0"/>
        <w:autoSpaceDE/>
        <w:autoSpaceDN/>
        <w:bidi w:val="0"/>
        <w:adjustRightInd/>
        <w:snapToGrid/>
        <w:spacing w:before="0" w:after="0" w:line="560" w:lineRule="exact"/>
        <w:ind w:left="0" w:leftChars="0" w:firstLine="643" w:firstLineChars="200"/>
        <w:jc w:val="both"/>
        <w:textAlignment w:val="auto"/>
        <w:rPr>
          <w:rFonts w:hint="eastAsia" w:ascii="黑体" w:hAnsi="黑体" w:eastAsia="黑体" w:cs="黑体"/>
          <w:lang w:eastAsia="zh-CN"/>
        </w:rPr>
      </w:pPr>
    </w:p>
    <w:p w14:paraId="70FD81C9">
      <w:pPr>
        <w:pStyle w:val="4"/>
        <w:pageBreakBefore w:val="0"/>
        <w:widowControl w:val="0"/>
        <w:numPr>
          <w:numId w:val="0"/>
        </w:numPr>
        <w:kinsoku/>
        <w:wordWrap/>
        <w:overflowPunct/>
        <w:topLinePunct w:val="0"/>
        <w:autoSpaceDE/>
        <w:autoSpaceDN/>
        <w:bidi w:val="0"/>
        <w:adjustRightInd/>
        <w:snapToGrid/>
        <w:spacing w:before="0" w:after="0" w:line="560" w:lineRule="exact"/>
        <w:ind w:left="0" w:leftChars="0" w:firstLine="643" w:firstLineChars="200"/>
        <w:jc w:val="both"/>
        <w:textAlignment w:val="auto"/>
        <w:rPr>
          <w:rFonts w:hint="eastAsia" w:ascii="黑体" w:hAnsi="黑体" w:eastAsia="黑体" w:cs="黑体"/>
        </w:rPr>
      </w:pPr>
      <w:r>
        <w:rPr>
          <w:rFonts w:hint="eastAsia" w:ascii="黑体" w:hAnsi="黑体" w:eastAsia="黑体" w:cs="黑体"/>
          <w:lang w:eastAsia="zh-CN"/>
        </w:rPr>
        <w:t>一、</w:t>
      </w:r>
      <w:r>
        <w:rPr>
          <w:rFonts w:hint="eastAsia" w:ascii="黑体" w:hAnsi="黑体" w:eastAsia="黑体" w:cs="黑体"/>
        </w:rPr>
        <w:t>国内产业发展态势</w:t>
      </w:r>
    </w:p>
    <w:p w14:paraId="264DC939">
      <w:pPr>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金属镓是支撑第三代、第四代半导体产业发展的关键战略稀散金属，镓基材料广泛应用于5G通信、新能源汽车、光伏、军工电子等领域，是保障产业链供应链安全的核心基础材料。镓无独立成矿，全部作为氧化铝、锌冶炼的副产品回收，产能与有色金属冶炼产业深度绑定。</w:t>
      </w:r>
    </w:p>
    <w:p w14:paraId="7BED3CE0">
      <w:pPr>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全球镓产业呈现“中国主导供给、高端应用多元拓展”的格局。据中国有色金属工业协会稀有金属分会统计，2025 年全球原生镓产量约890吨，其中中国产量约850吨，占全球总产量的95%以上，西方各国因制造业空心化、环保标准严苛及成本压力，已基本退出原生镓提炼环节，形成对中国供给的高度依赖。技术层面，全球竞争重心向高纯镓提纯及化合物半导体高端应用环节转移，欧美日在器件制造领域仍具传统优势，但中国在氧化镓等第四代半导体材料领域加速实现弯道超车。需求层面，受AI算力、5G基站、新能源汽车、光伏等新兴产业拉动，全球高纯镓需求保持快速增长，预计2030年复合增长率约9%。2023年8月我国实施镓出口管制政策以来，国际国内市场形成内稳外涨的价格分化格局，中国对全球镓供应链的主导地位进一步巩固。</w:t>
      </w:r>
    </w:p>
    <w:p w14:paraId="45F6269F">
      <w:pPr>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国镓产业呈现产能高度集中、政策导向鲜明、向高端化加速转型的发展特征。产能主要分布于山西、河南、广西、贵州等氧化铝主产区，中国铝业、东方希望、广西华银铝业等企业为核心生产主体。国家层面将镓纳入《关键矿产清单</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2022年版）》实施严格管控，工信部等八部门联合印发《有色金属行业稳增长工作方案》，明确强化镓等稀有金属全链条管理，严控低附加值粗镓出口，支持高纯镓及镓基半导体材料产业化。在政策引导下，我国产业结构持续优化，2025年6N及以上高纯镓产能占比提升至65%以上，7N级超高纯镓产能占比突破30%，产业高端化、精细化转型趋势明显。应用端已形成半导体器件、光伏薄膜、磁性材料等多元消费格局，其中砷化镓射频器件、氮化镓功率器件、氧化镓功率电子等第三代、第四代半导体领域成为需求增长核心引擎。</w:t>
      </w:r>
    </w:p>
    <w:p w14:paraId="115FD2D0">
      <w:pPr>
        <w:pStyle w:val="4"/>
        <w:pageBreakBefore w:val="0"/>
        <w:widowControl w:val="0"/>
        <w:numPr>
          <w:ilvl w:val="0"/>
          <w:numId w:val="0"/>
        </w:numPr>
        <w:kinsoku/>
        <w:wordWrap/>
        <w:overflowPunct/>
        <w:topLinePunct w:val="0"/>
        <w:autoSpaceDE/>
        <w:autoSpaceDN/>
        <w:bidi w:val="0"/>
        <w:adjustRightInd/>
        <w:snapToGrid/>
        <w:spacing w:before="0" w:after="0" w:line="560" w:lineRule="exact"/>
        <w:ind w:left="0" w:leftChars="0"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二、资源禀赋与比较优势</w:t>
      </w:r>
    </w:p>
    <w:p w14:paraId="56FB7A55">
      <w:pPr>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西省是全国重要的铝土矿资源大省和有色金属产业基地，镓资源禀赋优势突出。全省铝土矿保有资源量15.92亿吨，占全国的30.79%，居全国第一位。依托庞大的氧化铝产业基础，山西原生镓产量约占全国一半，是全国最大的粗镓生产省份。山西省“十五五”有色金属产业发展规划明确构建“以铝、镁、铜为主导，镓、锂等新能源金属协同发展”的产业体系，将镓列为新能源金属和半导体材料产业链的核心材料，提出攻关金属镓提纯关键技术、培育第三代半导体等高附加值产业的战略部署，为全省镓产业高端化发展指明了方向。</w:t>
      </w:r>
    </w:p>
    <w:p w14:paraId="71AEB84B">
      <w:pPr>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吕梁市是山西省铝土矿资源最富集、镓产业基础最扎实的地市，在全省具有显著的比较优势。全市铝土矿探明储量6.49亿吨，占山西省的45.7%，居全省首位，且99%的铝土矿伴生金属镓，资源综合开发潜力巨大。从空间分布看，吕梁铝土矿呈</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两大基地引领、多点片区集聚</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态势，核心集中于兴县、交口县、孝义市、柳林县、临县五大县域，分属山西保德—兴县、山西汾西—孝义两大省级铝土矿基地，两大基地铝土矿储量占全市总量的75%以上，对应伴生镓资源量约占全市总量的80%。中阳县下枣林、李家山等矿区矿石品质优异，Al₂O₃平均品位68%以上、铝硅比8-10，伴生镓品位均值达0.004%-0.005%，远超全国铝土矿伴生镓0.002%-0.003%的平均水平，是高品质伴生镓资源的核心储备区。</w:t>
      </w:r>
    </w:p>
    <w:p w14:paraId="7E313A41">
      <w:pPr>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托资源禀赋，吕梁已形成全省规模最大的粗镓产能集群，2025年全市粗镓产量约167吨，占全省产量的近四成，是山西省乃至全国重要的原生镓生产基地。与省内其他地市相比，吕梁兼具资源储量大、品位高、产能集中、氧化铝产业配套完善等综合优势，具备向产业链下游延伸的天然条件，是全省打造新能源金属和半导体材料产业链的核心承载区。</w:t>
      </w:r>
    </w:p>
    <w:p w14:paraId="5C1BB744">
      <w:pPr>
        <w:pStyle w:val="4"/>
        <w:pageBreakBefore w:val="0"/>
        <w:widowControl w:val="0"/>
        <w:numPr>
          <w:ilvl w:val="0"/>
          <w:numId w:val="0"/>
        </w:numPr>
        <w:kinsoku/>
        <w:wordWrap/>
        <w:overflowPunct/>
        <w:topLinePunct w:val="0"/>
        <w:autoSpaceDE/>
        <w:autoSpaceDN/>
        <w:bidi w:val="0"/>
        <w:adjustRightInd/>
        <w:snapToGrid/>
        <w:spacing w:before="0" w:after="0" w:line="560" w:lineRule="exact"/>
        <w:ind w:left="0" w:leftChars="0"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三、产业发展现状</w:t>
      </w:r>
    </w:p>
    <w:p w14:paraId="42492703">
      <w:pPr>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吕梁市镓产业以铝土矿伴生资源开发为起点，目前已形成一定规模的粗镓生产能力，产业主体与氧化铝产业深度绑定。全市现有镓生产企业3家，分别为山西华兴铝业有限公司（下面简称“山西华兴”）、孝义市兴安镓业有限公司（下面简称“孝义兴安”）、柳林县森泽方源镓业科技有限公司（下面简称“柳林森泽”），三家企业均依托各自母公司氧化铝生产线的拜耳母液提取镓资源。</w:t>
      </w:r>
    </w:p>
    <w:p w14:paraId="0A363D7B">
      <w:pPr>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业规模方面，全市粗镓设计产能约190吨/年，2025年实际产量约167吨。其中孝义兴安产能规模最大，设计产能80吨/年，2025年产量78.5吨，基本达产；山西华兴产能增长最快，2023-2025年产量从41.7吨提升至58吨，年均增速达18%；柳林森泽产能保持稳定，2025年产量30.5吨。三家企业年消耗铝土矿均在500万吨以上，其中孝义兴安年用量达800万吨，为镓资源提取提供了充足的原料保障。</w:t>
      </w:r>
    </w:p>
    <w:p w14:paraId="246AD2E0">
      <w:pPr>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rPr>
      </w:pPr>
    </w:p>
    <w:p w14:paraId="069E265E">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表1</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吕梁主要镓生产企业近三年产能对比</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7"/>
        <w:gridCol w:w="1931"/>
        <w:gridCol w:w="1854"/>
        <w:gridCol w:w="1877"/>
        <w:gridCol w:w="1533"/>
      </w:tblGrid>
      <w:tr w14:paraId="4487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7" w:type="dxa"/>
            <w:tcBorders>
              <w:top w:val="single" w:color="auto" w:sz="12" w:space="0"/>
              <w:left w:val="nil"/>
              <w:bottom w:val="single" w:color="auto" w:sz="8" w:space="0"/>
              <w:right w:val="nil"/>
            </w:tcBorders>
            <w:vAlign w:val="center"/>
          </w:tcPr>
          <w:p w14:paraId="1F666F3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企业名称</w:t>
            </w:r>
          </w:p>
        </w:tc>
        <w:tc>
          <w:tcPr>
            <w:tcW w:w="1931" w:type="dxa"/>
            <w:tcBorders>
              <w:top w:val="single" w:color="auto" w:sz="12" w:space="0"/>
              <w:left w:val="nil"/>
              <w:bottom w:val="single" w:color="auto" w:sz="8" w:space="0"/>
              <w:right w:val="nil"/>
            </w:tcBorders>
            <w:vAlign w:val="center"/>
          </w:tcPr>
          <w:p w14:paraId="7876A50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2023年产量（吨）</w:t>
            </w:r>
          </w:p>
        </w:tc>
        <w:tc>
          <w:tcPr>
            <w:tcW w:w="1854" w:type="dxa"/>
            <w:tcBorders>
              <w:top w:val="single" w:color="auto" w:sz="12" w:space="0"/>
              <w:left w:val="nil"/>
              <w:bottom w:val="single" w:color="auto" w:sz="8" w:space="0"/>
              <w:right w:val="nil"/>
            </w:tcBorders>
            <w:vAlign w:val="center"/>
          </w:tcPr>
          <w:p w14:paraId="4C45840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2024年产量（吨）</w:t>
            </w:r>
          </w:p>
        </w:tc>
        <w:tc>
          <w:tcPr>
            <w:tcW w:w="1877" w:type="dxa"/>
            <w:tcBorders>
              <w:top w:val="single" w:color="auto" w:sz="12" w:space="0"/>
              <w:left w:val="nil"/>
              <w:bottom w:val="single" w:color="auto" w:sz="8" w:space="0"/>
              <w:right w:val="nil"/>
            </w:tcBorders>
            <w:vAlign w:val="center"/>
          </w:tcPr>
          <w:p w14:paraId="03D97CE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2025年产量（吨）</w:t>
            </w:r>
          </w:p>
        </w:tc>
        <w:tc>
          <w:tcPr>
            <w:tcW w:w="1533" w:type="dxa"/>
            <w:tcBorders>
              <w:top w:val="single" w:color="auto" w:sz="12" w:space="0"/>
              <w:left w:val="nil"/>
              <w:bottom w:val="single" w:color="auto" w:sz="8" w:space="0"/>
              <w:right w:val="nil"/>
            </w:tcBorders>
            <w:vAlign w:val="center"/>
          </w:tcPr>
          <w:p w14:paraId="684AD48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2023-2025年增速</w:t>
            </w:r>
          </w:p>
        </w:tc>
      </w:tr>
      <w:tr w14:paraId="74C0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7" w:type="dxa"/>
            <w:tcBorders>
              <w:top w:val="single" w:color="auto" w:sz="8" w:space="0"/>
              <w:left w:val="nil"/>
              <w:bottom w:val="nil"/>
              <w:right w:val="nil"/>
            </w:tcBorders>
            <w:vAlign w:val="center"/>
          </w:tcPr>
          <w:p w14:paraId="56251FA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孝义兴安</w:t>
            </w:r>
          </w:p>
        </w:tc>
        <w:tc>
          <w:tcPr>
            <w:tcW w:w="1931" w:type="dxa"/>
            <w:tcBorders>
              <w:top w:val="single" w:color="auto" w:sz="8" w:space="0"/>
              <w:left w:val="nil"/>
              <w:bottom w:val="nil"/>
              <w:right w:val="nil"/>
            </w:tcBorders>
            <w:vAlign w:val="center"/>
          </w:tcPr>
          <w:p w14:paraId="63F6747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75.4</w:t>
            </w:r>
          </w:p>
        </w:tc>
        <w:tc>
          <w:tcPr>
            <w:tcW w:w="1854" w:type="dxa"/>
            <w:tcBorders>
              <w:top w:val="single" w:color="auto" w:sz="8" w:space="0"/>
              <w:left w:val="nil"/>
              <w:bottom w:val="nil"/>
              <w:right w:val="nil"/>
            </w:tcBorders>
            <w:vAlign w:val="center"/>
          </w:tcPr>
          <w:p w14:paraId="6195E73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78.1</w:t>
            </w:r>
          </w:p>
        </w:tc>
        <w:tc>
          <w:tcPr>
            <w:tcW w:w="1877" w:type="dxa"/>
            <w:tcBorders>
              <w:top w:val="single" w:color="auto" w:sz="8" w:space="0"/>
              <w:left w:val="nil"/>
              <w:bottom w:val="nil"/>
              <w:right w:val="nil"/>
            </w:tcBorders>
            <w:vAlign w:val="center"/>
          </w:tcPr>
          <w:p w14:paraId="47E1567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78.5</w:t>
            </w:r>
          </w:p>
        </w:tc>
        <w:tc>
          <w:tcPr>
            <w:tcW w:w="1533" w:type="dxa"/>
            <w:tcBorders>
              <w:top w:val="single" w:color="auto" w:sz="8" w:space="0"/>
              <w:left w:val="nil"/>
              <w:bottom w:val="nil"/>
              <w:right w:val="nil"/>
            </w:tcBorders>
            <w:vAlign w:val="center"/>
          </w:tcPr>
          <w:p w14:paraId="37B81EC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4.1%</w:t>
            </w:r>
          </w:p>
        </w:tc>
      </w:tr>
      <w:tr w14:paraId="6FA44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7" w:type="dxa"/>
            <w:tcBorders>
              <w:top w:val="nil"/>
              <w:left w:val="nil"/>
              <w:bottom w:val="nil"/>
              <w:right w:val="nil"/>
            </w:tcBorders>
            <w:vAlign w:val="center"/>
          </w:tcPr>
          <w:p w14:paraId="507E82E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山西华兴</w:t>
            </w:r>
          </w:p>
        </w:tc>
        <w:tc>
          <w:tcPr>
            <w:tcW w:w="1931" w:type="dxa"/>
            <w:tcBorders>
              <w:top w:val="nil"/>
              <w:left w:val="nil"/>
              <w:bottom w:val="nil"/>
              <w:right w:val="nil"/>
            </w:tcBorders>
            <w:vAlign w:val="center"/>
          </w:tcPr>
          <w:p w14:paraId="17E1670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41.7</w:t>
            </w:r>
          </w:p>
        </w:tc>
        <w:tc>
          <w:tcPr>
            <w:tcW w:w="1854" w:type="dxa"/>
            <w:tcBorders>
              <w:top w:val="nil"/>
              <w:left w:val="nil"/>
              <w:bottom w:val="nil"/>
              <w:right w:val="nil"/>
            </w:tcBorders>
            <w:vAlign w:val="center"/>
          </w:tcPr>
          <w:p w14:paraId="1C82E9C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50.9</w:t>
            </w:r>
          </w:p>
        </w:tc>
        <w:tc>
          <w:tcPr>
            <w:tcW w:w="1877" w:type="dxa"/>
            <w:tcBorders>
              <w:top w:val="nil"/>
              <w:left w:val="nil"/>
              <w:bottom w:val="nil"/>
              <w:right w:val="nil"/>
            </w:tcBorders>
            <w:vAlign w:val="center"/>
          </w:tcPr>
          <w:p w14:paraId="0D8E50C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58.0</w:t>
            </w:r>
          </w:p>
        </w:tc>
        <w:tc>
          <w:tcPr>
            <w:tcW w:w="1533" w:type="dxa"/>
            <w:tcBorders>
              <w:top w:val="nil"/>
              <w:left w:val="nil"/>
              <w:bottom w:val="nil"/>
              <w:right w:val="nil"/>
            </w:tcBorders>
            <w:vAlign w:val="center"/>
          </w:tcPr>
          <w:p w14:paraId="23A42BC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39.1%</w:t>
            </w:r>
          </w:p>
        </w:tc>
      </w:tr>
      <w:tr w14:paraId="44BFD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7" w:type="dxa"/>
            <w:tcBorders>
              <w:top w:val="nil"/>
              <w:left w:val="nil"/>
              <w:bottom w:val="single" w:color="auto" w:sz="12" w:space="0"/>
              <w:right w:val="nil"/>
            </w:tcBorders>
            <w:vAlign w:val="center"/>
          </w:tcPr>
          <w:p w14:paraId="0EC50B4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柳林森泽</w:t>
            </w:r>
          </w:p>
        </w:tc>
        <w:tc>
          <w:tcPr>
            <w:tcW w:w="1931" w:type="dxa"/>
            <w:tcBorders>
              <w:top w:val="nil"/>
              <w:left w:val="nil"/>
              <w:bottom w:val="single" w:color="auto" w:sz="12" w:space="0"/>
              <w:right w:val="nil"/>
            </w:tcBorders>
            <w:vAlign w:val="center"/>
          </w:tcPr>
          <w:p w14:paraId="577B2A9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31.7</w:t>
            </w:r>
          </w:p>
        </w:tc>
        <w:tc>
          <w:tcPr>
            <w:tcW w:w="1854" w:type="dxa"/>
            <w:tcBorders>
              <w:top w:val="nil"/>
              <w:left w:val="nil"/>
              <w:bottom w:val="single" w:color="auto" w:sz="12" w:space="0"/>
              <w:right w:val="nil"/>
            </w:tcBorders>
            <w:vAlign w:val="center"/>
          </w:tcPr>
          <w:p w14:paraId="39A27D2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30.2</w:t>
            </w:r>
          </w:p>
        </w:tc>
        <w:tc>
          <w:tcPr>
            <w:tcW w:w="1877" w:type="dxa"/>
            <w:tcBorders>
              <w:top w:val="nil"/>
              <w:left w:val="nil"/>
              <w:bottom w:val="single" w:color="auto" w:sz="12" w:space="0"/>
              <w:right w:val="nil"/>
            </w:tcBorders>
            <w:vAlign w:val="center"/>
          </w:tcPr>
          <w:p w14:paraId="4F77FA3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30.5</w:t>
            </w:r>
          </w:p>
        </w:tc>
        <w:tc>
          <w:tcPr>
            <w:tcW w:w="1533" w:type="dxa"/>
            <w:tcBorders>
              <w:top w:val="nil"/>
              <w:left w:val="nil"/>
              <w:bottom w:val="single" w:color="auto" w:sz="12" w:space="0"/>
              <w:right w:val="nil"/>
            </w:tcBorders>
            <w:vAlign w:val="center"/>
          </w:tcPr>
          <w:p w14:paraId="3AE9DE9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-3.8%</w:t>
            </w:r>
          </w:p>
        </w:tc>
      </w:tr>
    </w:tbl>
    <w:p w14:paraId="4F92CD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452310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品结构方面，全市产品以4N级粗镓为主，山西华兴自2025年起全部升级为5N级镓，整体处于产业链上游初级环节。生产工艺均采用离子交换法从拜耳液中回收镓，其中山西华兴为酸法工艺，孝义兴安和柳林森泽为碱法工艺，技术成熟稳定，对氧化铝主流程无影响。三家企业累计取得镓提取相关专利21项，具备稳定的粗镓生产技术能力，但研发方向均集中于粗镓提取环节，尚未向高纯提纯、下游材料领域延伸。</w:t>
      </w:r>
    </w:p>
    <w:p w14:paraId="030AE2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35FD9E6C">
      <w:pPr>
        <w:jc w:val="center"/>
        <w:rPr>
          <w:rFonts w:hint="eastAsia" w:ascii="仿宋_GB2312" w:hAnsi="仿宋_GB2312" w:eastAsia="仿宋_GB2312" w:cs="仿宋_GB2312"/>
          <w:sz w:val="28"/>
          <w:szCs w:val="28"/>
        </w:rPr>
      </w:pPr>
    </w:p>
    <w:p w14:paraId="5ADA7253">
      <w:pPr>
        <w:jc w:val="center"/>
        <w:rPr>
          <w:rFonts w:hint="eastAsia" w:ascii="仿宋_GB2312" w:hAnsi="仿宋_GB2312" w:eastAsia="仿宋_GB2312" w:cs="仿宋_GB2312"/>
          <w:sz w:val="28"/>
          <w:szCs w:val="28"/>
        </w:rPr>
      </w:pPr>
    </w:p>
    <w:p w14:paraId="4F3BA2D1">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表2</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吕梁三家镓企业技术与产品属性对比</w:t>
      </w:r>
    </w:p>
    <w:tbl>
      <w:tblPr>
        <w:tblStyle w:val="11"/>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09"/>
        <w:gridCol w:w="2259"/>
        <w:gridCol w:w="2307"/>
        <w:gridCol w:w="2347"/>
      </w:tblGrid>
      <w:tr w14:paraId="3CFC66C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09" w:type="dxa"/>
            <w:tcBorders>
              <w:bottom w:val="single" w:color="auto" w:sz="8" w:space="0"/>
            </w:tcBorders>
            <w:vAlign w:val="center"/>
          </w:tcPr>
          <w:p w14:paraId="3B33B48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对比维度</w:t>
            </w:r>
          </w:p>
        </w:tc>
        <w:tc>
          <w:tcPr>
            <w:tcW w:w="2259" w:type="dxa"/>
            <w:tcBorders>
              <w:bottom w:val="single" w:color="auto" w:sz="8" w:space="0"/>
            </w:tcBorders>
            <w:vAlign w:val="center"/>
          </w:tcPr>
          <w:p w14:paraId="1A272DC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rPr>
            </w:pPr>
            <w:r>
              <w:rPr>
                <w:rFonts w:hint="eastAsia"/>
                <w:sz w:val="24"/>
              </w:rPr>
              <w:t>山西华兴</w:t>
            </w:r>
          </w:p>
        </w:tc>
        <w:tc>
          <w:tcPr>
            <w:tcW w:w="2307" w:type="dxa"/>
            <w:tcBorders>
              <w:bottom w:val="single" w:color="auto" w:sz="8" w:space="0"/>
            </w:tcBorders>
            <w:vAlign w:val="center"/>
          </w:tcPr>
          <w:p w14:paraId="6AD8B9B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rPr>
            </w:pPr>
            <w:r>
              <w:rPr>
                <w:rFonts w:hint="eastAsia"/>
                <w:sz w:val="24"/>
              </w:rPr>
              <w:t>柳林森泽</w:t>
            </w:r>
          </w:p>
        </w:tc>
        <w:tc>
          <w:tcPr>
            <w:tcW w:w="2347" w:type="dxa"/>
            <w:tcBorders>
              <w:bottom w:val="single" w:color="auto" w:sz="8" w:space="0"/>
            </w:tcBorders>
            <w:vAlign w:val="center"/>
          </w:tcPr>
          <w:p w14:paraId="0D1212F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rPr>
            </w:pPr>
            <w:r>
              <w:rPr>
                <w:rFonts w:hint="eastAsia"/>
                <w:sz w:val="24"/>
              </w:rPr>
              <w:t>孝义兴安</w:t>
            </w:r>
          </w:p>
        </w:tc>
      </w:tr>
      <w:tr w14:paraId="5ED6FB6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09" w:type="dxa"/>
            <w:tcBorders>
              <w:top w:val="single" w:color="auto" w:sz="8" w:space="0"/>
              <w:tl2br w:val="nil"/>
              <w:tr2bl w:val="nil"/>
            </w:tcBorders>
            <w:vAlign w:val="center"/>
          </w:tcPr>
          <w:p w14:paraId="35DF9C0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生产工艺</w:t>
            </w:r>
          </w:p>
        </w:tc>
        <w:tc>
          <w:tcPr>
            <w:tcW w:w="2259" w:type="dxa"/>
            <w:tcBorders>
              <w:top w:val="single" w:color="auto" w:sz="8" w:space="0"/>
              <w:tl2br w:val="nil"/>
              <w:tr2bl w:val="nil"/>
            </w:tcBorders>
            <w:vAlign w:val="center"/>
          </w:tcPr>
          <w:p w14:paraId="64B79DA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rPr>
            </w:pPr>
            <w:r>
              <w:rPr>
                <w:rFonts w:hint="eastAsia"/>
                <w:sz w:val="24"/>
              </w:rPr>
              <w:t>离子交换法（酸法）</w:t>
            </w:r>
          </w:p>
        </w:tc>
        <w:tc>
          <w:tcPr>
            <w:tcW w:w="2307" w:type="dxa"/>
            <w:tcBorders>
              <w:top w:val="single" w:color="auto" w:sz="8" w:space="0"/>
              <w:tl2br w:val="nil"/>
              <w:tr2bl w:val="nil"/>
            </w:tcBorders>
            <w:vAlign w:val="center"/>
          </w:tcPr>
          <w:p w14:paraId="4116767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rPr>
            </w:pPr>
            <w:r>
              <w:rPr>
                <w:rFonts w:hint="eastAsia"/>
                <w:sz w:val="24"/>
              </w:rPr>
              <w:t>离子交换法（碱法）</w:t>
            </w:r>
          </w:p>
        </w:tc>
        <w:tc>
          <w:tcPr>
            <w:tcW w:w="2347" w:type="dxa"/>
            <w:tcBorders>
              <w:top w:val="single" w:color="auto" w:sz="8" w:space="0"/>
              <w:tl2br w:val="nil"/>
              <w:tr2bl w:val="nil"/>
            </w:tcBorders>
            <w:vAlign w:val="center"/>
          </w:tcPr>
          <w:p w14:paraId="0EAAEDB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rPr>
            </w:pPr>
            <w:r>
              <w:rPr>
                <w:rFonts w:hint="eastAsia"/>
                <w:sz w:val="24"/>
              </w:rPr>
              <w:t>离子交换法（碱法）</w:t>
            </w:r>
          </w:p>
        </w:tc>
      </w:tr>
      <w:tr w14:paraId="758193E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09" w:type="dxa"/>
            <w:tcBorders>
              <w:tl2br w:val="nil"/>
              <w:tr2bl w:val="nil"/>
            </w:tcBorders>
            <w:vAlign w:val="center"/>
          </w:tcPr>
          <w:p w14:paraId="0C3942D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产品纯度</w:t>
            </w:r>
          </w:p>
        </w:tc>
        <w:tc>
          <w:tcPr>
            <w:tcW w:w="2259" w:type="dxa"/>
            <w:tcBorders>
              <w:tl2br w:val="nil"/>
              <w:tr2bl w:val="nil"/>
            </w:tcBorders>
            <w:vAlign w:val="center"/>
          </w:tcPr>
          <w:p w14:paraId="2C2AA38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rPr>
            </w:pPr>
            <w:r>
              <w:rPr>
                <w:rFonts w:hint="eastAsia"/>
                <w:sz w:val="24"/>
              </w:rPr>
              <w:t>5N级</w:t>
            </w:r>
          </w:p>
        </w:tc>
        <w:tc>
          <w:tcPr>
            <w:tcW w:w="2307" w:type="dxa"/>
            <w:tcBorders>
              <w:tl2br w:val="nil"/>
              <w:tr2bl w:val="nil"/>
            </w:tcBorders>
            <w:vAlign w:val="center"/>
          </w:tcPr>
          <w:p w14:paraId="21A7224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rPr>
            </w:pPr>
            <w:r>
              <w:rPr>
                <w:rFonts w:hint="eastAsia"/>
                <w:sz w:val="24"/>
              </w:rPr>
              <w:t>4N级</w:t>
            </w:r>
          </w:p>
        </w:tc>
        <w:tc>
          <w:tcPr>
            <w:tcW w:w="2347" w:type="dxa"/>
            <w:tcBorders>
              <w:tl2br w:val="nil"/>
              <w:tr2bl w:val="nil"/>
            </w:tcBorders>
            <w:vAlign w:val="center"/>
          </w:tcPr>
          <w:p w14:paraId="63353BE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rPr>
            </w:pPr>
            <w:r>
              <w:rPr>
                <w:rFonts w:hint="eastAsia"/>
                <w:sz w:val="24"/>
              </w:rPr>
              <w:t>4N级</w:t>
            </w:r>
          </w:p>
        </w:tc>
      </w:tr>
      <w:tr w14:paraId="34DD59B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c>
          <w:tcPr>
            <w:tcW w:w="1609" w:type="dxa"/>
            <w:tcBorders>
              <w:tl2br w:val="nil"/>
              <w:tr2bl w:val="nil"/>
            </w:tcBorders>
            <w:vAlign w:val="center"/>
          </w:tcPr>
          <w:p w14:paraId="450B147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专利数量</w:t>
            </w:r>
          </w:p>
        </w:tc>
        <w:tc>
          <w:tcPr>
            <w:tcW w:w="2259" w:type="dxa"/>
            <w:tcBorders>
              <w:tl2br w:val="nil"/>
              <w:tr2bl w:val="nil"/>
            </w:tcBorders>
            <w:vAlign w:val="center"/>
          </w:tcPr>
          <w:p w14:paraId="333723F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rPr>
            </w:pPr>
            <w:r>
              <w:rPr>
                <w:rFonts w:hint="eastAsia"/>
                <w:sz w:val="24"/>
              </w:rPr>
              <w:t>5</w:t>
            </w:r>
          </w:p>
        </w:tc>
        <w:tc>
          <w:tcPr>
            <w:tcW w:w="2307" w:type="dxa"/>
            <w:tcBorders>
              <w:tl2br w:val="nil"/>
              <w:tr2bl w:val="nil"/>
            </w:tcBorders>
            <w:vAlign w:val="center"/>
          </w:tcPr>
          <w:p w14:paraId="1ED7C10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rPr>
            </w:pPr>
            <w:r>
              <w:rPr>
                <w:rFonts w:hint="eastAsia"/>
                <w:sz w:val="24"/>
              </w:rPr>
              <w:t>8</w:t>
            </w:r>
          </w:p>
        </w:tc>
        <w:tc>
          <w:tcPr>
            <w:tcW w:w="2347" w:type="dxa"/>
            <w:tcBorders>
              <w:tl2br w:val="nil"/>
              <w:tr2bl w:val="nil"/>
            </w:tcBorders>
            <w:vAlign w:val="center"/>
          </w:tcPr>
          <w:p w14:paraId="16D0695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rPr>
            </w:pPr>
            <w:r>
              <w:rPr>
                <w:rFonts w:hint="eastAsia"/>
                <w:sz w:val="24"/>
              </w:rPr>
              <w:t>8</w:t>
            </w:r>
          </w:p>
        </w:tc>
      </w:tr>
      <w:tr w14:paraId="277AB93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09" w:type="dxa"/>
            <w:tcBorders>
              <w:tl2br w:val="nil"/>
              <w:tr2bl w:val="nil"/>
            </w:tcBorders>
            <w:vAlign w:val="center"/>
          </w:tcPr>
          <w:p w14:paraId="7785A1C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研发方向</w:t>
            </w:r>
          </w:p>
        </w:tc>
        <w:tc>
          <w:tcPr>
            <w:tcW w:w="2259" w:type="dxa"/>
            <w:tcBorders>
              <w:tl2br w:val="nil"/>
              <w:tr2bl w:val="nil"/>
            </w:tcBorders>
            <w:vAlign w:val="center"/>
          </w:tcPr>
          <w:p w14:paraId="2C7FF9B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rPr>
            </w:pPr>
            <w:r>
              <w:rPr>
                <w:rFonts w:hint="eastAsia"/>
                <w:sz w:val="24"/>
              </w:rPr>
              <w:t>粗镓提取</w:t>
            </w:r>
          </w:p>
        </w:tc>
        <w:tc>
          <w:tcPr>
            <w:tcW w:w="2307" w:type="dxa"/>
            <w:tcBorders>
              <w:tl2br w:val="nil"/>
              <w:tr2bl w:val="nil"/>
            </w:tcBorders>
            <w:vAlign w:val="center"/>
          </w:tcPr>
          <w:p w14:paraId="443ED98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rPr>
            </w:pPr>
            <w:r>
              <w:rPr>
                <w:rFonts w:hint="eastAsia"/>
                <w:sz w:val="24"/>
              </w:rPr>
              <w:t>粗镓提取</w:t>
            </w:r>
          </w:p>
        </w:tc>
        <w:tc>
          <w:tcPr>
            <w:tcW w:w="2347" w:type="dxa"/>
            <w:tcBorders>
              <w:tl2br w:val="nil"/>
              <w:tr2bl w:val="nil"/>
            </w:tcBorders>
            <w:vAlign w:val="center"/>
          </w:tcPr>
          <w:p w14:paraId="4E32EA5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rPr>
            </w:pPr>
            <w:r>
              <w:rPr>
                <w:rFonts w:hint="eastAsia"/>
                <w:sz w:val="24"/>
              </w:rPr>
              <w:t>粗镓提取</w:t>
            </w:r>
          </w:p>
        </w:tc>
      </w:tr>
    </w:tbl>
    <w:p w14:paraId="3ED993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p>
    <w:p w14:paraId="41456B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rPr>
        <w:t>产业布局方面，形成孝义、兴县、柳林三大生产片区，与全市铝土矿资源及氧化铝产业分布高度契合。孝义依托氧化铝产能规模优势，粗镓产量居全市首位；兴县依托中铝集团产业体系，产能增长潜力较大；柳林依托下游半导体企业股东背景，具备向高纯镓延伸的基础条件。销售模式上，山西华兴产品由中铝国贸统购统销，孝义兴安、柳林森泽主要面向外地半导体材料企业供应粗镓原料，均建立了稳定的销售渠道。</w:t>
      </w:r>
    </w:p>
    <w:p w14:paraId="5007DF6E">
      <w:pPr>
        <w:pStyle w:val="4"/>
        <w:pageBreakBefore w:val="0"/>
        <w:widowControl w:val="0"/>
        <w:numPr>
          <w:ilvl w:val="0"/>
          <w:numId w:val="0"/>
        </w:numPr>
        <w:kinsoku/>
        <w:wordWrap/>
        <w:overflowPunct/>
        <w:topLinePunct w:val="0"/>
        <w:autoSpaceDE/>
        <w:autoSpaceDN/>
        <w:bidi w:val="0"/>
        <w:adjustRightInd/>
        <w:snapToGrid/>
        <w:spacing w:before="0" w:after="0" w:line="560" w:lineRule="exact"/>
        <w:ind w:left="0" w:leftChars="0"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四、存在的主要问题</w:t>
      </w:r>
    </w:p>
    <w:p w14:paraId="0B6660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尽管吕梁市镓产业具备良好的资源禀赋和产能基础，但整体仍处于产业链初级环节，高质量发展面临诸多制约，主要体现在以下方面：</w:t>
      </w:r>
    </w:p>
    <w:p w14:paraId="24A92D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产业链层级偏低，延伸能力不足。全市镓产业集中于4N级粗镓提取环节，仅山西华兴可生产5N级镓，6N及以上高纯镓、化合物半导体、单晶衬底等高附加值环节基本空白，形成“原料回收—粗镓产出”的单一短链格局，产业价值大量流失于初级环节，与国内镓产业“高端化、全链条”的发展趋势存在明显差距。</w:t>
      </w:r>
    </w:p>
    <w:p w14:paraId="087BBF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原料端约束趋紧，成本压力加大。受矿产资源开发政策调控影响，本地高品位铝土矿采矿权获取难度加大，企业进口矿依赖度持续提升，孝义兴安进口矿比例已达60%-80%。进口矿石品位低于本地矿、杂质构成复杂，不仅推高原料采购成本，还增加了镓回收的除杂难度与能耗，进一步压缩利润空间。</w:t>
      </w:r>
    </w:p>
    <w:p w14:paraId="02329E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技术创新能力薄弱，高端人才短缺。现有企业技术研发集中于粗镓提取工艺优化，缺乏高纯镓提纯、单晶生长、衬底加工等核心技术储备，研发团队以化工专业为主，半导体材料领域高端人才匮乏。本地尚无镓基材料相关的公共研发平台、检测中心和中试基地，技术创新支撑能力不足。</w:t>
      </w:r>
    </w:p>
    <w:p w14:paraId="582DFB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是产业配套体系不完善，集群效应尚未形成。本地缺乏高纯镓生产所需的精密检测设备、专用树脂辅料、特种气体供应、半导体级废水处理等配套产业，关键物料需从长三角、珠三角远距离采购，增加了产业延伸的时间成本和物流成本。园区专业化承载能力不足，半导体级洁净厂房、标准化仓储等配套设施有待完善，对高端项目的吸引力不强。</w:t>
      </w:r>
    </w:p>
    <w:p w14:paraId="3F2A84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是政策扶持精准度有待提升。目前镓产业依附于铝镁产业链统筹管理，缺乏专项扶持政策和精准招商举措，针对高纯镓、半导体材料等高端环节的要素保障、财税激励、项目引进等政策供给不足，尚未形成推动产业全链条发展的政策合力。</w:t>
      </w:r>
    </w:p>
    <w:p w14:paraId="243987EC">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bookmarkStart w:id="2" w:name="_Toc10895"/>
    </w:p>
    <w:p w14:paraId="09A435D6">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r>
        <w:rPr>
          <w:rFonts w:hint="eastAsia" w:ascii="楷体" w:hAnsi="楷体" w:eastAsia="楷体" w:cs="楷体"/>
          <w:b/>
          <w:sz w:val="32"/>
          <w:szCs w:val="32"/>
          <w:lang w:eastAsia="zh-CN"/>
        </w:rPr>
        <w:t>第二节</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lang w:eastAsia="zh-CN"/>
        </w:rPr>
        <w:t>面临的机遇与挑战</w:t>
      </w:r>
      <w:bookmarkEnd w:id="2"/>
    </w:p>
    <w:p w14:paraId="24B2DB47">
      <w:pPr>
        <w:pStyle w:val="4"/>
        <w:pageBreakBefore w:val="0"/>
        <w:widowControl w:val="0"/>
        <w:numPr>
          <w:ilvl w:val="0"/>
          <w:numId w:val="0"/>
        </w:numPr>
        <w:kinsoku/>
        <w:wordWrap/>
        <w:overflowPunct/>
        <w:topLinePunct w:val="0"/>
        <w:autoSpaceDE/>
        <w:autoSpaceDN/>
        <w:bidi w:val="0"/>
        <w:adjustRightInd/>
        <w:snapToGrid/>
        <w:spacing w:before="0" w:after="0" w:line="560" w:lineRule="exact"/>
        <w:ind w:left="0" w:leftChars="0" w:firstLine="643" w:firstLineChars="200"/>
        <w:jc w:val="both"/>
        <w:textAlignment w:val="auto"/>
        <w:rPr>
          <w:rFonts w:hint="eastAsia" w:ascii="黑体" w:hAnsi="黑体" w:eastAsia="黑体" w:cs="黑体"/>
          <w:lang w:eastAsia="zh-CN"/>
        </w:rPr>
      </w:pPr>
    </w:p>
    <w:p w14:paraId="42DE764E">
      <w:pPr>
        <w:pStyle w:val="4"/>
        <w:pageBreakBefore w:val="0"/>
        <w:widowControl w:val="0"/>
        <w:numPr>
          <w:ilvl w:val="0"/>
          <w:numId w:val="0"/>
        </w:numPr>
        <w:kinsoku/>
        <w:wordWrap/>
        <w:overflowPunct/>
        <w:topLinePunct w:val="0"/>
        <w:autoSpaceDE/>
        <w:autoSpaceDN/>
        <w:bidi w:val="0"/>
        <w:adjustRightInd/>
        <w:snapToGrid/>
        <w:spacing w:before="0" w:after="0" w:line="560" w:lineRule="exact"/>
        <w:ind w:left="0" w:leftChars="0"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一、发展机遇</w:t>
      </w:r>
    </w:p>
    <w:p w14:paraId="4B6D75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战略加持带来政策红利。国家“十五五”规划纲要首次将氧化镓写入国家级五年规划，明确提出“加快宽禁带半导体产业提质升级，推动氧化镓、金刚石等超宽禁带半导体产业化发展”，镓基半导体材料上升为国家战略必争领域。</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十五五”新材料产业发展规划》将稀有金属功能材料、超高纯金属列为重点突破方向，设立国家级新材料专项扶持基金，集成电路大基金三期70%资金投向上游材料与设备，为吕梁镓产业向高端化发展提供了强有力的国家战略支撑和政策保障。</w:t>
      </w:r>
    </w:p>
    <w:p w14:paraId="3578AC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需求扩容提供增长空间。全球新一轮科技革命和产业变革深入推进，AI算力基础设施建设、5G网络规模化部署、新能源汽车800V高压平台普及、高效光伏技术迭代、军工电子升级等多重因素叠加，带动砷化镓、锑化镓、氮化镓、氧化镓等镓基半导体材料需求快速增长。预计“十五五”期间全球高纯镓需求年均增速保持在9%左右，国内增速更高于全球平均水平，市场空间持续扩大，为吕梁镓产业规模化、高端化发展提供了广阔的市场腹地。同时，镓出口管制政策持续收紧，国际供给紧张、价格高位运行，国内镓资源的战略价值和经济价值进一步凸显。</w:t>
      </w:r>
    </w:p>
    <w:p w14:paraId="15327E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战略布局创造历史机遇。山西省将镓列为“十五五”时期新能源金属和半导体材料产业链的核心培育品种，明确提出攻关金属镓提纯关键技术、打造新能源金属和半导体材料产业链的战略目标，配套实施20亿元新一轮找矿行动、绿电园区建设、零碳园区打造等支持举措。吕梁作为全省镓资源最富集、产能最集中的地市，是省级战略落地的核心承载区，有望在项目布局、资金支持、政策试点等方面获得省级层面重点倾斜，为产业跨越式发展创造了难得的历史机遇。</w:t>
      </w:r>
    </w:p>
    <w:p w14:paraId="424A71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资源禀赋优势奠定转化基础。吕梁拥有全省最大的铝土矿储量和粗镓产能，伴生镓品位高于全国平均水平，资源保障能力强、原料成本优势明显。</w:t>
      </w:r>
    </w:p>
    <w:p w14:paraId="6D775BBD">
      <w:pPr>
        <w:pStyle w:val="4"/>
        <w:pageBreakBefore w:val="0"/>
        <w:widowControl w:val="0"/>
        <w:numPr>
          <w:ilvl w:val="0"/>
          <w:numId w:val="0"/>
        </w:numPr>
        <w:kinsoku/>
        <w:wordWrap/>
        <w:overflowPunct/>
        <w:topLinePunct w:val="0"/>
        <w:autoSpaceDE/>
        <w:autoSpaceDN/>
        <w:bidi w:val="0"/>
        <w:adjustRightInd/>
        <w:snapToGrid/>
        <w:spacing w:before="0" w:after="0" w:line="560" w:lineRule="exact"/>
        <w:ind w:left="0" w:leftChars="0"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二、面临挑战</w:t>
      </w:r>
    </w:p>
    <w:p w14:paraId="32897B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rPr>
        <w:t>产业链高端化竞争日趋激烈。国内广西、河南、贵州等镓主产区均在“十五五”期间加快布局高纯镓及半导体材料产业，广西已明确提出打造“中国镓都”的目标，出台专项规划和扶持政策，产业赛道竞争加剧。长三角、珠三角地区依托半导体产业集群优势和人才技术优势，在高纯镓、化合物半导体、衬底加工等高端环节已形成先发优势，吕梁作为后发地区，面临技术、人才、市场等多重竞争压力。</w:t>
      </w:r>
    </w:p>
    <w:p w14:paraId="2B5582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rPr>
        <w:t>技术突破与人才引育难度较大。高纯镓提纯、单晶生长、衬底加工等环节技术门槛高、工艺复杂，吕梁现有企业缺乏相关技术积累，自主突破难度较大。镓基半导体材料领域的高端研发人才、工程技术人才主要集中于一线城市和科研院所，吕梁受区位条件、产业层级、公共服务配套等因素制约，引进和留住高端人才面临较大困难，人才短板将是制约产业向高端延伸的重要瓶颈。</w:t>
      </w:r>
    </w:p>
    <w:p w14:paraId="236BEC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rPr>
        <w:t>要素保障与配套能力存在短板。镓基半导体材料产业对供电可靠性、水质纯度、洁净厂房、环保处理等要素条件要求较高，吕梁现有园区基础设施和配套服务与半导体产业发展要求尚有差距。电力、土地、能耗等要素指标的精准供给能力有待提升，上下游配套产业缺失，产业生态尚未形成，增加了项目落地和企业运营成本。</w:t>
      </w:r>
    </w:p>
    <w:p w14:paraId="28B5FE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rPr>
        <w:t>政策协同与体制机制有待完善。镓产业横跨有色金属、新材料、半导体等多个领域，目前缺乏统筹协调的工作推进机制，部门之间政策协同不足。针对镓产业的专项规划、扶持政策、招商体系尚未建立，资源开发、产业延伸、科技创新、要素保障等方面的政策合力有待加强，适应战略性新兴产业发展的体制机制环境需要进一步优化。</w:t>
      </w:r>
    </w:p>
    <w:p w14:paraId="19E56CB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eastAsia="zh-CN"/>
        </w:rPr>
      </w:pPr>
      <w:bookmarkStart w:id="3" w:name="_Toc32344"/>
    </w:p>
    <w:p w14:paraId="73DDCCD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第二章</w:t>
      </w:r>
      <w:r>
        <w:rPr>
          <w:rFonts w:hint="eastAsia" w:ascii="方正小标宋简体" w:hAnsi="方正小标宋简体" w:eastAsia="方正小标宋简体" w:cs="方正小标宋简体"/>
          <w:b w:val="0"/>
          <w:bCs/>
          <w:sz w:val="44"/>
          <w:szCs w:val="44"/>
          <w:lang w:val="en-US" w:eastAsia="zh-CN"/>
        </w:rPr>
        <w:t xml:space="preserve"> </w:t>
      </w:r>
      <w:r>
        <w:rPr>
          <w:rFonts w:hint="eastAsia" w:ascii="方正小标宋简体" w:hAnsi="方正小标宋简体" w:eastAsia="方正小标宋简体" w:cs="方正小标宋简体"/>
          <w:b w:val="0"/>
          <w:bCs/>
          <w:sz w:val="44"/>
          <w:szCs w:val="44"/>
          <w:lang w:eastAsia="zh-CN"/>
        </w:rPr>
        <w:t>总体要求</w:t>
      </w:r>
      <w:bookmarkEnd w:id="3"/>
    </w:p>
    <w:p w14:paraId="2A4F180A">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bookmarkStart w:id="4" w:name="_Toc30787"/>
    </w:p>
    <w:p w14:paraId="6F62C644">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r>
        <w:rPr>
          <w:rFonts w:hint="eastAsia" w:ascii="楷体" w:hAnsi="楷体" w:eastAsia="楷体" w:cs="楷体"/>
          <w:b/>
          <w:sz w:val="32"/>
          <w:szCs w:val="32"/>
          <w:lang w:eastAsia="zh-CN"/>
        </w:rPr>
        <w:t>第一节</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lang w:eastAsia="zh-CN"/>
        </w:rPr>
        <w:t>指导思想</w:t>
      </w:r>
      <w:bookmarkEnd w:id="4"/>
    </w:p>
    <w:p w14:paraId="5B6B9D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 w:val="32"/>
          <w:szCs w:val="32"/>
        </w:rPr>
      </w:pPr>
    </w:p>
    <w:p w14:paraId="6D8FCC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rPr>
        <w:t>以习近平新时代中国特色社会主义思想为指导，全面贯彻党的二十大及二十届四中全会精神，深入贯彻习近平总书记考察山西重要讲话重要指示精神，认真落实省委、省政府关于打造全国重要新材料产业基地的部署要求，立足吕梁资源型经济转型发展定位，完整、准确、全面贯彻新发展理念，以发展新质生产力为方向，以推动高质量发展为主题，以深化供给侧结构性改革为主线，以科技创新为根本动力，充分发挥铝土矿伴生镓资源禀赋优势，把延伸产业链、提升价值链作为主攻方向和核心抓手，着力突破高纯镓提纯、单晶生长、衬底加工等关键核心技术，增强自主可控能力，实施一批重大工程和重点项目，打造特色鲜明的镓基材料产业集群，全面推进镓基材料产业基础高级化、产业链现代化，将吕梁建设成为全国重要的超高纯镓生产基地和具有区域影响力的镓基半导体材料产业高地，为吕梁资源型经济转型和全省新材料产业高质量发展提供有力支撑。</w:t>
      </w:r>
    </w:p>
    <w:p w14:paraId="4A330700">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bookmarkStart w:id="5" w:name="_Toc7067"/>
    </w:p>
    <w:p w14:paraId="1BAD7178">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r>
        <w:rPr>
          <w:rFonts w:hint="eastAsia" w:ascii="楷体" w:hAnsi="楷体" w:eastAsia="楷体" w:cs="楷体"/>
          <w:b/>
          <w:sz w:val="32"/>
          <w:szCs w:val="32"/>
          <w:lang w:eastAsia="zh-CN"/>
        </w:rPr>
        <w:t>第二节</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lang w:eastAsia="zh-CN"/>
        </w:rPr>
        <w:t>基本原则</w:t>
      </w:r>
      <w:bookmarkEnd w:id="5"/>
    </w:p>
    <w:p w14:paraId="56D59D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06A903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创新驱动、高端引领。把科技创新作为产业发展的核心驱动力，统筹推进技术创新、产品创新和模式创新，聚焦产业链关键环节强化技术攻关，加快突破高纯镓提纯、单晶生长、衬底加工等“卡脖子”技术，推动产业向高端化、智能化、绿色化发展，抢占产业发展制高点。强化企业创新主体地位，构建产学研用深度融合的技术创新体系，提升产业核心竞争力。</w:t>
      </w:r>
    </w:p>
    <w:p w14:paraId="74F856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坚持统筹布局、集群发展。立足全市资源禀赋和产业基础，优化产业空间布局，推动产业向</w:t>
      </w:r>
      <w:r>
        <w:rPr>
          <w:rFonts w:hint="eastAsia" w:ascii="仿宋_GB2312" w:hAnsi="仿宋_GB2312" w:eastAsia="仿宋_GB2312" w:cs="仿宋_GB2312"/>
          <w:color w:val="000000" w:themeColor="text1"/>
          <w:sz w:val="32"/>
          <w:szCs w:val="32"/>
          <w14:textFill>
            <w14:solidFill>
              <w14:schemeClr w14:val="tx1"/>
            </w14:solidFill>
          </w14:textFill>
        </w:rPr>
        <w:t>园区</w:t>
      </w:r>
      <w:r>
        <w:rPr>
          <w:rFonts w:hint="eastAsia" w:ascii="仿宋_GB2312" w:hAnsi="仿宋_GB2312" w:eastAsia="仿宋_GB2312" w:cs="仿宋_GB2312"/>
          <w:sz w:val="32"/>
          <w:szCs w:val="32"/>
        </w:rPr>
        <w:t>集聚，构建分工协作、优势互补的产业发展格局。发挥龙头企业带动作用，培育一批“专精特新”企业，完善上下游配套体系，延伸产业链条，推动形成“产业+配套、平台+生态、技术+赋能”的集群发展新模式，打造具有核心竞争力的特色产业集群。</w:t>
      </w:r>
    </w:p>
    <w:p w14:paraId="459CEA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政府引导、市场主导。强化规划引领和政策引导，发挥政府在战略规划、政策扶持、要素保障、环境营造等方面的作用，完善产业发展体制机制。充分发挥市场在资源配置中的决定性作用，突出企业市场主体地位，激发企业内生动力和创新活力，调动各类市场主体积极性，形成政府引导与市场主导协同发力的良好格局。</w:t>
      </w:r>
    </w:p>
    <w:p w14:paraId="6CFE58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绿色低碳、安全发展。牢固树立绿水青山就是金山银山理念，严格落实能耗“双控”和碳排放控制要求，推动清洁生产和节能降耗，发展循环经济，提高资源综合利用水平，构建绿色低碳产业体系。统筹发展和安全，强化产业链供应链安全保障，加强安全生产管理，推动产业发展与生态环境保护协调统一。</w:t>
      </w:r>
    </w:p>
    <w:p w14:paraId="30C504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坚持开放合作、协同共赢。实行更加积极主动的开放战略，用好全球产业资源、技术资源和市场资源，主动承接国内外产业转移，</w:t>
      </w:r>
      <w:bookmarkStart w:id="6" w:name="OLE_LINK12"/>
      <w:r>
        <w:rPr>
          <w:rFonts w:hint="eastAsia" w:ascii="仿宋_GB2312" w:hAnsi="仿宋_GB2312" w:eastAsia="仿宋_GB2312" w:cs="仿宋_GB2312"/>
          <w:sz w:val="32"/>
          <w:szCs w:val="32"/>
        </w:rPr>
        <w:t>加强与省内外企业、科研院所的合作交流</w:t>
      </w:r>
      <w:bookmarkEnd w:id="6"/>
      <w:r>
        <w:rPr>
          <w:rFonts w:hint="eastAsia" w:ascii="仿宋_GB2312" w:hAnsi="仿宋_GB2312" w:eastAsia="仿宋_GB2312" w:cs="仿宋_GB2312"/>
          <w:sz w:val="32"/>
          <w:szCs w:val="32"/>
        </w:rPr>
        <w:t>，积极融入国内国际双循环。深化区域协同发展，构建分工错位、融合配套、优势互补的产业发展空间布局，提升产业协同发展水平和能力。</w:t>
      </w:r>
    </w:p>
    <w:p w14:paraId="12B1A83C">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bookmarkStart w:id="7" w:name="_Toc27513"/>
    </w:p>
    <w:p w14:paraId="16D8135E">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r>
        <w:rPr>
          <w:rFonts w:hint="eastAsia" w:ascii="楷体" w:hAnsi="楷体" w:eastAsia="楷体" w:cs="楷体"/>
          <w:b/>
          <w:sz w:val="32"/>
          <w:szCs w:val="32"/>
          <w:lang w:eastAsia="zh-CN"/>
        </w:rPr>
        <w:t>第三节</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lang w:eastAsia="zh-CN"/>
        </w:rPr>
        <w:t>发展目标</w:t>
      </w:r>
      <w:bookmarkEnd w:id="7"/>
    </w:p>
    <w:p w14:paraId="27251372">
      <w:pPr>
        <w:pStyle w:val="5"/>
        <w:keepNext/>
        <w:keepLines/>
        <w:pageBreakBefore w:val="0"/>
        <w:widowControl w:val="0"/>
        <w:numPr>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p>
    <w:p w14:paraId="715B03A5">
      <w:pPr>
        <w:pStyle w:val="5"/>
        <w:keepNext/>
        <w:keepLines/>
        <w:pageBreakBefore w:val="0"/>
        <w:widowControl w:val="0"/>
        <w:numPr>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rPr>
      </w:pPr>
      <w:r>
        <w:rPr>
          <w:rFonts w:hint="eastAsia" w:ascii="黑体" w:hAnsi="黑体" w:eastAsia="黑体" w:cs="黑体"/>
          <w:lang w:eastAsia="zh-CN"/>
        </w:rPr>
        <w:t>一、</w:t>
      </w:r>
      <w:r>
        <w:rPr>
          <w:rFonts w:hint="eastAsia" w:ascii="黑体" w:hAnsi="黑体" w:eastAsia="黑体" w:cs="黑体"/>
        </w:rPr>
        <w:t>总体目标</w:t>
      </w:r>
    </w:p>
    <w:p w14:paraId="17A820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力争到 2030 年，全面建成“粗镓提取 — 高纯镓制备 — 镓基化合物前驱体合成 — 单晶生长 — 衬底加工”全产业链体系，实现从资源优势向产业优势、初级原料向高端材料、单点企业向产业集群的三大战略性转变。超高纯镓产能规模稳居全国前列，镓基单晶衬底实现从无到有突破，创新能力显著提升，产业集群效应凸显，绿色发展水平持续提高，将吕梁打造成为全国重要的超高纯镓生产基地和具有区域影响力的镓基半导体材料产业高地。</w:t>
      </w:r>
    </w:p>
    <w:p w14:paraId="18D3F125">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二、具体目标</w:t>
      </w:r>
    </w:p>
    <w:p w14:paraId="638C7BA0">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业规模稳步扩大。粗镓“应提尽提”能力全面提升，全市氧化铝企业提镓配套率达到100%，粗镓年产能稳定在200吨以上。超高纯镓（7N级）年产能达到120吨以上，建成全国规模最大的超高纯镓生产基地。镓基化合物前驱体年产能达到50吨，镓基衬底年产能达到15万片以上，填补省内产业空白。全市镓基材料产业总产值突破50亿元，培育规上镓基材料企业7家以上，其中高新技术企业3家以上、省级</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专精特新</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企业2家以上。</w:t>
      </w:r>
    </w:p>
    <w:p w14:paraId="61AAAC2F">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创新能力显著增强。骨干企业研发投入占营业收入比重达到3%以上，累计授权发明专利10项以上。突破高纯镓提纯、化合物合成、单晶生长、衬底加工等一批关键核心技术，主要产品技术指标达到国内先进水平，形成较为完善的产业创新体系。</w:t>
      </w:r>
    </w:p>
    <w:p w14:paraId="342E1C54">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业链条持续延伸。实现从粗镓提取向超高纯镓、化合物前驱体、单晶、衬底全链条延伸，高纯镓本地转化率达到60%以上。赤泥提镓及伴生钪、锂等稀有金属综合回收取得产业化突破，资源综合利用水平显著提升。关键配套材料本地化供应能力明显增强，形成上下游衔接、大中小企业融通发展的产业生态。</w:t>
      </w:r>
    </w:p>
    <w:p w14:paraId="2ADB191B">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集聚效应逐步显现。形成以孝义经济开发区铝系新材料产业园为核心，吕梁经开区、兴县经开区、柳林铝循环工业园、交口经开区协同发展的“一核多点”空间布局。孝义核心园区镓基材料相关产值占全市比重达到50%以上，培育打造省级特色产业集群，产业集聚集约发展水平明显提高。</w:t>
      </w:r>
    </w:p>
    <w:p w14:paraId="472EA12F">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绿色发展水平提升。骨干企业单位产品能耗较2025年下降10%以上，清洁生产水平显著提高。赤泥等固废资源化利用率稳步提升，主要污染物排放持续下降。绿色制造体系基本建立，产业发展与生态环境保护更加协调。</w:t>
      </w:r>
    </w:p>
    <w:p w14:paraId="4A4F067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lang w:eastAsia="zh-CN"/>
        </w:rPr>
      </w:pPr>
      <w:bookmarkStart w:id="8" w:name="_Toc18084"/>
    </w:p>
    <w:p w14:paraId="561C137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第三章</w:t>
      </w:r>
      <w:r>
        <w:rPr>
          <w:rFonts w:hint="eastAsia" w:ascii="方正小标宋简体" w:hAnsi="方正小标宋简体" w:eastAsia="方正小标宋简体" w:cs="方正小标宋简体"/>
          <w:b w:val="0"/>
          <w:bCs/>
          <w:sz w:val="44"/>
          <w:szCs w:val="44"/>
          <w:lang w:val="en-US" w:eastAsia="zh-CN"/>
        </w:rPr>
        <w:t xml:space="preserve"> </w:t>
      </w:r>
      <w:r>
        <w:rPr>
          <w:rFonts w:hint="eastAsia" w:ascii="方正小标宋简体" w:hAnsi="方正小标宋简体" w:eastAsia="方正小标宋简体" w:cs="方正小标宋简体"/>
          <w:b w:val="0"/>
          <w:bCs/>
          <w:sz w:val="44"/>
          <w:szCs w:val="44"/>
          <w:lang w:eastAsia="zh-CN"/>
        </w:rPr>
        <w:t>发展重点</w:t>
      </w:r>
      <w:bookmarkEnd w:id="8"/>
    </w:p>
    <w:p w14:paraId="2D6878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 w:val="32"/>
          <w:szCs w:val="32"/>
        </w:rPr>
      </w:pPr>
    </w:p>
    <w:p w14:paraId="57B12C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rPr>
        <w:t>立足吕梁资源禀赋和产业基础，围绕镓基材料全产业链发展，以粗镓高效利用为基础，以超高纯镓为核心，以功能合金和半导体材料为两大延伸方向，构建“一基两翼、梯次推进”的产业发展格局。优先发展技术门槛较低、可快速落地的镓基功能合金，实现粗镓就地增值；重点突破超高纯镓及下游化合物半导体材料，推动产业向价值链高端跃升，形成粗镓提取—高纯制备—合金材料—化合物前驱体—单晶衬底协同发展的完整产业体系。</w:t>
      </w:r>
    </w:p>
    <w:p w14:paraId="69C57FDC">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bookmarkStart w:id="9" w:name="_Toc11137"/>
    </w:p>
    <w:p w14:paraId="080C3BD0">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r>
        <w:rPr>
          <w:rFonts w:hint="eastAsia" w:ascii="楷体" w:hAnsi="楷体" w:eastAsia="楷体" w:cs="楷体"/>
          <w:b/>
          <w:sz w:val="32"/>
          <w:szCs w:val="32"/>
          <w:lang w:eastAsia="zh-CN"/>
        </w:rPr>
        <w:t>第一节</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lang w:eastAsia="zh-CN"/>
        </w:rPr>
        <w:t>粗镓提取与伴生资源综合利用</w:t>
      </w:r>
      <w:bookmarkEnd w:id="9"/>
    </w:p>
    <w:p w14:paraId="00051B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 w:val="32"/>
          <w:szCs w:val="32"/>
        </w:rPr>
      </w:pPr>
    </w:p>
    <w:p w14:paraId="64547D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rPr>
        <w:t>以提升资源综合利用效率为核心，推动氧化铝企业提镓设施全覆盖，推广先进提镓工艺，拓展赤泥提镓及多金属协同回收，构建“应提尽提”的资源高效利用体系，夯实全产业链发展的原料基础。</w:t>
      </w:r>
    </w:p>
    <w:p w14:paraId="5B07DBDC">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一、粗镓“应提尽提”能力提升</w:t>
      </w:r>
    </w:p>
    <w:p w14:paraId="3410F2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动全市氧化铝生产企业全面配套建设镓回收生产线，实现提镓设施全覆盖。支持现有企业实施提镓工艺升级改造，优化离子交换法吸附效率，提高镓回收率和产品品质。鼓励新建、改扩建氧化铝项目同步规划建设提镓装置，做到同步设计、同步建设、同步投产。力争到2030年，全市氧化铝企业提镓配套率达到 100%，粗镓年产能稳定在200吨以上。</w:t>
      </w:r>
    </w:p>
    <w:p w14:paraId="1A30D118">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二、赤泥提镓及稀有金属协同回收</w:t>
      </w:r>
    </w:p>
    <w:p w14:paraId="24EF84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rPr>
        <w:t>依托吕梁氧化铝产业赤泥存量大、伴生元素丰富的特点，开展赤泥提镓及钪、锂、钛等稀有金属协同回收技术攻关与产业化示范。支持企业与科研院所合作，研发高效浸出、选择性分离、低成本富集等关键技术，建设赤泥综合回收中试线和产业化示范项目。推动形成“氧化铝—提镓—赤泥多金属回收”的资源梯级利用模式，进一步提高资源综合利用水平，降低单位产品综合能耗和固废排放。</w:t>
      </w:r>
    </w:p>
    <w:p w14:paraId="40278139">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三、氧化铝母液提镓工艺优化</w:t>
      </w:r>
    </w:p>
    <w:p w14:paraId="39130E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rPr>
        <w:t>针对酸法、碱法两种主流工艺路线，开展工艺优化与装备升级。推广高效螯合树脂、连续离子交换等先进技术，提高镓离子吸附选择性和解析效率。优化蒸发浓缩、冷冻过滤、电解精制等关键工序参数，降低树脂、酸碱、蒸汽等物料消耗，提升产品纯度稳定性。推动提镓生产线智能化改造，引入在线监测、自动控制等技术，提高生产效率和产品一致性。</w:t>
      </w:r>
    </w:p>
    <w:p w14:paraId="290CDB91">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bookmarkStart w:id="10" w:name="_Toc21952"/>
    </w:p>
    <w:p w14:paraId="26C4F58D">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r>
        <w:rPr>
          <w:rFonts w:hint="eastAsia" w:ascii="楷体" w:hAnsi="楷体" w:eastAsia="楷体" w:cs="楷体"/>
          <w:b/>
          <w:sz w:val="32"/>
          <w:szCs w:val="32"/>
          <w:lang w:eastAsia="zh-CN"/>
        </w:rPr>
        <w:t>第二节</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lang w:eastAsia="zh-CN"/>
        </w:rPr>
        <w:t>镓基功能合金材料</w:t>
      </w:r>
      <w:bookmarkEnd w:id="10"/>
    </w:p>
    <w:p w14:paraId="7F2B6E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63D8C5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托现有4N级粗镓产能，以“就地增值、快速见效”为导向，重点发展低熔点合金、电子焊料合金、稀土磁性合金、光伏储能合金四大类产品，打造粗镓深加工首站产业，推动初级原料向功能材料升级，快速提升产业附加值和规模效益。</w:t>
      </w:r>
    </w:p>
    <w:p w14:paraId="7E09900F">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一、低熔点镓基合金</w:t>
      </w:r>
    </w:p>
    <w:p w14:paraId="1D9F86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重点发展镓铟锡、镓铟锡锌等低熔点合金系列产品，面向 5G 基站、数据中心、新能源汽车等领域的高端散热需求，开发导热界面材料、均热板、液态金属散热模组等应用产品。面向消费电子、智能穿戴设备等领域，开发液态金属导热膏、导热片等产品。支持企业与下游应用企业合作，开展低熔点合金成分优化、性能调控及可靠性测试，建立产品标准体系，打造北方重要的低熔点镓基合金生产基地。</w:t>
      </w:r>
    </w:p>
    <w:p w14:paraId="1FD855B4">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二、电子封装与焊料合金</w:t>
      </w:r>
    </w:p>
    <w:p w14:paraId="28B869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电子信息产业封装需求，发展镓基低温焊料合金，重点开发镓锡、镓铟、金镓等系列焊料产品。面向半导体封装、光电子器件、微波组件等高端应用，开发高纯度、高精度焊料丝、焊料片、焊料球等产品。推动焊料合金产品向高纯化、微细化、定制化方向升级，逐步替代进口产品。支持企业对接长三角、珠三角等地电子信息产业集群，拓展下游应用市场。</w:t>
      </w:r>
    </w:p>
    <w:p w14:paraId="7627AC73">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三、稀土磁性合金</w:t>
      </w:r>
    </w:p>
    <w:p w14:paraId="42BDF3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挥吕梁及周边稀土资源优势，发展钆镓、铽镓等稀土镓基磁性合金。重点开发钆镓石榴石（GGG）单晶原料、磁光玻璃用镓基合金等产品，面向磁光器件、磁存储、微波通信等应用领域。探索发展镓基磁致冷材料，面向室温磁制冷、低温制冷等新兴应用场景。支持企业与稀土深加工企业、磁性材料企业开展产业链合作，共建研发与生产平台。</w:t>
      </w:r>
    </w:p>
    <w:p w14:paraId="1E7EA4BA">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四、光伏与储能用镓基合金</w:t>
      </w:r>
    </w:p>
    <w:p w14:paraId="7C65C6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面向铜铟镓硒（CIGS）薄膜太阳能电池产业，开发 5N-6N 级高纯镓及铜铟镓合金前驱体材料，配套 CIGS 薄膜电池产业发展。围绕液态金属储能电池、相变储能材料等新型储能技术，开发低成本镓基液态合金、相变储能合金产品。跟踪第三代光伏、长时储能等前沿技术发展趋势，提前布局相关镓基合金材料研发，抢占未来市场先机。</w:t>
      </w:r>
    </w:p>
    <w:p w14:paraId="0D0EA262">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bookmarkStart w:id="11" w:name="_Toc22707"/>
    </w:p>
    <w:p w14:paraId="47B2C0B7">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r>
        <w:rPr>
          <w:rFonts w:hint="eastAsia" w:ascii="楷体" w:hAnsi="楷体" w:eastAsia="楷体" w:cs="楷体"/>
          <w:b/>
          <w:sz w:val="32"/>
          <w:szCs w:val="32"/>
          <w:lang w:eastAsia="zh-CN"/>
        </w:rPr>
        <w:t>第三节</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lang w:eastAsia="zh-CN"/>
        </w:rPr>
        <w:t>超高纯镓规模化制备</w:t>
      </w:r>
      <w:bookmarkEnd w:id="11"/>
    </w:p>
    <w:p w14:paraId="2FBAE4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12855D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以满足半导体产业需求为目标，依托本地粗镓资源优势，突破7N级超高纯镓规模化制备关键技术，建设国内领先的超高纯镓生产基地，完善质量标准与检测体系，为下游化合物半导体材料产业提供核心原料支撑。</w:t>
      </w:r>
    </w:p>
    <w:p w14:paraId="039E4DA6">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一、7N级超高纯镓量产技术</w:t>
      </w:r>
    </w:p>
    <w:p w14:paraId="3FE428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快推动超高纯镓量产项目建设，实现年产200吨7N级超高纯镓规模化生产。优化“预处理—电解精炼—区域熔炼”复合提纯工艺路线，提升真空蒸馏、酸洗预处理效率，优化碱性电解精炼工艺参数，强化区域熔炼深度提纯效果。重点降低铜、铁、锌、铅、锡等关键杂质含量，确保7N级产品单杂质含量控制在5ppb（十亿分之5）以下，总纯度稳定达到99.99999%以上，满足化合物半导体、MO 源等高端领域原料要求。</w:t>
      </w:r>
    </w:p>
    <w:p w14:paraId="41A93E73">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二、高纯镓质量标准与检测体系</w:t>
      </w:r>
    </w:p>
    <w:p w14:paraId="58C7BE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照SEMI国际标准和国家标准，建立覆盖5N、6N、7N不同等级的超高纯镓产品企业标准和团体标准，明确杂质含量限值、检测方法、包装运输等技术要求。建设市级高纯材料检测中心，配置辉光放电质谱仪（GDMS）、电感耦合等离子体质谱仪（ICP-MS）等高端检测设备，开展超高纯镓及相关材料的第三方检测服务。推动企业建立完善的质量管理体系，通过ISO9001、ISO14001等认证，提升产品市场认可度。</w:t>
      </w:r>
    </w:p>
    <w:p w14:paraId="43600FA6">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三、电子级专用超高纯镓产品</w:t>
      </w:r>
    </w:p>
    <w:p w14:paraId="67ADBA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向不同下游应用需求，开发系列化电子级超高纯镓产品。针对MO源合成需求，开发有机合成专用超高纯镓，严格控制氧、碳等非金属杂质含量。针对单晶生长需求，开发单晶专用超高纯镓，优化杂质谱分布，适配不同晶体生长工艺。针对化合物半导体外延需求，开发外延专用高纯镓产品。推动产品分级分类、定制化供应，满足下游不同场景的差异化需求，提高产品附加值和市场竞争力。</w:t>
      </w:r>
    </w:p>
    <w:p w14:paraId="37AA6CEA">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bookmarkStart w:id="12" w:name="_Toc26170"/>
    </w:p>
    <w:p w14:paraId="534EA9DF">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r>
        <w:rPr>
          <w:rFonts w:hint="eastAsia" w:ascii="楷体" w:hAnsi="楷体" w:eastAsia="楷体" w:cs="楷体"/>
          <w:b/>
          <w:sz w:val="32"/>
          <w:szCs w:val="32"/>
          <w:lang w:eastAsia="zh-CN"/>
        </w:rPr>
        <w:t>第四节</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lang w:eastAsia="zh-CN"/>
        </w:rPr>
        <w:t>镓基化合物前驱体材料</w:t>
      </w:r>
      <w:bookmarkEnd w:id="12"/>
    </w:p>
    <w:p w14:paraId="47DE76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4FB14F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以超高纯镓为原料，向下游延伸发展镓基化合物前驱体材料，重点布局金属有机源（MO源）、氧化镓多晶、化合物多晶料三大类产品，为镓基单晶生长和外延制备提供核心原料，补齐产业链中游关键环节。</w:t>
      </w:r>
    </w:p>
    <w:p w14:paraId="2FE8721E">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一、金属有机源（MO源）</w:t>
      </w:r>
    </w:p>
    <w:p w14:paraId="7439CD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发展三甲基镓（TMGa）、三乙基镓（TEGa）等镓系MO源产品，配套MOCVD外延生长需求。围绕砷化镓、氮化镓等化合物半导体外延工艺需求，开发电子级高纯MO源产品，金属有机纯度达到6N以上，杂质含量严格受控。同步布局三甲基铟、三甲基铝等相关MO源产品，打造系列化MO源供应能力，建设北方重要的MO源生产基地。</w:t>
      </w:r>
    </w:p>
    <w:p w14:paraId="1E0F1D4A">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二、氧化镓多晶原料</w:t>
      </w:r>
    </w:p>
    <w:p w14:paraId="315747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向氧化镓单晶生长需求，开发4N-6N级高纯氧化镓多晶原料。采用高纯镓直接氧化、溶胶—凝胶、水热合成等工艺路线，生产不同晶型、不同粒度的氧化镓粉体和烧结体。针对导模法、垂直布里奇曼法等不同单晶生长工艺，定制化供应高纯氧化镓多晶料。推动氧化镓原料纯度、晶型、粒度等关键指标达到国际先进水平，支撑本地氧化镓单晶产业发展。</w:t>
      </w:r>
    </w:p>
    <w:p w14:paraId="0143CE8D">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三、砷化镓、氮化镓多晶料</w:t>
      </w:r>
    </w:p>
    <w:p w14:paraId="39C99B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展砷化镓多晶、氮化镓多晶等化合物半导体多晶原料，采用高纯镓与高纯砷、高纯氨直接合成工艺，生产6N级以上高纯多晶锭。针对水平布里奇曼法、液封直拉法等单晶生长需求，优化多晶料纯度、组分均匀性等性能指标。</w:t>
      </w:r>
    </w:p>
    <w:p w14:paraId="79564A7C">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bookmarkStart w:id="13" w:name="_Toc26677"/>
    </w:p>
    <w:p w14:paraId="154DA4A0">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r>
        <w:rPr>
          <w:rFonts w:hint="eastAsia" w:ascii="楷体" w:hAnsi="楷体" w:eastAsia="楷体" w:cs="楷体"/>
          <w:b/>
          <w:sz w:val="32"/>
          <w:szCs w:val="32"/>
          <w:lang w:eastAsia="zh-CN"/>
        </w:rPr>
        <w:t>第五节</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lang w:eastAsia="zh-CN"/>
        </w:rPr>
        <w:t>镓基单晶与衬底材料</w:t>
      </w:r>
      <w:bookmarkEnd w:id="13"/>
    </w:p>
    <w:p w14:paraId="154732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56AA3A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聚焦氧化镓、砷化镓、氮化镓、锑化镓四大品类，以单晶生长技术突破为核心，向下游延伸发展衬底加工，推动半导体级衬底国产化替代，打造吕梁镓基材料产业的核心竞争力和标志性产品，实现从原料基地向高端半导体材料基地的跃升。</w:t>
      </w:r>
    </w:p>
    <w:p w14:paraId="5686209D">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一、氧化镓单晶与衬底</w:t>
      </w:r>
    </w:p>
    <w:p w14:paraId="1B90CD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将氧化镓作为优先突破方向，重点发展β相氧化镓单晶与衬底材料。采用导模法（EFG）、垂直布里奇曼法（VB）等量产工艺，实现2-6英寸氧化镓单晶规模化生长。配套建设衬底加工生产线，开展定向切割、研磨、化学机械抛光（CMP）、清洗检测等工序，生产半导体级抛光片，表面粗糙度达到Ra&lt;0.1nm原子级平整标准。面向功率器件、紫外探测器等应用领域开发系列化衬底产品，力争产品性能达到国内先进水平，打造全国重要的氧化镓衬底生产基地。</w:t>
      </w:r>
    </w:p>
    <w:p w14:paraId="6A7C0E8B">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二、砷化镓单晶与衬底</w:t>
      </w:r>
    </w:p>
    <w:p w14:paraId="3AACBC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发展半绝缘型、半导体型砷化镓单晶及衬底材料。采用水平布里奇曼法（HB）、液封直拉法（LEC）生长2-6英寸砷化镓单晶，位错密度控制在10</w:t>
      </w:r>
      <w:r>
        <w:rPr>
          <w:rFonts w:hint="eastAsia" w:ascii="仿宋_GB2312" w:hAnsi="仿宋_GB2312" w:eastAsia="仿宋_GB2312" w:cs="仿宋_GB2312"/>
          <w:sz w:val="32"/>
          <w:szCs w:val="32"/>
          <w:vertAlign w:val="superscript"/>
        </w:rPr>
        <w:t>4</w:t>
      </w:r>
      <w:r>
        <w:rPr>
          <w:rFonts w:hint="eastAsia" w:ascii="仿宋_GB2312" w:hAnsi="仿宋_GB2312" w:eastAsia="仿宋_GB2312" w:cs="仿宋_GB2312"/>
          <w:sz w:val="32"/>
          <w:szCs w:val="32"/>
        </w:rPr>
        <w:t>/cm</w:t>
      </w:r>
      <w:r>
        <w:rPr>
          <w:rFonts w:hint="eastAsia" w:ascii="仿宋_GB2312" w:hAnsi="仿宋_GB2312" w:eastAsia="仿宋_GB2312" w:cs="仿宋_GB2312"/>
          <w:sz w:val="32"/>
          <w:szCs w:val="32"/>
          <w:vertAlign w:val="superscript"/>
        </w:rPr>
        <w:t>²</w:t>
      </w:r>
      <w:r>
        <w:rPr>
          <w:rFonts w:hint="eastAsia" w:ascii="仿宋_GB2312" w:hAnsi="仿宋_GB2312" w:eastAsia="仿宋_GB2312" w:cs="仿宋_GB2312"/>
          <w:sz w:val="32"/>
          <w:szCs w:val="32"/>
        </w:rPr>
        <w:t>以内。配套建设衬底加工线，生产射频器件、光电子器件用砷化镓抛光片、外延片。面向5G通信、射频前端、激光器、LED等应用领域，开发不同规格、不同掺杂类型的砷化镓衬底产品，对接下游射频器件、光电子产业集群。</w:t>
      </w:r>
    </w:p>
    <w:p w14:paraId="25E57A28">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三、氮化镓同质外延衬底</w:t>
      </w:r>
    </w:p>
    <w:p w14:paraId="57C020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布局氮化镓（GaN）单晶与同质衬底材料，采用氢化物气相外延（HVPE）工艺生长2-6英寸氮化镓单晶衬底。围绕功率电子、射频器件等高端应用，开发低位错密度、高结晶质量的氮化镓自支撑衬底。探索氨热法生长高质量氮化镓单晶技术路线，持续提升晶体质量。配套开展氮化镓衬底加工与表征技术研究，逐步实现氮化镓同质衬底国产化供应。</w:t>
      </w:r>
    </w:p>
    <w:p w14:paraId="4A515520">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四、锑化镓单晶与衬底</w:t>
      </w:r>
    </w:p>
    <w:p w14:paraId="2BE8E4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瞻布局锑化镓（GaSb）单晶及衬底材料，采用水平布里奇曼法结合真空密封合成工艺生长锑化镓单晶。面向红外探测器、太赫兹器件、量子阱激光器等第四代半导体应用场景，开发2-4英寸锑化镓衬底产品。跟踪红外探测、太赫兹通信等前沿领域发展趋势，提前布局相关材料研发与产能建设，培育新的产业增长点。</w:t>
      </w:r>
    </w:p>
    <w:p w14:paraId="4DB17E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lang w:eastAsia="zh-CN"/>
        </w:rPr>
      </w:pPr>
      <w:bookmarkStart w:id="14" w:name="_Toc22911"/>
    </w:p>
    <w:p w14:paraId="16C8D60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第四章</w:t>
      </w:r>
      <w:r>
        <w:rPr>
          <w:rFonts w:hint="eastAsia" w:ascii="方正小标宋简体" w:hAnsi="方正小标宋简体" w:eastAsia="方正小标宋简体" w:cs="方正小标宋简体"/>
          <w:b w:val="0"/>
          <w:bCs/>
          <w:sz w:val="44"/>
          <w:szCs w:val="44"/>
          <w:lang w:val="en-US" w:eastAsia="zh-CN"/>
        </w:rPr>
        <w:t xml:space="preserve"> </w:t>
      </w:r>
      <w:r>
        <w:rPr>
          <w:rFonts w:hint="eastAsia" w:ascii="方正小标宋简体" w:hAnsi="方正小标宋简体" w:eastAsia="方正小标宋简体" w:cs="方正小标宋简体"/>
          <w:b w:val="0"/>
          <w:bCs/>
          <w:sz w:val="44"/>
          <w:szCs w:val="44"/>
          <w:lang w:eastAsia="zh-CN"/>
        </w:rPr>
        <w:t>产业空间布局</w:t>
      </w:r>
      <w:bookmarkEnd w:id="14"/>
    </w:p>
    <w:p w14:paraId="34395E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 w:val="32"/>
          <w:szCs w:val="32"/>
        </w:rPr>
      </w:pPr>
    </w:p>
    <w:p w14:paraId="2FB0FF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rPr>
        <w:t>立足吕梁铝土矿与伴生镓资源分布、现有产业基础及园区承载能力，紧扣镓基材料全链条发展目标，统筹资源禀赋、项目布局与要素保障，构建“一核引领、多点支撑、协同联动、集约高效”的产业空间格局，推动项目集聚、产业集群与资源集约发展，同步强化园区专业化配套支撑，为全市镓基材料产业高质量发展筑牢空间载体。</w:t>
      </w:r>
    </w:p>
    <w:p w14:paraId="5CF8A649">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bookmarkStart w:id="15" w:name="_Toc31514"/>
    </w:p>
    <w:p w14:paraId="6D4EA357">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r>
        <w:rPr>
          <w:rFonts w:hint="eastAsia" w:ascii="楷体" w:hAnsi="楷体" w:eastAsia="楷体" w:cs="楷体"/>
          <w:b/>
          <w:sz w:val="32"/>
          <w:szCs w:val="32"/>
          <w:lang w:eastAsia="zh-CN"/>
        </w:rPr>
        <w:t>第一节</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lang w:eastAsia="zh-CN"/>
        </w:rPr>
        <w:t>总体布局框架</w:t>
      </w:r>
      <w:bookmarkEnd w:id="15"/>
    </w:p>
    <w:p w14:paraId="425F6F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 w:val="32"/>
          <w:szCs w:val="32"/>
        </w:rPr>
      </w:pPr>
    </w:p>
    <w:p w14:paraId="4ABD67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rPr>
        <w:t>按照“核心集聚、链式协同、错位发展、全域联动”的原则，以孝义经济开发区为产业核心承载区，依托吕梁经开区、兴县经开区、柳林铝循环工业园、交口经开区四大特色园区形成多点支撑，构建一核多点的产业空间布局体系。</w:t>
      </w:r>
    </w:p>
    <w:p w14:paraId="73073D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rPr>
        <w:t>一核引领：以孝义经济开发区铝系新材料产业园为全市镓基材料产业核心，充分发挥其资源储量大、氧化铝产能强、产业配套完善的综合优势，集聚布局超高纯镓制备、镓基功能合金、化合物前驱体合成、单晶生长、衬底加工等全链条关键环节，打造集原料保障、高端制造、研发创新、终端应用于一体的综合性产业核心，成为全市技术创新高地与产值贡献主力。</w:t>
      </w:r>
    </w:p>
    <w:p w14:paraId="7E0103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rPr>
        <w:t>多点支撑：吕梁经开区、兴县经开区、柳林铝循环工业园、交口经开区四大园区立足各自资源禀赋和产业基础，实行差异化定位、特色化发展，分别聚焦研发中试与超高纯镓、粗镓原料与赤泥综合利用、高纯材料与功能合金、粗镓提取与原料协同等方向，补位配套、错位发展，共同构建全域联动的产业空间体系。</w:t>
      </w:r>
    </w:p>
    <w:p w14:paraId="415DFC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rPr>
        <w:t>协同联动：推动各园区之间产业链上下游协同、创新资源共享、要素流动互通，形成“原料在多点、提纯在核心、终端在孝义”的梯次联动格局。</w:t>
      </w:r>
      <w:r>
        <w:rPr>
          <w:rFonts w:hint="eastAsia"/>
          <w:color w:val="000000" w:themeColor="text1"/>
          <w:sz w:val="32"/>
          <w:szCs w:val="32"/>
          <w14:textFill>
            <w14:solidFill>
              <w14:schemeClr w14:val="tx1"/>
            </w14:solidFill>
          </w14:textFill>
        </w:rPr>
        <w:t>建立跨园区产业协作机制，促进技术成果辐射扩散</w:t>
      </w:r>
      <w:r>
        <w:rPr>
          <w:rFonts w:hint="eastAsia"/>
          <w:sz w:val="32"/>
          <w:szCs w:val="32"/>
        </w:rPr>
        <w:t>，实现资源优化配置和产业整体效能提升。</w:t>
      </w:r>
    </w:p>
    <w:p w14:paraId="719694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rPr>
        <w:t>集约高效：坚持土地集约利用、产业集聚发展，引导同类项目向专业园区集中，提高园区单位面积产出效率。统筹基础设施与公共服务平台建设，推动园区共享共用，避免重复建设，提升产业发展的集约化、专业化水平。</w:t>
      </w:r>
    </w:p>
    <w:p w14:paraId="300B3818">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bookmarkStart w:id="16" w:name="_Toc25679"/>
    </w:p>
    <w:p w14:paraId="20781FD9">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r>
        <w:rPr>
          <w:rFonts w:hint="eastAsia" w:ascii="楷体" w:hAnsi="楷体" w:eastAsia="楷体" w:cs="楷体"/>
          <w:b/>
          <w:sz w:val="32"/>
          <w:szCs w:val="32"/>
          <w:lang w:eastAsia="zh-CN"/>
        </w:rPr>
        <w:t>第二节</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lang w:eastAsia="zh-CN"/>
        </w:rPr>
        <w:t>园区功能定位</w:t>
      </w:r>
      <w:bookmarkEnd w:id="16"/>
    </w:p>
    <w:p w14:paraId="333D825D">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p>
    <w:p w14:paraId="092F8544">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一、孝义经济开发区</w:t>
      </w:r>
    </w:p>
    <w:p w14:paraId="7E0F3A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依托孝义市2.37亿吨铝土矿储量、约1.3万吨伴生镓资源及870万吨/年氧化铝产能优势，打造全市镓基材料产业核心承载区和全链条产业基地。重点布局五大产业方向：</w:t>
      </w:r>
    </w:p>
    <w:p w14:paraId="7F2101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超高纯镓精炼：建设年产 50-100吨6N/7N级超高纯镓精炼生产线，打造区域重要的超高纯镓生产基地，承接本地粗镓就地提纯转化。</w:t>
      </w:r>
    </w:p>
    <w:p w14:paraId="0FC72F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镓基功能合金：布局低熔点镓铟锡合金、电子焊料合金、稀土磁性合金等项目，依托粗镓资源优势发展深加工产品，打造北方重要的镓基功能合金生产基地。</w:t>
      </w:r>
    </w:p>
    <w:p w14:paraId="29272C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化合物前驱体：建设年产140吨三甲基镓（TMGa）等MO源生产线，配套发展氧化镓多晶、化合物多晶料，补齐产业链中游关键环节。</w:t>
      </w:r>
    </w:p>
    <w:p w14:paraId="3EAA38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单晶与衬底制造：布局砷化镓、氮化镓、氧化镓、锑化镓等多品类单晶生长及衬底加工项目，建设半导体级衬底生产线，打造全市高附加值产业核心。</w:t>
      </w:r>
    </w:p>
    <w:p w14:paraId="100711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伴生资源综合回收：建设赤泥提镓提钪等稀有金属综合回收项目，实现年处理100万吨赤泥的资源化利用，构建“氧化铝—提镓—赤泥多金属回收”的循环经济模式。</w:t>
      </w:r>
    </w:p>
    <w:p w14:paraId="7C974AD9">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二、吕梁经济技术开发区</w:t>
      </w:r>
    </w:p>
    <w:p w14:paraId="49EE0A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依托市级开发区平台优势和区位条件，聚焦超高纯镓规模化生产与研发创新，打造全市镓基材料产业的技术创新核心和高纯材料标杆。</w:t>
      </w:r>
    </w:p>
    <w:p w14:paraId="6A2187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超高纯镓标杆生产：加快推进超高纯镓量产工程产业基地项目，建设年产200吨7N级超高纯镓生产线，打造全市规模最大、纯度最高的超高纯镓龙头项目，树立行业标杆。</w:t>
      </w:r>
    </w:p>
    <w:p w14:paraId="7FD305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研发与中试平台：布局镓基材料研发中心、</w:t>
      </w:r>
      <w:bookmarkStart w:id="17" w:name="OLE_LINK2"/>
      <w:r>
        <w:rPr>
          <w:rFonts w:hint="eastAsia" w:ascii="仿宋_GB2312" w:hAnsi="仿宋_GB2312" w:eastAsia="仿宋_GB2312" w:cs="仿宋_GB2312"/>
          <w:sz w:val="32"/>
          <w:szCs w:val="32"/>
        </w:rPr>
        <w:t>中试平台、公共检测中心</w:t>
      </w:r>
      <w:bookmarkEnd w:id="17"/>
      <w:r>
        <w:rPr>
          <w:rFonts w:hint="eastAsia" w:ascii="仿宋_GB2312" w:hAnsi="仿宋_GB2312" w:eastAsia="仿宋_GB2312" w:cs="仿宋_GB2312"/>
          <w:sz w:val="32"/>
          <w:szCs w:val="32"/>
        </w:rPr>
        <w:t>等创新载体，引进科研团队和高端人才，开展关键技术攻关与成果转化，为全市产业发展提供技术支撑。</w:t>
      </w:r>
    </w:p>
    <w:p w14:paraId="54F6ED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总部与服务功能：集聚企业总部、销售中心、供应链管理等功能，打造产业服务与运营枢纽，配套发展检验检测、科技服务、工业设计等生产性服务业。</w:t>
      </w:r>
    </w:p>
    <w:p w14:paraId="1D71A7AF">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三、兴县经济技术开发区</w:t>
      </w:r>
    </w:p>
    <w:p w14:paraId="5F2E68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立足兴县铝土矿资源优势和铝产业基础</w:t>
      </w:r>
      <w:r>
        <w:rPr>
          <w:rFonts w:hint="eastAsia" w:ascii="仿宋_GB2312" w:hAnsi="仿宋_GB2312" w:eastAsia="仿宋_GB2312" w:cs="仿宋_GB2312"/>
          <w:sz w:val="32"/>
          <w:szCs w:val="32"/>
        </w:rPr>
        <w:t>和兴县丰富的铝土矿资源，重点发展粗镓提取、产能提质与赤泥综合利用，建设全市粗镓原料保供基地。</w:t>
      </w:r>
    </w:p>
    <w:p w14:paraId="6D6070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粗镓产能提质扩能：推动相关企业提镓生产线技术改造，稳定并提升5N级粗镓产能，发挥酸法工艺优势，持续提高镓回收率和产品品质，保障全市粗镓原料供给。</w:t>
      </w:r>
    </w:p>
    <w:p w14:paraId="4DFFBA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赤泥综合利用：依托兴县氧化铝产业赤泥产生量大的特点，布局赤泥提镓及伴生稀有金属综合回收项目，提高资源综合利用水平，延伸资源开发链条。</w:t>
      </w:r>
    </w:p>
    <w:p w14:paraId="0378CB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原料协同保障：发挥现有铝产业体系优势，建立稳定的粗镓原料供应渠道，为下游超高纯镓及深加工产业提供原料支撑，构建上下游协同发展格局。</w:t>
      </w:r>
    </w:p>
    <w:p w14:paraId="36FB250D">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四、柳林铝循环工业园</w:t>
      </w:r>
    </w:p>
    <w:p w14:paraId="644DC6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依托现有镓基产业基础和铝循环工业园配套优势，聚焦高纯镓提纯与镓基功能材料，打造特色高纯材料与合金产业片区。</w:t>
      </w:r>
    </w:p>
    <w:p w14:paraId="78FECF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高纯镓提纯：深化产学研合作，建设高纯镓深度提纯生产线，实现从4N粗镓向6N/7N高纯镓的升级，形成差异化高纯镓供给能力。</w:t>
      </w:r>
    </w:p>
    <w:p w14:paraId="2FB056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电子级功能合金：布局电子焊料合金、低熔点合金等项目，面向电子封装、散热材料等应用领域，开发系列化镓基合金产品，打造特色合金材料生产基地。</w:t>
      </w:r>
    </w:p>
    <w:p w14:paraId="7DFB48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镓基化合物材料：延伸布局砷化镓、氮化镓晶体生长及衬底制备项目，与高纯镓产能形成配套，推动产业链向下游延伸，提升产品附加值。</w:t>
      </w:r>
    </w:p>
    <w:p w14:paraId="3D5793FD">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五、交口经济技术开发区</w:t>
      </w:r>
    </w:p>
    <w:p w14:paraId="09E7CC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依托交口县铝土矿资源和氧化铝企业基础，主攻粗镓提取与伴生资源回收，构建原料端协同节点。</w:t>
      </w:r>
    </w:p>
    <w:p w14:paraId="1DD3FA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粗镓提取配套：推动氧化铝企业配套建设提镓生产线，新增粗镓产能，壮大全市粗镓原料供给规模。</w:t>
      </w:r>
    </w:p>
    <w:p w14:paraId="3ACA2A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伴生资源回收：依托交口矿区镓品位较高的资源优势，开展富镓铝土矿高效提取与伴生金属综合回收示范，提高资源开发效益。</w:t>
      </w:r>
    </w:p>
    <w:p w14:paraId="0B55EC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原料协同供应：加强与孝义、吕梁经开区等下游园区的产业联动，建立稳定的原料供应关系，形成“上游原料 — 中游提纯”的协同发展链条。</w:t>
      </w:r>
    </w:p>
    <w:p w14:paraId="05527279">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bookmarkStart w:id="18" w:name="_Toc29522"/>
    </w:p>
    <w:p w14:paraId="6AD6664B">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r>
        <w:rPr>
          <w:rFonts w:hint="eastAsia" w:ascii="楷体" w:hAnsi="楷体" w:eastAsia="楷体" w:cs="楷体"/>
          <w:b/>
          <w:sz w:val="32"/>
          <w:szCs w:val="32"/>
          <w:lang w:eastAsia="zh-CN"/>
        </w:rPr>
        <w:t>第三节</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lang w:eastAsia="zh-CN"/>
        </w:rPr>
        <w:t>园区专业化配套建设</w:t>
      </w:r>
      <w:bookmarkEnd w:id="18"/>
    </w:p>
    <w:p w14:paraId="00F607FD">
      <w:pPr>
        <w:ind w:firstLine="560"/>
        <w:rPr>
          <w:rFonts w:hint="eastAsia"/>
        </w:rPr>
      </w:pPr>
    </w:p>
    <w:p w14:paraId="0FAF9A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围绕“一核多点”空间布局，对标半导体产业发展需求，全面提升园区基础设施、产业配套与公共服务能力，打造专业化、高标准的产业承载平台。</w:t>
      </w:r>
    </w:p>
    <w:p w14:paraId="17D566F7">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一、基础设施配套升级</w:t>
      </w:r>
    </w:p>
    <w:p w14:paraId="5FD3AA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动核心承载区及各特色园区全面实现“七通一平”，完善基础设施保障能力。优化电力供应体系，落实战略性新兴产业电价政策，保障高纯材料、半导体生产等高端环节用电需求。依托中部引黄工程稳定供给工业用水，满足大水量、高水质生产需求。实现天然气管网、集中供热全覆盖，优化内部路网布局，畅通大型半导体设备与产品物流通道。配套建设半导体级污水处理设施，满足高纯材料、衬底加工等环节的环保要求。规划建设标准化洁净厂房、专用仓储、危化品存储等专业设施，为半导体材料项目提供定制化承载空间。</w:t>
      </w:r>
    </w:p>
    <w:p w14:paraId="426E1C2B">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二、公共服务平台建设</w:t>
      </w:r>
    </w:p>
    <w:p w14:paraId="0F2D8C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孝义经开区核心区建设镓基材料公共检测中心，配备辉光放电质谱仪（GDMS）、X射线衍射仪、原子力显微镜等高端检测设备，为企业提供原料检测、产品分析、质量管控等专业服务。建设中试孵化平台，开展工艺验证、中试放大、成果转化服务，降低企业研发成本和技术风险。搭建产学研合作平台，联动中铝郑州研究院、中科院半导体所、太原理工大学等高校院所，共建技术中心与重点实验室，开展联合技术攻关。建立镓产业大数据服务平台，提供行业资讯、市场分析、供需对接等信息服务。建设知识产权服务中心，为企业提供专利申请、技术转移、维权援助等服务。</w:t>
      </w:r>
    </w:p>
    <w:p w14:paraId="428EAEDF">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三、产业配套体系完善</w:t>
      </w:r>
    </w:p>
    <w:p w14:paraId="6B228F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镓基材料产业链需求，培育引进配套企业，完善上下游产业生态。引进专用树脂、特种气体、化学试剂等半导体辅料供应商，提高关键物料本地化配套率。发展精密设备维修、洁净工程、环保处理等生产性服务业，降低企业运营成本。布局专业化物流仓储体系，建设危化品专用仓储和冷链物流设施，满足高纯材料、MO源等特殊产品的仓储运输需求。推动园区生活服务配套升级，完善人才公寓、商务办公、商业服务、教育医疗等生活配套设施，落实人才引进政策，破解高端人才引留难题，持续提升园区综合承载能力和吸引力。</w:t>
      </w:r>
    </w:p>
    <w:p w14:paraId="7CB5A910">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黑体"/>
          <w:lang w:eastAsia="zh-CN"/>
        </w:rPr>
      </w:pPr>
      <w:r>
        <w:rPr>
          <w:rFonts w:hint="eastAsia" w:ascii="黑体" w:hAnsi="黑体" w:eastAsia="黑体" w:cs="黑体"/>
          <w:lang w:eastAsia="zh-CN"/>
        </w:rPr>
        <w:t>四、体制机制优化创新</w:t>
      </w:r>
    </w:p>
    <w:p w14:paraId="1062E4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面推行“承诺制+标准地+全代办”服务模式，为项目提供从招商签约到投产运营的全生命周期服务。推行立项、环评、能评等并联审批，实现签约即拿地、拿地即开工，加快项目落地进度。建立跨园区协同发展机制，推动各园区之间资源共享、优势互补、产业联动，避免同质化竞争和重复建设。探索“飞地经济”模式，建立跨区域项目流转和利益分享机制，促进产业合理布局和优化配置。完善园区考核评价体系，将镓基材料产业发展成效纳入园区绩效考核，强化激励导向，推动园区专业化、特色化、高质量发展。</w:t>
      </w:r>
    </w:p>
    <w:p w14:paraId="6558F40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lang w:eastAsia="zh-CN"/>
        </w:rPr>
      </w:pPr>
      <w:bookmarkStart w:id="19" w:name="_Toc2138"/>
    </w:p>
    <w:p w14:paraId="4C21534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第五章</w:t>
      </w:r>
      <w:r>
        <w:rPr>
          <w:rFonts w:hint="eastAsia" w:ascii="方正小标宋简体" w:hAnsi="方正小标宋简体" w:eastAsia="方正小标宋简体" w:cs="方正小标宋简体"/>
          <w:b w:val="0"/>
          <w:bCs/>
          <w:sz w:val="44"/>
          <w:szCs w:val="44"/>
          <w:lang w:val="en-US" w:eastAsia="zh-CN"/>
        </w:rPr>
        <w:t xml:space="preserve"> </w:t>
      </w:r>
      <w:r>
        <w:rPr>
          <w:rFonts w:hint="eastAsia" w:ascii="方正小标宋简体" w:hAnsi="方正小标宋简体" w:eastAsia="方正小标宋简体" w:cs="方正小标宋简体"/>
          <w:b w:val="0"/>
          <w:bCs/>
          <w:sz w:val="44"/>
          <w:szCs w:val="44"/>
          <w:lang w:eastAsia="zh-CN"/>
        </w:rPr>
        <w:t>主要任务</w:t>
      </w:r>
      <w:bookmarkEnd w:id="19"/>
    </w:p>
    <w:p w14:paraId="6C94E3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 w:val="32"/>
          <w:szCs w:val="32"/>
        </w:rPr>
      </w:pPr>
    </w:p>
    <w:p w14:paraId="00DBE5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rPr>
        <w:t>围绕镓基材料产业发展总体目标，聚焦产业链关键环节和突出短板，组织实施五大产业重点工程，明确实施路径和具体举措，强化项目支撑和要素保障，推动发展重点落地见效，确保规划目标如期实现。</w:t>
      </w:r>
    </w:p>
    <w:p w14:paraId="5CDEC54A">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bookmarkStart w:id="20" w:name="_Toc23871"/>
    </w:p>
    <w:p w14:paraId="2AA6A24D">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r>
        <w:rPr>
          <w:rFonts w:hint="eastAsia" w:ascii="楷体" w:hAnsi="楷体" w:eastAsia="楷体" w:cs="楷体"/>
          <w:b/>
          <w:sz w:val="32"/>
          <w:szCs w:val="32"/>
          <w:lang w:eastAsia="zh-CN"/>
        </w:rPr>
        <w:t>第一节</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lang w:eastAsia="zh-CN"/>
        </w:rPr>
        <w:t>实施粗镓“应提尽提”工程</w:t>
      </w:r>
      <w:bookmarkEnd w:id="20"/>
    </w:p>
    <w:p w14:paraId="5E5597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465EC9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以提升资源保障能力为核心，通过全覆盖行动、工艺升级、综合回收和循环体系建设，实现粗镓产能充分释放和资源高效利用，夯实全产业链发展的原料基础。</w:t>
      </w:r>
    </w:p>
    <w:p w14:paraId="1D838A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制定全市氧化铝企业提镓设施全覆盖实施方案。实施稳产达产专项行动，</w:t>
      </w:r>
      <w:r>
        <w:rPr>
          <w:rFonts w:hint="eastAsia" w:ascii="仿宋_GB2312" w:hAnsi="仿宋_GB2312" w:eastAsia="仿宋_GB2312" w:cs="仿宋_GB2312"/>
          <w:color w:val="000000" w:themeColor="text1"/>
          <w:sz w:val="32"/>
          <w:szCs w:val="32"/>
          <w14:textFill>
            <w14:solidFill>
              <w14:schemeClr w14:val="tx1"/>
            </w14:solidFill>
          </w14:textFill>
        </w:rPr>
        <w:t>分类指导</w:t>
      </w:r>
      <w:r>
        <w:rPr>
          <w:rFonts w:hint="eastAsia" w:ascii="仿宋_GB2312" w:hAnsi="仿宋_GB2312" w:eastAsia="仿宋_GB2312" w:cs="仿宋_GB2312"/>
          <w:sz w:val="32"/>
          <w:szCs w:val="32"/>
        </w:rPr>
        <w:t>解决提镓企业生产瓶颈。</w:t>
      </w:r>
      <w:r>
        <w:rPr>
          <w:rFonts w:hint="eastAsia" w:ascii="仿宋_GB2312" w:hAnsi="仿宋_GB2312" w:eastAsia="仿宋_GB2312" w:cs="仿宋_GB2312"/>
          <w:color w:val="000000" w:themeColor="text1"/>
          <w:sz w:val="32"/>
          <w:szCs w:val="32"/>
          <w14:textFill>
            <w14:solidFill>
              <w14:schemeClr w14:val="tx1"/>
            </w14:solidFill>
          </w14:textFill>
        </w:rPr>
        <w:t>对尚未配套提镓装置的氧化铝企业，引导规划建设提镓生产线，推动新建项目同步配套提镓产线。</w:t>
      </w:r>
      <w:r>
        <w:rPr>
          <w:rFonts w:hint="eastAsia" w:ascii="仿宋_GB2312" w:hAnsi="仿宋_GB2312" w:eastAsia="仿宋_GB2312" w:cs="仿宋_GB2312"/>
          <w:sz w:val="32"/>
          <w:szCs w:val="32"/>
        </w:rPr>
        <w:t>采取自建、共建、委托回收等多种模式，推动全市氧化铝生产企业提镓设施应建尽建，力争2028年前实现全覆盖。</w:t>
      </w:r>
    </w:p>
    <w:p w14:paraId="341EDA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实施提镓生产线智能化绿色化改造专项。推广高效螯合树脂、连续离子交换等先进技术，改造提升吸附、解析、浓缩、电解全流程工艺。支持企业开展酸法、碱法工艺优化研究，降低物料消耗和能耗。建设提镓工艺数字化管控平台，实现在线监测和智能调控。推动企业技术创新和专利申请，形成一批具有自主知识产权的提镓技术。开展行业对标，推广先进适用技术，整体提升全市提镓工艺技术水平。</w:t>
      </w:r>
    </w:p>
    <w:p w14:paraId="574174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启动赤泥提镓及多金属协同回收产业化示范项目。在孝义经济开发区建设年处理100万吨赤泥综合回收示范线，同步回收镓、钪等稀有金属。支持兴县、柳林、交口等氧化铝集中产区，布局建设赤泥综合回收设施。组织开展赤泥提镓关键技术联合攻关，突破低成本浸出、高效分离、清洁生产等技术瓶颈。制定赤泥综合利用扶持政策，争取省级专项资金支持，推动示范工程尽快落地见效。</w:t>
      </w:r>
    </w:p>
    <w:p w14:paraId="2DAEFC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建设市级镓资源收储调配中心，</w:t>
      </w:r>
      <w:r>
        <w:rPr>
          <w:rFonts w:hint="eastAsia" w:ascii="仿宋_GB2312" w:hAnsi="仿宋_GB2312" w:eastAsia="仿宋_GB2312" w:cs="仿宋_GB2312"/>
          <w:color w:val="000000" w:themeColor="text1"/>
          <w:sz w:val="32"/>
          <w:szCs w:val="32"/>
          <w14:textFill>
            <w14:solidFill>
              <w14:schemeClr w14:val="tx1"/>
            </w14:solidFill>
          </w14:textFill>
        </w:rPr>
        <w:t>引导镓资源市场化配置，推动建立市场化调节机制的运行机制</w:t>
      </w:r>
      <w:r>
        <w:rPr>
          <w:rFonts w:hint="eastAsia" w:ascii="仿宋_GB2312" w:hAnsi="仿宋_GB2312" w:eastAsia="仿宋_GB2312" w:cs="仿宋_GB2312"/>
          <w:sz w:val="32"/>
          <w:szCs w:val="32"/>
        </w:rPr>
        <w:t>。布局建设含镓废弃物回收网点和再生提纯中心，建立废靶材、废衬底、废合金等回收利用渠道。推动企业生产过程含镓废料闭环回收，提高资源回收率。建立镓资源统计监测体系，掌握全市资源底数和流动情况。探索建立区域镓资源交易平台，增强市场话语权和资源配置能力。</w:t>
      </w:r>
    </w:p>
    <w:p w14:paraId="7608859C">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bookmarkStart w:id="21" w:name="_Toc21512"/>
    </w:p>
    <w:p w14:paraId="57317DB4">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r>
        <w:rPr>
          <w:rFonts w:hint="eastAsia" w:ascii="楷体" w:hAnsi="楷体" w:eastAsia="楷体" w:cs="楷体"/>
          <w:b/>
          <w:sz w:val="32"/>
          <w:szCs w:val="32"/>
          <w:lang w:eastAsia="zh-CN"/>
        </w:rPr>
        <w:t>第二节</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lang w:eastAsia="zh-CN"/>
        </w:rPr>
        <w:t>实施镓基功能合金培育工程</w:t>
      </w:r>
      <w:bookmarkEnd w:id="21"/>
    </w:p>
    <w:p w14:paraId="2EAF5A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682E6C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依托粗镓资源优势，以“就地增值、快速见效”为导向，通过项目引进、产品开发、产业对接和前瞻布局，快速形成合金材料产业规模，打造粗镓深加工首站产业。</w:t>
      </w:r>
    </w:p>
    <w:p w14:paraId="16A33A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实施功能合金招商专项行动，瞄准</w:t>
      </w:r>
      <w:r>
        <w:rPr>
          <w:rFonts w:hint="eastAsia" w:ascii="仿宋_GB2312" w:hAnsi="仿宋_GB2312" w:eastAsia="仿宋_GB2312" w:cs="仿宋_GB2312"/>
          <w:color w:val="000000" w:themeColor="text1"/>
          <w:sz w:val="32"/>
          <w:szCs w:val="32"/>
          <w14:textFill>
            <w14:solidFill>
              <w14:schemeClr w14:val="tx1"/>
            </w14:solidFill>
          </w14:textFill>
        </w:rPr>
        <w:t>合金企业</w:t>
      </w:r>
      <w:r>
        <w:rPr>
          <w:rFonts w:hint="eastAsia" w:ascii="仿宋_GB2312" w:hAnsi="仿宋_GB2312" w:eastAsia="仿宋_GB2312" w:cs="仿宋_GB2312"/>
          <w:sz w:val="32"/>
          <w:szCs w:val="32"/>
        </w:rPr>
        <w:t>开展精准招商。引进低熔点镓铟锡合金、电子焊料合金等产业化项目，在孝义经开区、柳林铝循环工业园布局建设生产基地。支持镓企业延伸发展合金产品，通过合资合作、技术引进等方式快速切入。推动首批合金项目2027年前建成投产，形成初步产业规模。建立项目全周期服务机制，落实土地、能耗、环保等要素保障，加快项目建设进度。</w:t>
      </w:r>
    </w:p>
    <w:p w14:paraId="5563AA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实施镓基合金产品开发计划，围绕四大方向开发系列产品。针对散热应用，开发不同熔点、不同导热系数的低熔点合金产品；针对电子封装，开发不同成分、不同形态的焊料合金产品。支持企业与下游应用企业联合开发定制化产品，建立样品试制和性能测试平台。制定产品企业标准和团体标准，推动产品规范化、系列化发展。建立产品检测评价体系，提升产品质量稳定性和可靠性。</w:t>
      </w:r>
    </w:p>
    <w:p w14:paraId="734614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组织开展镓基合金产需对接活动，对接长三角、珠三角等地电子信息、新能源等产业集群。支持企业参加行业展会、供需洽谈会，拓展市场渠道。推动</w:t>
      </w:r>
      <w:r>
        <w:rPr>
          <w:rFonts w:hint="eastAsia" w:ascii="仿宋_GB2312" w:hAnsi="仿宋_GB2312" w:eastAsia="仿宋_GB2312" w:cs="仿宋_GB2312"/>
          <w:color w:val="000000" w:themeColor="text1"/>
          <w:sz w:val="32"/>
          <w:szCs w:val="32"/>
          <w14:textFill>
            <w14:solidFill>
              <w14:schemeClr w14:val="tx1"/>
            </w14:solidFill>
          </w14:textFill>
        </w:rPr>
        <w:t>合金企业与下游龙头企业</w:t>
      </w:r>
      <w:r>
        <w:rPr>
          <w:rFonts w:hint="eastAsia" w:ascii="仿宋_GB2312" w:hAnsi="仿宋_GB2312" w:eastAsia="仿宋_GB2312" w:cs="仿宋_GB2312"/>
          <w:sz w:val="32"/>
          <w:szCs w:val="32"/>
        </w:rPr>
        <w:t>建立战略合作关系，进入供应链体系。在孝义经开区建设合金材料应用示范中心，展示产品性能和应用场景。围绕5G通信、数据中心、新能源汽车等领域，开展应用示范和推广。</w:t>
      </w:r>
    </w:p>
    <w:p w14:paraId="41396D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瞻布局稀土磁性合金、光伏储能合金等前沿方向。支持企业与高校院所共建研发中心，开展新型镓基合金材料研究。跟踪CIGS薄膜光伏、液态金属储能、磁制冷等新兴技术发展，适时布局相关合金材料研发。建设镓基合金中试平台，为新产品研发和成果转化提供支撑。引进合金材料领域高端人才和创新团队，增强技术创新能力。</w:t>
      </w:r>
    </w:p>
    <w:p w14:paraId="750F211A">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bookmarkStart w:id="22" w:name="_Toc15095"/>
    </w:p>
    <w:p w14:paraId="0DBCE056">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r>
        <w:rPr>
          <w:rFonts w:hint="eastAsia" w:ascii="楷体" w:hAnsi="楷体" w:eastAsia="楷体" w:cs="楷体"/>
          <w:b/>
          <w:sz w:val="32"/>
          <w:szCs w:val="32"/>
          <w:lang w:eastAsia="zh-CN"/>
        </w:rPr>
        <w:t>第三节</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lang w:eastAsia="zh-CN"/>
        </w:rPr>
        <w:t>实施超高纯镓集群建设工程</w:t>
      </w:r>
      <w:bookmarkEnd w:id="22"/>
    </w:p>
    <w:p w14:paraId="117B6B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53ACCA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以规模化、集群化为目标，通过产业化</w:t>
      </w:r>
      <w:r>
        <w:rPr>
          <w:rFonts w:hint="eastAsia" w:ascii="仿宋_GB2312" w:hAnsi="仿宋_GB2312" w:eastAsia="仿宋_GB2312" w:cs="仿宋_GB2312"/>
          <w:color w:val="000000" w:themeColor="text1"/>
          <w:sz w:val="32"/>
          <w:szCs w:val="32"/>
          <w14:textFill>
            <w14:solidFill>
              <w14:schemeClr w14:val="tx1"/>
            </w14:solidFill>
          </w14:textFill>
        </w:rPr>
        <w:t>项目建设</w:t>
      </w:r>
      <w:r>
        <w:rPr>
          <w:rFonts w:hint="eastAsia" w:ascii="仿宋_GB2312" w:hAnsi="仿宋_GB2312" w:eastAsia="仿宋_GB2312" w:cs="仿宋_GB2312"/>
          <w:sz w:val="32"/>
          <w:szCs w:val="32"/>
        </w:rPr>
        <w:t>、技术联合攻关、创新企业培育和公共平台建设，打造全国领先的超高纯镓产业集群，为下游半导体材料产业提供核心原料支撑。</w:t>
      </w:r>
    </w:p>
    <w:p w14:paraId="7B15CB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力推进200吨/年7N级超高纯镓项目建设，倒排工期、挂图作战，确保按期建成投产。推动孝义经开区超高纯镓精炼项目分期建设，尽快形成产能。支持现有镓基企业高纯镓提纯项目加快实施，实现产品升级。建立项目包联服务机制，及时协调解决项目建设中的困难和问题。推动项目早开工、早投产、早达效，快速形成产业规模。</w:t>
      </w:r>
    </w:p>
    <w:p w14:paraId="043870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超高纯镓提纯关键技术攻关专项。围绕“预处理—电解精炼—区域熔炼”全流程，组织企业、高校、科研院所开展联合攻关。重点突破深度除杂、连续提纯、过程管控等关键技术，提升产品纯度和稳定性。研发高效提纯装备和自动化生产线，推动关键设备国产化。设立产业技术创新专项资金，支持共性技术研发和成果转化。建立产学研用协同创新机制，促进技术成果产业化应用。</w:t>
      </w:r>
    </w:p>
    <w:p w14:paraId="56F1FC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实施创新主体培育计划，支持企业做大做强，打造行业领军企业</w:t>
      </w:r>
      <w:r>
        <w:rPr>
          <w:rFonts w:hint="eastAsia" w:ascii="仿宋_GB2312" w:hAnsi="仿宋_GB2312" w:eastAsia="仿宋_GB2312" w:cs="仿宋_GB2312"/>
          <w:sz w:val="32"/>
          <w:szCs w:val="32"/>
        </w:rPr>
        <w:t>。推动现有粗镓企业向高纯镓延伸发展，培育一批骨干企业。引进培育配套服务企业，完善检测、设备、环保等配套产业链。实施“专精特新”企业培育行动，引导企业走专业化、特色化发展道路。</w:t>
      </w:r>
    </w:p>
    <w:p w14:paraId="2C068F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市级超高纯镓检测中心，配置高端检测设备，提供第三方检测服务。建立完善产品质量标准体系，制定不同等级超高纯镓的产品标准和检测方法标准。推动企业建立质量管理体系，开展质量体系认证。建立产品质量追溯系统，实现全流程质量管控。开展质量提升行动，对标国际先进水平，提升产品质量和市场认可度。打造吕梁超高纯镓区域品牌，提高市场影响力。</w:t>
      </w:r>
    </w:p>
    <w:p w14:paraId="4D5C0D42">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bookmarkStart w:id="23" w:name="_Toc24889"/>
    </w:p>
    <w:p w14:paraId="77405E46">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r>
        <w:rPr>
          <w:rFonts w:hint="eastAsia" w:ascii="楷体" w:hAnsi="楷体" w:eastAsia="楷体" w:cs="楷体"/>
          <w:b/>
          <w:sz w:val="32"/>
          <w:szCs w:val="32"/>
          <w:lang w:eastAsia="zh-CN"/>
        </w:rPr>
        <w:t>第四节</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lang w:eastAsia="zh-CN"/>
        </w:rPr>
        <w:t>实施化合物前驱体攻坚工程</w:t>
      </w:r>
      <w:bookmarkEnd w:id="23"/>
    </w:p>
    <w:p w14:paraId="6FC276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20E894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围绕补齐产业链中游短板，通过MO源项目攻坚、多晶原料配套、合成工艺装备研发和产业体系完善，建立完整的化合物前驱体材料产业体系，为下游单晶生长提供核心原料。</w:t>
      </w:r>
    </w:p>
    <w:p w14:paraId="713E8C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力推进140吨/年三甲基镓项目建设，确保按期建成投产。同步布局三乙基镓等其他镓系MO源产品，形成系列化供应能力。配套建设MO源精馏提纯、灌装储存、安全环保等设施。建立MO源产品质量标准体系，达到半导体级应用要求。推动产品进入国内主要外延企业供应链，逐步替代进口。</w:t>
      </w:r>
    </w:p>
    <w:p w14:paraId="78A0A2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单晶生长需求，配套开发氧化镓、砷化镓、氮化镓等多晶原料。建设高纯氧化镓多晶生产线，采用直接氧化法生产不同晶型氧化镓粉体和烧结体。布局化合物多晶合成产线，生产砷化镓、氮化镓多晶锭。针对不同单晶生长工艺，开发定制化多晶料产品。支持企业与单晶生长企业联合开发，实现上下游协同。推动多晶原料本地化供应，降低产业链整体成本。</w:t>
      </w:r>
    </w:p>
    <w:p w14:paraId="049E95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化合物合成工艺技术研究，突破精准配比、杂质控制、过程调控等关键技术。研发密闭式合成反应器、自动化配料系统、尾气回收装置等专用装备。推动MO源合成、精馏、灌装等关键装备国产化。建设化合物合成中试平台，开展新工艺、新装备验证。推动生产过程自动化、智能化改造，提高生产效率和产品一致性。加强安全生产技术研究，提升本质安全水平。</w:t>
      </w:r>
    </w:p>
    <w:p w14:paraId="76936A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化合物前驱体产业，引进培育配套企业。引进特种气体、化学试剂、包装材料等供应商，提高本地化配套率。建设危化品仓储物流设施，满足MO源等危险化学品储存运输需求。建立化合物前驱体材料供应链服务平台，提供供需对接、物流配送等服务。完善安全环保配套设施，建设专业化废水废气处理系统。推动产业集聚发展，形成上下游配套、大中小企业协同的产业生态。</w:t>
      </w:r>
    </w:p>
    <w:p w14:paraId="658F335A">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bookmarkStart w:id="24" w:name="_Toc26226"/>
    </w:p>
    <w:p w14:paraId="5F720857">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r>
        <w:rPr>
          <w:rFonts w:hint="eastAsia" w:ascii="楷体" w:hAnsi="楷体" w:eastAsia="楷体" w:cs="楷体"/>
          <w:b/>
          <w:sz w:val="32"/>
          <w:szCs w:val="32"/>
          <w:lang w:eastAsia="zh-CN"/>
        </w:rPr>
        <w:t>第五节</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lang w:eastAsia="zh-CN"/>
        </w:rPr>
        <w:t>实施单晶衬底突破工程</w:t>
      </w:r>
      <w:bookmarkEnd w:id="24"/>
    </w:p>
    <w:p w14:paraId="3FF8BB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4D4B42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聚焦产业链终端高附加值环节，通过优先突破氧化镓、有序布局多品类、提升加工能力、引进培育企业，实现单晶衬底从无到有突破，打造吕梁镓基材料产业的核心竞争力和标志性产品。</w:t>
      </w:r>
    </w:p>
    <w:p w14:paraId="67FBA0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将氧化镓衬底作为首要突破方向，集中资源攻坚。推动孝义高纯镓及化合物半导体项目氧化镓衬底生产线建设，采用导模法、垂直布里奇曼法等成熟工艺，实现2-4英寸氧化镓单晶量产。配套建设衬底加工线，生产半导体级抛光片。开展氧化镓晶体生长和加工工艺优化，提高成品率和产品质量。对接下游功率器件、紫外探测器企业，开展应用验证和市场导入。力争2028年前实现氧化镓衬底稳定量产，打造全国重要的氧化镓衬底生产基地。</w:t>
      </w:r>
    </w:p>
    <w:p w14:paraId="64F2BA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氧化镓突破基础上，有序布局砷化镓、氮化镓、锑化镓等多品类单晶衬底。建设砷化镓单晶生长产线，采用水平布里奇曼法生产2-6英寸砷化镓单晶。布局氮化镓HVPE同质衬底项目，生产自支撑氮化镓衬底。前瞻布局锑化镓单晶材料，面向红外、太赫兹等前沿应用。根据技术成熟度和市场需求，分批分期推进项目建设，形成多品类、差异化的产品格局。</w:t>
      </w:r>
    </w:p>
    <w:p w14:paraId="11AFC7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专业化衬底加工中心，配置切割、研磨、抛光、清洗、检测全流程设备。针对不同晶体材料特性，优化加工工艺参数，提高加工精度和成品率。开展大尺寸衬底加工技术研发，推动产品从2英寸向4英寸、6英寸升级。建立完善的检测评价体系，配置晶向、缺陷、表面质量等检测设备。推动衬底加工工艺标准化、规范化，提升产品一致性和可靠性。</w:t>
      </w:r>
    </w:p>
    <w:p w14:paraId="0D5D09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实施衬底企业引进专项行动，开展化合物半导体衬底产业链招商。</w:t>
      </w:r>
      <w:r>
        <w:rPr>
          <w:rFonts w:hint="eastAsia" w:ascii="仿宋_GB2312" w:hAnsi="仿宋_GB2312" w:eastAsia="仿宋_GB2312" w:cs="仿宋_GB2312"/>
          <w:color w:val="000000" w:themeColor="text1"/>
          <w:sz w:val="32"/>
          <w:szCs w:val="32"/>
          <w14:textFill>
            <w14:solidFill>
              <w14:schemeClr w14:val="tx1"/>
            </w14:solidFill>
          </w14:textFill>
        </w:rPr>
        <w:t>支持市内外合资合作</w:t>
      </w:r>
      <w:r>
        <w:rPr>
          <w:rFonts w:hint="eastAsia" w:ascii="仿宋_GB2312" w:hAnsi="仿宋_GB2312" w:eastAsia="仿宋_GB2312" w:cs="仿宋_GB2312"/>
          <w:sz w:val="32"/>
          <w:szCs w:val="32"/>
        </w:rPr>
        <w:t>，引进技术和管理经验。培育本土衬底企业发展壮大，支持企业加大研发投入，提升自主创新能力。推动衬底企业与下游器件、应用企业建立产业链合作，拓展市场空间。引进培育外延、器件等下游企业，延伸产业链条，打造产业集群。</w:t>
      </w:r>
    </w:p>
    <w:p w14:paraId="231320A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lang w:eastAsia="zh-CN"/>
        </w:rPr>
      </w:pPr>
      <w:bookmarkStart w:id="25" w:name="_Toc4924"/>
      <w:bookmarkStart w:id="31" w:name="_GoBack"/>
      <w:bookmarkEnd w:id="31"/>
    </w:p>
    <w:p w14:paraId="21FF97E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第六章</w:t>
      </w:r>
      <w:r>
        <w:rPr>
          <w:rFonts w:hint="eastAsia" w:ascii="方正小标宋简体" w:hAnsi="方正小标宋简体" w:eastAsia="方正小标宋简体" w:cs="方正小标宋简体"/>
          <w:b w:val="0"/>
          <w:bCs/>
          <w:sz w:val="44"/>
          <w:szCs w:val="44"/>
          <w:lang w:val="en-US" w:eastAsia="zh-CN"/>
        </w:rPr>
        <w:t xml:space="preserve"> </w:t>
      </w:r>
      <w:r>
        <w:rPr>
          <w:rFonts w:hint="eastAsia" w:ascii="方正小标宋简体" w:hAnsi="方正小标宋简体" w:eastAsia="方正小标宋简体" w:cs="方正小标宋简体"/>
          <w:b w:val="0"/>
          <w:bCs/>
          <w:sz w:val="44"/>
          <w:szCs w:val="44"/>
          <w:lang w:eastAsia="zh-CN"/>
        </w:rPr>
        <w:t>保障措施</w:t>
      </w:r>
      <w:bookmarkEnd w:id="25"/>
    </w:p>
    <w:p w14:paraId="7EEE78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486E70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加强组织领导，完善政策体系，强化要素保障，优化发展环境，构建统筹有力、精准高效的全维度支撑体系，形成推动镓基材料产业高质量发展的强大合力，确保规划各项目标任务落地见效。</w:t>
      </w:r>
    </w:p>
    <w:p w14:paraId="0852F2B4">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bookmarkStart w:id="26" w:name="_Toc10798"/>
    </w:p>
    <w:p w14:paraId="26487BFC">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r>
        <w:rPr>
          <w:rFonts w:hint="eastAsia" w:ascii="楷体" w:hAnsi="楷体" w:eastAsia="楷体" w:cs="楷体"/>
          <w:b/>
          <w:sz w:val="32"/>
          <w:szCs w:val="32"/>
          <w:lang w:eastAsia="zh-CN"/>
        </w:rPr>
        <w:t>第一节</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lang w:eastAsia="zh-CN"/>
        </w:rPr>
        <w:t>健全组织推进机制</w:t>
      </w:r>
      <w:bookmarkEnd w:id="26"/>
    </w:p>
    <w:p w14:paraId="5552A2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7A417E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市级镓基材料产业发展工作专班，由副市长任组长，市工信、发改、科技、财政、自然资源、生态环境、招商等部门及相关县（市、区）政府为成员单位，统筹推进产业发展各项工作。专班实行清单化管理，梳理形成任务清单、责任清单、时限清单，挂图作战、销号推进。健全月度调度、季度督查、年度考核运行机制，定期召开会议通报进度、协调问题，及时研究解决产业发展中的重大事项。</w:t>
      </w:r>
    </w:p>
    <w:p w14:paraId="2A0A6D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快组建市镓产业专家委员会，聘请行业专家、学者、企业家担任委员，为产业规划、项目论证、技术攻关提供决策咨询和技术支撑。推动成立市镓产业协会，促进行业交流、自律管理和协同发展，形成政府、专家、协会、企业协同推进的工作格局。相关县（市、区）同步建立属地工作专班，聚焦项目建设和企业服务，构建上下贯通、横向联动的全链条推进体系。</w:t>
      </w:r>
    </w:p>
    <w:p w14:paraId="47414B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强化部门协同联动，建立跨部门协调机制，统筹产业政策、土地指标、能耗指标、环境容量等要素配置，形成政策合力。将镓基材料产业发展纳入相关县（市、区）和市直部门年度目标责任考核，压实工作责任，强化激励约束，推动各项任务落地落实。</w:t>
      </w:r>
    </w:p>
    <w:p w14:paraId="10115238">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bookmarkStart w:id="27" w:name="_Toc27679"/>
    </w:p>
    <w:p w14:paraId="6273FECE">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r>
        <w:rPr>
          <w:rFonts w:hint="eastAsia" w:ascii="楷体" w:hAnsi="楷体" w:eastAsia="楷体" w:cs="楷体"/>
          <w:b/>
          <w:sz w:val="32"/>
          <w:szCs w:val="32"/>
          <w:lang w:eastAsia="zh-CN"/>
        </w:rPr>
        <w:t>第二节</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lang w:eastAsia="zh-CN"/>
        </w:rPr>
        <w:t>强化政策帮扶引导</w:t>
      </w:r>
      <w:bookmarkEnd w:id="27"/>
    </w:p>
    <w:p w14:paraId="33CAC3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紧扣国家及省级产业政策导向，制定出台吕梁市镓基材料产业专项支持政策，从产业培育、技术创新、项目建设、企业发展等方面给予精准扶持。对超高纯镓制备、单晶衬底生长等高端环节项目，以及赤泥综合回收等绿色项目，</w:t>
      </w:r>
      <w:r>
        <w:rPr>
          <w:rFonts w:hint="eastAsia" w:ascii="仿宋_GB2312" w:hAnsi="仿宋_GB2312" w:eastAsia="仿宋_GB2312" w:cs="仿宋_GB2312"/>
          <w:color w:val="000000" w:themeColor="text1"/>
          <w:sz w:val="32"/>
          <w:szCs w:val="32"/>
          <w14:textFill>
            <w14:solidFill>
              <w14:schemeClr w14:val="tx1"/>
            </w14:solidFill>
          </w14:textFill>
        </w:rPr>
        <w:t>依法依规保障符合条件的镓基材料产业项目的土地供应、能耗指标和环境容量</w:t>
      </w:r>
      <w:r>
        <w:rPr>
          <w:rFonts w:hint="eastAsia" w:ascii="仿宋_GB2312" w:hAnsi="仿宋_GB2312" w:eastAsia="仿宋_GB2312" w:cs="仿宋_GB2312"/>
          <w:sz w:val="32"/>
          <w:szCs w:val="32"/>
        </w:rPr>
        <w:t>。</w:t>
      </w:r>
    </w:p>
    <w:p w14:paraId="352763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化园区“承诺制+标准地+全代办”改革，推行立项、环评、能评、安评等并联审批，实现签约即拿地、拿地即开工，加快项目落地进度。完善招商引资激励政策，落实高新技术企业、研发费用加计扣除等税收优惠政策，降低企业运营成本。</w:t>
      </w:r>
    </w:p>
    <w:p w14:paraId="450EB9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积极对接国家及省级规划和专项资金，争取将吕梁镓基材料产业纳入国家和省级</w:t>
      </w:r>
      <w:r>
        <w:rPr>
          <w:rFonts w:hint="eastAsia" w:ascii="仿宋_GB2312" w:hAnsi="仿宋_GB2312" w:eastAsia="仿宋_GB2312" w:cs="仿宋_GB2312"/>
          <w:color w:val="000000" w:themeColor="text1"/>
          <w:sz w:val="32"/>
          <w:szCs w:val="32"/>
          <w14:textFill>
            <w14:solidFill>
              <w14:schemeClr w14:val="tx1"/>
            </w14:solidFill>
          </w14:textFill>
        </w:rPr>
        <w:t>重点</w:t>
      </w:r>
      <w:r>
        <w:rPr>
          <w:rFonts w:hint="eastAsia" w:ascii="仿宋_GB2312" w:hAnsi="仿宋_GB2312" w:eastAsia="仿宋_GB2312" w:cs="仿宋_GB2312"/>
          <w:sz w:val="32"/>
          <w:szCs w:val="32"/>
        </w:rPr>
        <w:t>布局，争取中央预算内投资、省级技改资金、新材料专项等政策资金支持。统筹市级相关专项资金，设立镓基材料产业发展专项，</w:t>
      </w:r>
      <w:r>
        <w:rPr>
          <w:rFonts w:hint="eastAsia" w:ascii="仿宋_GB2312" w:hAnsi="仿宋_GB2312" w:eastAsia="仿宋_GB2312" w:cs="仿宋_GB2312"/>
          <w:color w:val="000000" w:themeColor="text1"/>
          <w:sz w:val="32"/>
          <w:szCs w:val="32"/>
          <w14:textFill>
            <w14:solidFill>
              <w14:schemeClr w14:val="tx1"/>
            </w14:solidFill>
          </w14:textFill>
        </w:rPr>
        <w:t>重点支持</w:t>
      </w:r>
      <w:r>
        <w:rPr>
          <w:rFonts w:hint="eastAsia" w:ascii="仿宋_GB2312" w:hAnsi="仿宋_GB2312" w:eastAsia="仿宋_GB2312" w:cs="仿宋_GB2312"/>
          <w:sz w:val="32"/>
          <w:szCs w:val="32"/>
        </w:rPr>
        <w:t>关键技术攻关、重大项目建设、公共平台建设和企业培育。鼓励各县（市、区）结合实际出台配套政策，形成上下联动的政策支撑体系。</w:t>
      </w:r>
    </w:p>
    <w:p w14:paraId="18CC5921">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bookmarkStart w:id="28" w:name="_Toc26236"/>
    </w:p>
    <w:p w14:paraId="3248F338">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r>
        <w:rPr>
          <w:rFonts w:hint="eastAsia" w:ascii="楷体" w:hAnsi="楷体" w:eastAsia="楷体" w:cs="楷体"/>
          <w:b/>
          <w:sz w:val="32"/>
          <w:szCs w:val="32"/>
          <w:lang w:eastAsia="zh-CN"/>
        </w:rPr>
        <w:t>第三节</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lang w:eastAsia="zh-CN"/>
        </w:rPr>
        <w:t>加大金融支持力度</w:t>
      </w:r>
      <w:bookmarkEnd w:id="28"/>
    </w:p>
    <w:p w14:paraId="303738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1D6856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引导金融机构加大对镓基材料产业的信贷支持力度，开发适合新材料产业特点的金融产品，推广知识产权质押、股权质押、供应链金融等融资模式，降低企业融资成本。建立银企对接常态化机制，定期组织企业、项目与金融机构对接，畅通企业融资渠道。</w:t>
      </w:r>
    </w:p>
    <w:p w14:paraId="7E32E2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挥政府投资基金引导作用，设立镓基材料产业子基金，吸引社会资本参与，以股权投资方式支持相关企业发展和重大项目建设。支持符合条件的企业在境内外资本市场上市融资、发行债券，拓宽直接融资渠道。鼓励融资担保机构加大对镓基材料中小企业的担保支持，降低企业融资门槛。</w:t>
      </w:r>
    </w:p>
    <w:p w14:paraId="2BA0F2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落实首台（套）重大技术装备、首批次新材料保险补偿政策，支持企业新产品推广应用。构建多元化、多层次、多渠道的产业投融资体系，为产业发展提供强有力的金融支撑。</w:t>
      </w:r>
    </w:p>
    <w:p w14:paraId="16899E9A">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bookmarkStart w:id="29" w:name="_Toc25818"/>
    </w:p>
    <w:p w14:paraId="06E9C146">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r>
        <w:rPr>
          <w:rFonts w:hint="eastAsia" w:ascii="楷体" w:hAnsi="楷体" w:eastAsia="楷体" w:cs="楷体"/>
          <w:b/>
          <w:sz w:val="32"/>
          <w:szCs w:val="32"/>
          <w:lang w:eastAsia="zh-CN"/>
        </w:rPr>
        <w:t>第四节</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lang w:eastAsia="zh-CN"/>
        </w:rPr>
        <w:t>加强人才队伍建设</w:t>
      </w:r>
      <w:bookmarkEnd w:id="29"/>
    </w:p>
    <w:p w14:paraId="3442F4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5864E6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镓基材料产业人才引进专项政策，面向国内外引进高层次创新创业人才、专业技术人才和经营管理人才，在住房、子女教育、科研经费等方面给予支持。依托“吕梁英才”等人才计划，引进一批半导体材料领域领军人才和创新团队，带动技术突破和产业发展。</w:t>
      </w:r>
    </w:p>
    <w:p w14:paraId="7FB333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化与中科院半导体所、中铝郑州研究院、太原理工大学等高校院所的合作，共建研究生培养基地、实习实训基地，定向培养专业技术人才。支持企业与职业院校合作，开设相关专业和订单班，培养技能型人才。鼓励企业开展职工技能培训，提升从业人员专业素质和技能水平。</w:t>
      </w:r>
    </w:p>
    <w:p w14:paraId="4631EB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善人才评价激励机制，落实科研成果转化收益分配政策，激发科技人员创新创造活力。建设人才公寓、专家楼等配套设施，完善教育、医疗等公共服务，优化人才发展环境，确保人才引得进、留得住、用得好，为产业发展提供坚实的人才保障和智力支撑。</w:t>
      </w:r>
    </w:p>
    <w:p w14:paraId="467ADEEC">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bookmarkStart w:id="30" w:name="_Toc25682"/>
    </w:p>
    <w:p w14:paraId="36BED016">
      <w:pPr>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楷体" w:hAnsi="楷体" w:eastAsia="楷体" w:cs="楷体"/>
          <w:b/>
          <w:sz w:val="32"/>
          <w:szCs w:val="32"/>
          <w:lang w:eastAsia="zh-CN"/>
        </w:rPr>
      </w:pPr>
      <w:r>
        <w:rPr>
          <w:rFonts w:hint="eastAsia" w:ascii="楷体" w:hAnsi="楷体" w:eastAsia="楷体" w:cs="楷体"/>
          <w:b/>
          <w:sz w:val="32"/>
          <w:szCs w:val="32"/>
          <w:lang w:eastAsia="zh-CN"/>
        </w:rPr>
        <w:t>第五节</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lang w:eastAsia="zh-CN"/>
        </w:rPr>
        <w:t>强化规划实施评估</w:t>
      </w:r>
      <w:bookmarkEnd w:id="30"/>
    </w:p>
    <w:p w14:paraId="04913B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1A9254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规划实施责任制，将规划确定的目标任务分解落实到各县（市、区）和市直有关部门，明确责任主体和时间节点，确保各项任务有序推进。加强规划实施的动态跟踪，定期开展评估，及时发现问题、调整优化，确保规划目标顺利实现。</w:t>
      </w:r>
    </w:p>
    <w:p w14:paraId="1F4704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规划中期评估和终期评估制度，适时组织开展规划实施情况评估，评估结果作为改进政府工作和绩效考核的重要依据。根据产业发展新形势、新要求，适时对规划进行调整和修编，增强规划的指导性和可操作性。</w:t>
      </w:r>
    </w:p>
    <w:p w14:paraId="48722C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规划宣传解读，及时发布产业政策和发展信息，引导社会各界广泛参与，凝聚产业发展共识，形成全社会支持镓基材料产业发展的良好氛围。充分发挥市场主体作用，调动企业积极性和创造性，形成政府引导、企业主体、社会参与的强大合力，共同推动全市镓基材料产业高质量发展。</w:t>
      </w:r>
    </w:p>
    <w:sectPr>
      <w:footerReference r:id="rId6" w:type="default"/>
      <w:pgSz w:w="11906" w:h="16838"/>
      <w:pgMar w:top="1440" w:right="1587" w:bottom="1440" w:left="1587"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Web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altName w:val="Webdings"/>
    <w:panose1 w:val="05050102010706020507"/>
    <w:charset w:val="02"/>
    <w:family w:val="roman"/>
    <w:pitch w:val="default"/>
    <w:sig w:usb0="00000000" w:usb1="00000000" w:usb2="00000000" w:usb3="00000000" w:csb0="80000000" w:csb1="0000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_GB2312">
    <w:altName w:val="方正楷体_GBK"/>
    <w:panose1 w:val="02010609030101010101"/>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方正小标宋_GBK">
    <w:panose1 w:val="03000502000000000000"/>
    <w:charset w:val="86"/>
    <w:family w:val="auto"/>
    <w:pitch w:val="default"/>
    <w:sig w:usb0="00000001" w:usb1="080E0000" w:usb2="00000000" w:usb3="00000000" w:csb0="00040000" w:csb1="00000000"/>
  </w:font>
  <w:font w:name="Arial Black">
    <w:panose1 w:val="020B0A04020102020204"/>
    <w:charset w:val="00"/>
    <w:family w:val="auto"/>
    <w:pitch w:val="default"/>
    <w:sig w:usb0="00000287" w:usb1="00000000" w:usb2="00000000" w:usb3="00000000" w:csb0="2000009F" w:csb1="DFD70000"/>
  </w:font>
  <w:font w:name="DejaVu Sans">
    <w:panose1 w:val="020B0603030804020204"/>
    <w:charset w:val="00"/>
    <w:family w:val="auto"/>
    <w:pitch w:val="default"/>
    <w:sig w:usb0="E7006EFF" w:usb1="D200FDFF" w:usb2="0A246029" w:usb3="0400200C" w:csb0="600001FF" w:csb1="DFFF0000"/>
  </w:font>
  <w:font w:name="华文琥珀">
    <w:panose1 w:val="02010800040101010101"/>
    <w:charset w:val="86"/>
    <w:family w:val="auto"/>
    <w:pitch w:val="default"/>
    <w:sig w:usb0="00000001" w:usb1="080F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0000000000000000000"/>
    <w:charset w:val="00"/>
    <w:family w:val="auto"/>
    <w:pitch w:val="default"/>
    <w:sig w:usb0="00000000" w:usb1="00000000" w:usb2="00000000" w:usb3="00000000" w:csb0="00000000" w:csb1="00000000"/>
  </w:font>
  <w:font w:name="Webdings">
    <w:panose1 w:val="05030102010509060703"/>
    <w:charset w:val="00"/>
    <w:family w:val="auto"/>
    <w:pitch w:val="default"/>
    <w:sig w:usb0="00000000" w:usb1="00000000" w:usb2="00000000" w:usb3="00000000" w:csb0="80000000" w:csb1="00000000"/>
  </w:font>
  <w:font w:name="黑体">
    <w:altName w:val="方正黑体_GBK"/>
    <w:panose1 w:val="00000000000000000000"/>
    <w:charset w:val="00"/>
    <w:family w:val="auto"/>
    <w:pitch w:val="default"/>
    <w:sig w:usb0="00000000" w:usb1="00000000" w:usb2="00000000" w:usb3="00000000" w:csb0="00000000" w:csb1="00000000"/>
  </w:font>
  <w:font w:name="Noto Serif Ethiopic">
    <w:panose1 w:val="02020502060505020204"/>
    <w:charset w:val="00"/>
    <w:family w:val="auto"/>
    <w:pitch w:val="default"/>
    <w:sig w:usb0="80000043" w:usb1="00002040" w:usb2="00000800" w:usb3="00000000" w:csb0="00000001" w:csb1="00000000"/>
  </w:font>
  <w:font w:name="Noto Serif Kannada">
    <w:panose1 w:val="02020502060505020204"/>
    <w:charset w:val="00"/>
    <w:family w:val="auto"/>
    <w:pitch w:val="default"/>
    <w:sig w:usb0="80408003" w:usb1="00002042" w:usb2="00000000" w:usb3="00000000" w:csb0="00000001" w:csb1="00000000"/>
  </w:font>
  <w:font w:name="Noto Serif Devanagari">
    <w:panose1 w:val="02020502060505020204"/>
    <w:charset w:val="00"/>
    <w:family w:val="auto"/>
    <w:pitch w:val="default"/>
    <w:sig w:usb0="80008023" w:usb1="00002046" w:usb2="00000000" w:usb3="00000000" w:csb0="00000001" w:csb1="00000000"/>
  </w:font>
  <w:font w:name="Noto Serif CJK TC Light">
    <w:panose1 w:val="02020300000000000000"/>
    <w:charset w:val="88"/>
    <w:family w:val="auto"/>
    <w:pitch w:val="default"/>
    <w:sig w:usb0="30000083" w:usb1="2BDF3C10" w:usb2="00000016" w:usb3="00000000" w:csb0="603A0107" w:csb1="00000000"/>
  </w:font>
  <w:font w:name="Noto Serif Tangut">
    <w:panose1 w:val="02020502060505020204"/>
    <w:charset w:val="00"/>
    <w:family w:val="auto"/>
    <w:pitch w:val="default"/>
    <w:sig w:usb0="00000003"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5610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40920AA">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40920AA">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CE907">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E8BA6C1">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2E8BA6C1">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02E71F"/>
    <w:multiLevelType w:val="singleLevel"/>
    <w:tmpl w:val="8A02E71F"/>
    <w:lvl w:ilvl="0" w:tentative="0">
      <w:start w:val="1"/>
      <w:numFmt w:val="chineseCounting"/>
      <w:pStyle w:val="2"/>
      <w:suff w:val="nothing"/>
      <w:lvlText w:val="第%1章 "/>
      <w:lvlJc w:val="left"/>
      <w:pPr>
        <w:ind w:left="0" w:firstLine="420"/>
      </w:pPr>
      <w:rPr>
        <w:rFonts w:hint="eastAsia"/>
      </w:rPr>
    </w:lvl>
  </w:abstractNum>
  <w:abstractNum w:abstractNumId="1">
    <w:nsid w:val="95AC090F"/>
    <w:multiLevelType w:val="singleLevel"/>
    <w:tmpl w:val="95AC090F"/>
    <w:lvl w:ilvl="0" w:tentative="0">
      <w:start w:val="1"/>
      <w:numFmt w:val="chineseCounting"/>
      <w:pStyle w:val="3"/>
      <w:suff w:val="nothing"/>
      <w:lvlText w:val="第%1节 "/>
      <w:lvlJc w:val="left"/>
      <w:pPr>
        <w:ind w:left="0" w:firstLine="420"/>
      </w:pPr>
      <w:rPr>
        <w:rFonts w:hint="eastAsia"/>
      </w:rPr>
    </w:lvl>
  </w:abstractNum>
  <w:abstractNum w:abstractNumId="2">
    <w:nsid w:val="E78A0DEF"/>
    <w:multiLevelType w:val="singleLevel"/>
    <w:tmpl w:val="E78A0DEF"/>
    <w:lvl w:ilvl="0" w:tentative="0">
      <w:start w:val="1"/>
      <w:numFmt w:val="chineseCounting"/>
      <w:pStyle w:val="4"/>
      <w:suff w:val="nothing"/>
      <w:lvlText w:val="%1、"/>
      <w:lvlJc w:val="left"/>
      <w:pPr>
        <w:ind w:left="0" w:firstLine="420"/>
      </w:pPr>
      <w:rPr>
        <w:rFonts w:hint="eastAsia"/>
      </w:rPr>
    </w:lvl>
  </w:abstractNum>
  <w:abstractNum w:abstractNumId="3">
    <w:nsid w:val="F4CCA42A"/>
    <w:multiLevelType w:val="singleLevel"/>
    <w:tmpl w:val="F4CCA42A"/>
    <w:lvl w:ilvl="0" w:tentative="0">
      <w:start w:val="1"/>
      <w:numFmt w:val="chineseCounting"/>
      <w:pStyle w:val="5"/>
      <w:suff w:val="nothing"/>
      <w:lvlText w:val="（%1）"/>
      <w:lvlJc w:val="left"/>
      <w:pPr>
        <w:ind w:left="0" w:firstLine="42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56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6D4311"/>
    <w:rsid w:val="0002191F"/>
    <w:rsid w:val="00062CB7"/>
    <w:rsid w:val="00083371"/>
    <w:rsid w:val="000834A1"/>
    <w:rsid w:val="000876DE"/>
    <w:rsid w:val="000A227E"/>
    <w:rsid w:val="000A5150"/>
    <w:rsid w:val="000C355D"/>
    <w:rsid w:val="000C6879"/>
    <w:rsid w:val="000D3AEC"/>
    <w:rsid w:val="000E28D8"/>
    <w:rsid w:val="00165AF6"/>
    <w:rsid w:val="001B41D5"/>
    <w:rsid w:val="001C6634"/>
    <w:rsid w:val="00253633"/>
    <w:rsid w:val="00290C3D"/>
    <w:rsid w:val="00291347"/>
    <w:rsid w:val="002E6909"/>
    <w:rsid w:val="00374BF2"/>
    <w:rsid w:val="003A625D"/>
    <w:rsid w:val="003B443D"/>
    <w:rsid w:val="003D5502"/>
    <w:rsid w:val="003F1616"/>
    <w:rsid w:val="0043432A"/>
    <w:rsid w:val="00437838"/>
    <w:rsid w:val="00450C15"/>
    <w:rsid w:val="00480B0B"/>
    <w:rsid w:val="00505AF9"/>
    <w:rsid w:val="00541117"/>
    <w:rsid w:val="00556742"/>
    <w:rsid w:val="00566CD9"/>
    <w:rsid w:val="00571FBF"/>
    <w:rsid w:val="00580867"/>
    <w:rsid w:val="0058597E"/>
    <w:rsid w:val="006157B2"/>
    <w:rsid w:val="00616F8E"/>
    <w:rsid w:val="00656597"/>
    <w:rsid w:val="006A4D46"/>
    <w:rsid w:val="00716DD6"/>
    <w:rsid w:val="00753FC7"/>
    <w:rsid w:val="00773CE4"/>
    <w:rsid w:val="00775EDD"/>
    <w:rsid w:val="0079635D"/>
    <w:rsid w:val="007B7695"/>
    <w:rsid w:val="007E2D83"/>
    <w:rsid w:val="00805558"/>
    <w:rsid w:val="00805569"/>
    <w:rsid w:val="008326BA"/>
    <w:rsid w:val="00883728"/>
    <w:rsid w:val="00887147"/>
    <w:rsid w:val="008E73AE"/>
    <w:rsid w:val="00963A08"/>
    <w:rsid w:val="00967D93"/>
    <w:rsid w:val="009D51D9"/>
    <w:rsid w:val="00A0393D"/>
    <w:rsid w:val="00A3183C"/>
    <w:rsid w:val="00A35DD2"/>
    <w:rsid w:val="00AA6408"/>
    <w:rsid w:val="00AE4EB5"/>
    <w:rsid w:val="00B162A3"/>
    <w:rsid w:val="00B614F3"/>
    <w:rsid w:val="00BD6001"/>
    <w:rsid w:val="00C15AA4"/>
    <w:rsid w:val="00C269B4"/>
    <w:rsid w:val="00C37001"/>
    <w:rsid w:val="00C7555D"/>
    <w:rsid w:val="00C77326"/>
    <w:rsid w:val="00CA5832"/>
    <w:rsid w:val="00CA6A45"/>
    <w:rsid w:val="00CE79AC"/>
    <w:rsid w:val="00D27935"/>
    <w:rsid w:val="00D33604"/>
    <w:rsid w:val="00E539E3"/>
    <w:rsid w:val="00EA2826"/>
    <w:rsid w:val="00F0142F"/>
    <w:rsid w:val="00F150BD"/>
    <w:rsid w:val="00F65C9F"/>
    <w:rsid w:val="01E21263"/>
    <w:rsid w:val="04333FF8"/>
    <w:rsid w:val="06147E59"/>
    <w:rsid w:val="061E65E2"/>
    <w:rsid w:val="076D4311"/>
    <w:rsid w:val="0A9A6B7F"/>
    <w:rsid w:val="0CEE6D0E"/>
    <w:rsid w:val="0FC65D20"/>
    <w:rsid w:val="140E413A"/>
    <w:rsid w:val="150317C5"/>
    <w:rsid w:val="19232435"/>
    <w:rsid w:val="1C16002F"/>
    <w:rsid w:val="1EBB6C6C"/>
    <w:rsid w:val="1F3F789D"/>
    <w:rsid w:val="1FD964B3"/>
    <w:rsid w:val="201D7D32"/>
    <w:rsid w:val="22C37F11"/>
    <w:rsid w:val="2472254D"/>
    <w:rsid w:val="250C62A2"/>
    <w:rsid w:val="26CE04D7"/>
    <w:rsid w:val="27FBACFC"/>
    <w:rsid w:val="2AB949A8"/>
    <w:rsid w:val="2E7F17BC"/>
    <w:rsid w:val="311D0750"/>
    <w:rsid w:val="34F36D08"/>
    <w:rsid w:val="35474AB0"/>
    <w:rsid w:val="37912E89"/>
    <w:rsid w:val="38451629"/>
    <w:rsid w:val="3B9D177C"/>
    <w:rsid w:val="3CD13DD3"/>
    <w:rsid w:val="3D672041"/>
    <w:rsid w:val="3F19380F"/>
    <w:rsid w:val="3F6F51DD"/>
    <w:rsid w:val="411029F0"/>
    <w:rsid w:val="44A41DCD"/>
    <w:rsid w:val="464A44BE"/>
    <w:rsid w:val="496B6195"/>
    <w:rsid w:val="4A930919"/>
    <w:rsid w:val="4F50502B"/>
    <w:rsid w:val="54541275"/>
    <w:rsid w:val="55172147"/>
    <w:rsid w:val="55A35789"/>
    <w:rsid w:val="5F346687"/>
    <w:rsid w:val="61475C6B"/>
    <w:rsid w:val="64DF27D8"/>
    <w:rsid w:val="650772EF"/>
    <w:rsid w:val="671C71D9"/>
    <w:rsid w:val="67670D0C"/>
    <w:rsid w:val="67902011"/>
    <w:rsid w:val="6A1F58CE"/>
    <w:rsid w:val="6A660FB1"/>
    <w:rsid w:val="6FA80114"/>
    <w:rsid w:val="728D388D"/>
    <w:rsid w:val="733C129F"/>
    <w:rsid w:val="737F7594"/>
    <w:rsid w:val="73B449DA"/>
    <w:rsid w:val="73EF6311"/>
    <w:rsid w:val="75A267D2"/>
    <w:rsid w:val="75BA294F"/>
    <w:rsid w:val="76FB691F"/>
    <w:rsid w:val="7FDDF2E8"/>
    <w:rsid w:val="FD7F49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仿宋_GB2312" w:cstheme="minorBidi"/>
      <w:kern w:val="2"/>
      <w:sz w:val="28"/>
      <w:szCs w:val="24"/>
      <w:lang w:val="en-US" w:eastAsia="zh-CN" w:bidi="ar-SA"/>
    </w:rPr>
  </w:style>
  <w:style w:type="paragraph" w:styleId="2">
    <w:name w:val="heading 1"/>
    <w:basedOn w:val="1"/>
    <w:next w:val="1"/>
    <w:qFormat/>
    <w:uiPriority w:val="0"/>
    <w:pPr>
      <w:keepNext/>
      <w:keepLines/>
      <w:numPr>
        <w:ilvl w:val="0"/>
        <w:numId w:val="1"/>
      </w:numPr>
      <w:spacing w:before="600" w:after="600" w:line="576" w:lineRule="auto"/>
      <w:jc w:val="center"/>
      <w:outlineLvl w:val="0"/>
    </w:pPr>
    <w:rPr>
      <w:rFonts w:eastAsia="黑体"/>
      <w:b/>
      <w:kern w:val="44"/>
      <w:sz w:val="44"/>
    </w:rPr>
  </w:style>
  <w:style w:type="paragraph" w:styleId="3">
    <w:name w:val="heading 2"/>
    <w:basedOn w:val="1"/>
    <w:next w:val="1"/>
    <w:unhideWhenUsed/>
    <w:qFormat/>
    <w:uiPriority w:val="0"/>
    <w:pPr>
      <w:keepNext/>
      <w:keepLines/>
      <w:numPr>
        <w:ilvl w:val="0"/>
        <w:numId w:val="2"/>
      </w:numPr>
      <w:spacing w:before="360" w:after="240" w:line="413" w:lineRule="auto"/>
      <w:jc w:val="center"/>
      <w:outlineLvl w:val="1"/>
    </w:pPr>
    <w:rPr>
      <w:rFonts w:eastAsia="楷体_GB2312"/>
      <w:b/>
      <w:sz w:val="32"/>
    </w:rPr>
  </w:style>
  <w:style w:type="paragraph" w:styleId="4">
    <w:name w:val="heading 3"/>
    <w:basedOn w:val="1"/>
    <w:next w:val="1"/>
    <w:unhideWhenUsed/>
    <w:qFormat/>
    <w:uiPriority w:val="0"/>
    <w:pPr>
      <w:keepNext/>
      <w:keepLines/>
      <w:numPr>
        <w:ilvl w:val="0"/>
        <w:numId w:val="3"/>
      </w:numPr>
      <w:spacing w:before="120" w:after="120" w:line="413" w:lineRule="auto"/>
      <w:jc w:val="left"/>
      <w:outlineLvl w:val="2"/>
    </w:pPr>
    <w:rPr>
      <w:rFonts w:asciiTheme="minorHAnsi" w:hAnsiTheme="minorHAnsi"/>
      <w:b/>
      <w:sz w:val="32"/>
    </w:rPr>
  </w:style>
  <w:style w:type="paragraph" w:styleId="5">
    <w:name w:val="heading 4"/>
    <w:basedOn w:val="1"/>
    <w:next w:val="1"/>
    <w:unhideWhenUsed/>
    <w:qFormat/>
    <w:uiPriority w:val="0"/>
    <w:pPr>
      <w:keepNext/>
      <w:keepLines/>
      <w:numPr>
        <w:ilvl w:val="0"/>
        <w:numId w:val="4"/>
      </w:numPr>
      <w:spacing w:before="280" w:after="290" w:line="372" w:lineRule="auto"/>
      <w:jc w:val="left"/>
      <w:outlineLvl w:val="3"/>
    </w:pPr>
    <w:rPr>
      <w:rFonts w:ascii="Arial" w:hAnsi="Arial"/>
      <w:b/>
      <w:sz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10980</Words>
  <Characters>10981</Characters>
  <Lines>499</Lines>
  <Paragraphs>318</Paragraphs>
  <TotalTime>80</TotalTime>
  <ScaleCrop>false</ScaleCrop>
  <LinksUpToDate>false</LinksUpToDate>
  <CharactersWithSpaces>21643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2026-07-30T08:58:00Z</dcterms:created>
  <dc:creator>WPS_1601887083</dc:creator>
  <cp:lastModifiedBy>greatwall</cp:lastModifiedBy>
  <dcterms:modified xsi:type="dcterms:W3CDTF">2026-07-30T11:19:36Z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74123DBAF5E54262A5A2659AB335DFC4_11</vt:lpwstr>
  </property>
  <property fmtid="{D5CDD505-2E9C-101B-9397-08002B2CF9AE}" pid="4" name="KSOTemplateDocerSaveRecord">
    <vt:lpwstr>eyJoZGlkIjoiYmM4MGZiOTUxOTY4Njk0NWVlNWE2NjhjYzlmZGZjYzYiLCJ1c2VySWQiOiIxMTI3NTUwNDA4In0=</vt:lpwstr>
  </property>
</Properties>
</file>