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吕梁市新建住宅小区配套建设养老服务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用房规划、建设、验收和交付管理实施办法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（试行）</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eastAsia="zh-CN"/>
        </w:rPr>
        <w:t>第一章</w:t>
      </w:r>
      <w:r>
        <w:rPr>
          <w:rFonts w:hint="eastAsia" w:ascii="黑体" w:hAnsi="黑体" w:eastAsia="黑体" w:cs="黑体"/>
          <w:bCs w:val="0"/>
          <w:color w:val="auto"/>
          <w:sz w:val="32"/>
          <w:szCs w:val="32"/>
          <w:lang w:val="en-US" w:eastAsia="zh-CN"/>
        </w:rPr>
        <w:t xml:space="preserve">  </w:t>
      </w:r>
      <w:r>
        <w:rPr>
          <w:rFonts w:hint="eastAsia" w:ascii="黑体" w:hAnsi="黑体" w:eastAsia="黑体" w:cs="黑体"/>
          <w:bCs w:val="0"/>
          <w:color w:val="auto"/>
          <w:sz w:val="32"/>
          <w:szCs w:val="32"/>
          <w:lang w:eastAsia="zh-CN"/>
        </w:rPr>
        <w:t>总则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第一条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为进一步推进我市新建住宅小区配套建设养老服务用房工作，根据</w:t>
      </w:r>
      <w:r>
        <w:rPr>
          <w:rFonts w:hint="eastAsia" w:ascii="仿宋_GB2312" w:hAnsi="仿宋_GB2312" w:eastAsia="仿宋_GB2312" w:cs="仿宋_GB2312"/>
          <w:bCs w:val="0"/>
          <w:strike w:val="0"/>
          <w:dstrike w:val="0"/>
          <w:color w:val="auto"/>
          <w:sz w:val="32"/>
          <w:szCs w:val="32"/>
          <w:lang w:eastAsia="zh-CN"/>
        </w:rPr>
        <w:t>《国务院办公厅关于推进养老服务发展的意见》（国办发</w:t>
      </w:r>
      <w:r>
        <w:rPr>
          <w:rFonts w:hint="default" w:ascii="仿宋_GB2312" w:hAnsi="仿宋_GB2312" w:eastAsia="仿宋_GB2312" w:cs="仿宋_GB2312"/>
          <w:bCs w:val="0"/>
          <w:strike w:val="0"/>
          <w:dstrike w:val="0"/>
          <w:color w:val="auto"/>
          <w:sz w:val="32"/>
          <w:szCs w:val="32"/>
          <w:lang w:val="en-US" w:eastAsia="zh-CN"/>
        </w:rPr>
        <w:t>〔20</w:t>
      </w:r>
      <w:r>
        <w:rPr>
          <w:rFonts w:hint="eastAsia" w:ascii="仿宋_GB2312" w:hAnsi="仿宋_GB2312" w:eastAsia="仿宋_GB2312" w:cs="仿宋_GB2312"/>
          <w:bCs w:val="0"/>
          <w:strike w:val="0"/>
          <w:dstrike w:val="0"/>
          <w:color w:val="auto"/>
          <w:sz w:val="32"/>
          <w:szCs w:val="32"/>
          <w:lang w:val="en-US" w:eastAsia="zh-CN"/>
        </w:rPr>
        <w:t>19</w:t>
      </w:r>
      <w:r>
        <w:rPr>
          <w:rFonts w:hint="default" w:ascii="仿宋_GB2312" w:hAnsi="仿宋_GB2312" w:eastAsia="仿宋_GB2312" w:cs="仿宋_GB2312"/>
          <w:bCs w:val="0"/>
          <w:strike w:val="0"/>
          <w:dstrike w:val="0"/>
          <w:color w:val="auto"/>
          <w:sz w:val="32"/>
          <w:szCs w:val="32"/>
          <w:lang w:val="en-US" w:eastAsia="zh-CN"/>
        </w:rPr>
        <w:t>〕</w:t>
      </w:r>
      <w:r>
        <w:rPr>
          <w:rFonts w:hint="eastAsia" w:ascii="仿宋_GB2312" w:hAnsi="仿宋_GB2312" w:eastAsia="仿宋_GB2312" w:cs="仿宋_GB2312"/>
          <w:bCs w:val="0"/>
          <w:strike w:val="0"/>
          <w:dstrike w:val="0"/>
          <w:color w:val="auto"/>
          <w:sz w:val="32"/>
          <w:szCs w:val="32"/>
          <w:lang w:eastAsia="zh-CN"/>
        </w:rPr>
        <w:t>5号）</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lang w:eastAsia="zh-CN"/>
        </w:rPr>
        <w:t>《山西省社区居家养老服务条例》、《吕梁市人民政府关于加快发展养老服务业的实施意见》（吕政发</w:t>
      </w:r>
      <w:r>
        <w:rPr>
          <w:rFonts w:hint="eastAsia" w:ascii="仿宋_GB2312" w:hAnsi="仿宋_GB2312" w:eastAsia="仿宋_GB2312" w:cs="仿宋_GB2312"/>
          <w:color w:val="auto"/>
          <w:sz w:val="32"/>
          <w:szCs w:val="32"/>
          <w:lang w:val="en-US" w:eastAsia="zh-CN"/>
        </w:rPr>
        <w:t>[2015]2号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val="0"/>
          <w:color w:val="auto"/>
          <w:sz w:val="32"/>
          <w:szCs w:val="32"/>
          <w:lang w:val="en-US" w:eastAsia="zh-CN"/>
        </w:rPr>
        <w:t>，结合我市实际，</w:t>
      </w:r>
      <w:r>
        <w:rPr>
          <w:rFonts w:hint="eastAsia" w:ascii="仿宋_GB2312" w:hAnsi="仿宋_GB2312" w:eastAsia="仿宋_GB2312" w:cs="仿宋_GB2312"/>
          <w:bCs w:val="0"/>
          <w:color w:val="auto"/>
          <w:sz w:val="32"/>
          <w:szCs w:val="32"/>
          <w:lang w:eastAsia="zh-CN"/>
        </w:rPr>
        <w:t>制定本办法。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第二条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本办法所称的养老服务用房，是指为社区居家老年人</w:t>
      </w:r>
      <w:r>
        <w:rPr>
          <w:rFonts w:hint="eastAsia" w:ascii="仿宋_GB2312" w:hAnsi="仿宋_GB2312" w:eastAsia="仿宋_GB2312" w:cs="仿宋_GB2312"/>
          <w:color w:val="auto"/>
          <w:sz w:val="32"/>
          <w:szCs w:val="32"/>
          <w:lang w:eastAsia="zh-CN"/>
        </w:rPr>
        <w:t>提供日间照料、活动开展、康复护理、托管等服务的房屋和场所</w:t>
      </w:r>
      <w:r>
        <w:rPr>
          <w:rFonts w:hint="eastAsia" w:ascii="仿宋_GB2312" w:hAnsi="仿宋_GB2312" w:eastAsia="仿宋_GB2312" w:cs="仿宋_GB2312"/>
          <w:bCs w:val="0"/>
          <w:color w:val="auto"/>
          <w:sz w:val="32"/>
          <w:szCs w:val="32"/>
          <w:lang w:eastAsia="zh-CN"/>
        </w:rPr>
        <w:t>，包括社区居家养老服务中心、街道（乡镇）老年人日间照料中心（综合体）、智慧养老中心、老年人助餐点、老年人助浴点、嵌入式养老机构等设施建设用房。</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第三条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新建住宅小区配套养老服务用房</w:t>
      </w:r>
      <w:r>
        <w:rPr>
          <w:rFonts w:hint="eastAsia" w:ascii="仿宋_GB2312" w:hAnsi="仿宋_GB2312" w:eastAsia="仿宋_GB2312" w:cs="仿宋_GB2312"/>
          <w:color w:val="auto"/>
          <w:sz w:val="32"/>
          <w:szCs w:val="32"/>
          <w:lang w:eastAsia="zh-CN"/>
        </w:rPr>
        <w:t>应与新建住宅小区同步规划、同步建设、同步验收、同步交付使用。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第四条</w:t>
      </w:r>
      <w:r>
        <w:rPr>
          <w:rFonts w:hint="eastAsia" w:ascii="黑体" w:hAnsi="黑体" w:eastAsia="黑体" w:cs="黑体"/>
          <w:b/>
          <w:bCs/>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市、县（市、区）要加强配套建设养老服务用房建设的组织领导，建立由民政、行政审批、规划和自然资源、住房和城乡建设、财政等部门组成的工作机制，共同做好配套建设养老服务用房的规划、建设、验收、移交、产权登记、管理使用等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民政部门：</w:t>
      </w:r>
      <w:r>
        <w:rPr>
          <w:rFonts w:hint="eastAsia" w:ascii="仿宋_GB2312" w:hAnsi="仿宋_GB2312" w:eastAsia="仿宋_GB2312" w:cs="仿宋_GB2312"/>
          <w:sz w:val="32"/>
          <w:szCs w:val="32"/>
          <w:lang w:val="en-US" w:eastAsia="zh-CN"/>
        </w:rPr>
        <w:t>参与土地规划方案评审、建筑设计方案审查、配套建设养老服务用房验收，做好养老服务用房的交付管理</w:t>
      </w:r>
      <w:bookmarkStart w:id="0" w:name="_GoBack"/>
      <w:bookmarkEnd w:id="0"/>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t>规划和</w:t>
      </w:r>
      <w:r>
        <w:rPr>
          <w:rFonts w:hint="eastAsia" w:ascii="仿宋_GB2312" w:hAnsi="仿宋_GB2312" w:eastAsia="仿宋_GB2312" w:cs="仿宋_GB2312"/>
          <w:bCs w:val="0"/>
          <w:color w:val="auto"/>
          <w:sz w:val="32"/>
          <w:szCs w:val="32"/>
          <w:u w:val="none" w:color="auto"/>
          <w:lang w:val="en-US" w:eastAsia="zh-CN"/>
        </w:rPr>
        <w:t>自然资源部门</w:t>
      </w:r>
      <w:r>
        <w:rPr>
          <w:rFonts w:hint="eastAsia" w:ascii="仿宋_GB2312" w:hAnsi="仿宋_GB2312" w:eastAsia="仿宋_GB2312" w:cs="仿宋_GB2312"/>
          <w:bCs w:val="0"/>
          <w:color w:val="auto"/>
          <w:sz w:val="32"/>
          <w:szCs w:val="32"/>
          <w:lang w:val="en-US" w:eastAsia="zh-CN"/>
        </w:rPr>
        <w:t>：做好养老服务用房土地供应方案及不动产登记工作；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住房和城乡建设部门：负责养老服务用房的工程质量安全监督、竣工验收，开发企业信用档案管理工作；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行政审批部门：做好</w:t>
      </w:r>
      <w:r>
        <w:rPr>
          <w:rFonts w:hint="eastAsia" w:ascii="仿宋_GB2312" w:hAnsi="仿宋_GB2312" w:eastAsia="仿宋_GB2312" w:cs="仿宋_GB2312"/>
          <w:color w:val="auto"/>
          <w:sz w:val="32"/>
          <w:szCs w:val="32"/>
          <w:lang w:val="en-US" w:eastAsia="zh-CN"/>
        </w:rPr>
        <w:t>建筑设计方案审定工作，养老服务用房的竣工验收备案；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税务部门：负责对符合政策规定的养老服务用房落实契税优惠政策。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val="en-US" w:eastAsia="zh-CN"/>
        </w:rPr>
        <w:t xml:space="preserve"> </w:t>
      </w:r>
      <w:r>
        <w:rPr>
          <w:rFonts w:hint="eastAsia" w:ascii="黑体" w:hAnsi="黑体" w:eastAsia="黑体" w:cs="黑体"/>
          <w:bCs w:val="0"/>
          <w:color w:val="auto"/>
          <w:sz w:val="32"/>
          <w:szCs w:val="32"/>
          <w:lang w:eastAsia="zh-CN"/>
        </w:rPr>
        <w:t>规划设计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color w:val="auto"/>
          <w:lang w:val="en-US" w:eastAsia="zh-CN"/>
        </w:rPr>
      </w:pPr>
      <w:r>
        <w:rPr>
          <w:rFonts w:hint="eastAsia" w:ascii="黑体" w:hAnsi="黑体" w:eastAsia="黑体" w:cs="黑体"/>
          <w:bCs w:val="0"/>
          <w:color w:val="auto"/>
          <w:sz w:val="32"/>
          <w:szCs w:val="32"/>
          <w:lang w:eastAsia="zh-CN"/>
        </w:rPr>
        <w:t>第五条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所有新建住宅小区建设单位应全部配建养老服务用房，否则不予办理规划或建设、销售等手续。</w:t>
      </w:r>
      <w:r>
        <w:rPr>
          <w:rFonts w:hint="eastAsia" w:ascii="仿宋_GB2312" w:hAnsi="仿宋_GB2312" w:eastAsia="仿宋_GB2312" w:cs="仿宋_GB2312"/>
          <w:color w:val="auto"/>
          <w:sz w:val="32"/>
          <w:szCs w:val="32"/>
          <w:lang w:val="en-US" w:eastAsia="zh-CN"/>
        </w:rPr>
        <w:t>对分期开发的单地块新建</w:t>
      </w:r>
      <w:r>
        <w:rPr>
          <w:rFonts w:hint="eastAsia" w:ascii="仿宋_GB2312" w:hAnsi="仿宋_GB2312" w:eastAsia="仿宋_GB2312" w:cs="仿宋_GB2312"/>
          <w:color w:val="auto"/>
          <w:sz w:val="32"/>
          <w:szCs w:val="32"/>
          <w:u w:val="none"/>
          <w:lang w:val="en-US" w:eastAsia="zh-CN"/>
        </w:rPr>
        <w:t>住宅小区项</w:t>
      </w:r>
      <w:r>
        <w:rPr>
          <w:rFonts w:hint="eastAsia" w:ascii="仿宋_GB2312" w:hAnsi="仿宋_GB2312" w:eastAsia="仿宋_GB2312" w:cs="仿宋_GB2312"/>
          <w:color w:val="auto"/>
          <w:sz w:val="32"/>
          <w:szCs w:val="32"/>
          <w:lang w:val="en-US" w:eastAsia="zh-CN"/>
        </w:rPr>
        <w:t>目，配建的社区养老服务用房应安排在首期，且不得拆分。</w:t>
      </w:r>
      <w:r>
        <w:rPr>
          <w:rFonts w:hint="eastAsia" w:ascii="黑体" w:hAnsi="黑体" w:eastAsia="黑体" w:cs="黑体"/>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snapToGrid/>
          <w:color w:val="auto"/>
          <w:spacing w:val="0"/>
          <w:w w:val="100"/>
          <w:kern w:val="0"/>
          <w:position w:val="0"/>
          <w:sz w:val="32"/>
          <w:szCs w:val="32"/>
          <w:u w:val="none" w:color="auto"/>
          <w:vertAlign w:val="baseline"/>
          <w:lang w:val="en-US" w:eastAsia="zh-CN"/>
        </w:rPr>
        <w:t>第六条</w:t>
      </w:r>
      <w:r>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t>　</w:t>
      </w:r>
      <w:r>
        <w:rPr>
          <w:rFonts w:hint="eastAsia" w:ascii="仿宋_GB2312" w:hAnsi="仿宋_GB2312" w:eastAsia="仿宋_GB2312" w:cs="仿宋_GB2312"/>
          <w:color w:val="auto"/>
          <w:sz w:val="32"/>
          <w:szCs w:val="32"/>
          <w:lang w:val="en-US" w:eastAsia="zh-CN"/>
        </w:rPr>
        <w:t>设计单位应按照《老年人居住建筑设计规范》( GB 50340-2016）、《社区老年人日间照料中心建设标准》（建标143-2010)、《无障碍设计规范》( GB 50763-2012）等标准规范的要求设计配建社区养老服务用房。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pPr>
      <w:r>
        <w:rPr>
          <w:rFonts w:hint="eastAsia" w:ascii="黑体" w:hAnsi="黑体" w:eastAsia="黑体" w:cs="黑体"/>
          <w:bCs w:val="0"/>
          <w:color w:val="auto"/>
          <w:sz w:val="32"/>
          <w:szCs w:val="32"/>
          <w:lang w:eastAsia="zh-CN"/>
        </w:rPr>
        <w:t>第七条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养老服务用房配建标准</w:t>
      </w: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u w:val="none"/>
          <w:lang w:eastAsia="zh-CN"/>
        </w:rPr>
        <w:t>建住宅小区按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每百户不低于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lang w:eastAsia="zh-CN"/>
          <w14:textFill>
            <w14:solidFill>
              <w14:schemeClr w14:val="tx1"/>
            </w14:solidFill>
          </w14:textFill>
        </w:rPr>
        <w:t>平方米</w:t>
      </w:r>
      <w:r>
        <w:rPr>
          <w:rFonts w:hint="eastAsia" w:ascii="仿宋_GB2312" w:hAnsi="仿宋_GB2312" w:eastAsia="仿宋_GB2312" w:cs="仿宋_GB2312"/>
          <w:color w:val="auto"/>
          <w:sz w:val="32"/>
          <w:szCs w:val="32"/>
          <w:lang w:eastAsia="zh-CN"/>
        </w:rPr>
        <w:t>的建筑面积配建养老服务用房，不足百户的按百户标准进行配建。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第八条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配套建设养老服务用房的选址要求: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eastAsia="zh-CN"/>
        </w:rPr>
        <w:t>（一）配建养老服务用房选址，应选择新建小区位置适中、方便居民特别是老年人出入、便于服务的地方，宜靠近小区内部广场、绿地等公共活动空间。应建设在朝南、日照充足、通风良好的位置，并满足有关规范规定的日照时数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eastAsia="zh-CN"/>
        </w:rPr>
        <w:t>（二）配建养老服务用房使用功能要求，可与社区卫生、文化、教育、体育健身、残疾人康复等基本公共服务设施统筹规划，共同构建15分钟便民服务圈。做到用房规整、无分割设置、流线清晰、服务方便，周边环境美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eastAsia="zh-CN"/>
        </w:rPr>
        <w:t>（三）配建养老服务用房原则上应设置</w:t>
      </w:r>
      <w:r>
        <w:rPr>
          <w:rFonts w:hint="eastAsia" w:ascii="仿宋_GB2312" w:hAnsi="仿宋_GB2312" w:eastAsia="仿宋_GB2312" w:cs="仿宋_GB2312"/>
          <w:color w:val="auto"/>
          <w:sz w:val="32"/>
          <w:szCs w:val="32"/>
          <w:lang w:val="en-US" w:eastAsia="zh-CN"/>
        </w:rPr>
        <w:t>于建筑物低层，以在建筑的一层、二层设置为宜，二层（含二层）以上应设置无障碍电梯或坡道，但不得安排在建筑的地下层、半地下层和夹层。</w:t>
      </w:r>
      <w:r>
        <w:rPr>
          <w:rFonts w:hint="eastAsia" w:ascii="仿宋_GB2312" w:hAnsi="仿宋_GB2312" w:eastAsia="仿宋_GB2312" w:cs="仿宋_GB2312"/>
          <w:bCs w:val="0"/>
          <w:color w:val="auto"/>
          <w:sz w:val="32"/>
          <w:szCs w:val="32"/>
          <w:lang w:eastAsia="zh-CN"/>
        </w:rPr>
        <w:t>配建养老服务用房的主要出入口</w:t>
      </w:r>
      <w:r>
        <w:rPr>
          <w:rFonts w:hint="eastAsia" w:ascii="仿宋_GB2312" w:hAnsi="仿宋_GB2312" w:eastAsia="仿宋_GB2312" w:cs="仿宋_GB2312"/>
          <w:color w:val="auto"/>
          <w:sz w:val="32"/>
          <w:szCs w:val="32"/>
          <w:lang w:val="en-US" w:eastAsia="zh-CN"/>
        </w:rPr>
        <w:t>应单独设置，同时应配建无障碍设施，</w:t>
      </w:r>
      <w:r>
        <w:rPr>
          <w:rFonts w:hint="eastAsia" w:ascii="仿宋_GB2312" w:hAnsi="仿宋_GB2312" w:eastAsia="仿宋_GB2312" w:cs="仿宋_GB2312"/>
          <w:bCs w:val="0"/>
          <w:color w:val="auto"/>
          <w:sz w:val="32"/>
          <w:szCs w:val="32"/>
          <w:lang w:eastAsia="zh-CN"/>
        </w:rPr>
        <w:t>无障碍设施的建筑面积不计入总建筑面积内。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eastAsia="zh-CN"/>
        </w:rPr>
        <w:t>（四）配建养老服务用房应与污染源、噪声源等区域保持合理间距，确保养老服务用房周边环境安全。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val="0"/>
          <w:color w:val="auto"/>
          <w:sz w:val="32"/>
          <w:szCs w:val="32"/>
          <w:lang w:eastAsia="zh-CN"/>
        </w:rPr>
      </w:pPr>
      <w:r>
        <w:rPr>
          <w:rFonts w:hint="eastAsia" w:ascii="仿宋_GB2312" w:hAnsi="仿宋_GB2312" w:eastAsia="仿宋_GB2312" w:cs="仿宋_GB2312"/>
          <w:bCs w:val="0"/>
          <w:color w:val="auto"/>
          <w:sz w:val="32"/>
          <w:szCs w:val="32"/>
          <w:lang w:eastAsia="zh-CN"/>
        </w:rPr>
        <w:t>（五）配建养老服务用房出入口前的道路设计应便于人车分流的组织管理，并应满足消防、疏散及救护等要求，同时应设有可停车周转的场地，保证救护车辆就近停靠。出入口处应当设置机动车及非机动车停车场地，便于老年人及居民使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Cs w:val="0"/>
          <w:color w:val="auto"/>
          <w:sz w:val="32"/>
          <w:szCs w:val="32"/>
          <w:lang w:eastAsia="zh-CN"/>
        </w:rPr>
        <w:t>第九条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val="en-US" w:eastAsia="zh-CN"/>
        </w:rPr>
        <w:t>规划和自然资源部门在出具</w:t>
      </w:r>
      <w:r>
        <w:rPr>
          <w:rFonts w:hint="eastAsia" w:ascii="仿宋_GB2312" w:hAnsi="仿宋_GB2312" w:eastAsia="仿宋_GB2312" w:cs="仿宋_GB2312"/>
          <w:sz w:val="32"/>
          <w:szCs w:val="32"/>
          <w:lang w:val="en-US" w:eastAsia="zh-CN"/>
        </w:rPr>
        <w:t>规划设计条件</w:t>
      </w:r>
      <w:r>
        <w:rPr>
          <w:rFonts w:hint="eastAsia" w:ascii="仿宋_GB2312" w:hAnsi="仿宋_GB2312" w:eastAsia="仿宋_GB2312" w:cs="仿宋_GB2312"/>
          <w:bCs w:val="0"/>
          <w:color w:val="auto"/>
          <w:sz w:val="32"/>
          <w:szCs w:val="32"/>
          <w:lang w:val="en-US" w:eastAsia="zh-CN"/>
        </w:rPr>
        <w:t>前，</w:t>
      </w:r>
      <w:r>
        <w:rPr>
          <w:rFonts w:hint="eastAsia" w:ascii="仿宋_GB2312" w:hAnsi="仿宋_GB2312" w:eastAsia="仿宋_GB2312" w:cs="仿宋_GB2312"/>
          <w:bCs w:val="0"/>
          <w:color w:val="auto"/>
          <w:sz w:val="32"/>
          <w:szCs w:val="32"/>
          <w:lang w:eastAsia="zh-CN"/>
        </w:rPr>
        <w:t>应主动征求市、县（市、区）民政部门对配建养老设施的建设意见。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第十条　</w:t>
      </w:r>
      <w:r>
        <w:rPr>
          <w:rFonts w:hint="eastAsia" w:ascii="仿宋_GB2312" w:hAnsi="仿宋_GB2312" w:eastAsia="仿宋_GB2312" w:cs="仿宋_GB2312"/>
          <w:bCs w:val="0"/>
          <w:color w:val="auto"/>
          <w:sz w:val="32"/>
          <w:szCs w:val="32"/>
          <w:lang w:eastAsia="zh-CN"/>
        </w:rPr>
        <w:t>规划和自然资源部门在土地供应前，要将配套养老服务用房纳入规划设计条件。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Cs w:val="0"/>
          <w:color w:val="auto"/>
          <w:sz w:val="32"/>
          <w:szCs w:val="32"/>
          <w:lang w:eastAsia="zh-CN"/>
        </w:rPr>
        <w:t>第十一条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审批部门在审定新建住宅小区建设工程规划许可时，应对配套建设的养老服务用房是否符合规划条件、选址要求、配建位置规模、设计标准等进行审核，同时征求民政部门意见，对不符合要求的建筑设计方案不得通过审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val="0"/>
          <w:color w:val="auto"/>
          <w:sz w:val="32"/>
          <w:szCs w:val="32"/>
          <w:u w:val="none"/>
          <w:lang w:eastAsia="zh-CN"/>
        </w:rPr>
      </w:pPr>
      <w:r>
        <w:rPr>
          <w:rFonts w:hint="eastAsia" w:ascii="黑体" w:hAnsi="黑体" w:eastAsia="黑体" w:cs="黑体"/>
          <w:bCs w:val="0"/>
          <w:color w:val="auto"/>
          <w:sz w:val="32"/>
          <w:szCs w:val="32"/>
          <w:lang w:eastAsia="zh-CN"/>
        </w:rPr>
        <w:t>第十二条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项目审查通过后，建设单位应与市、县（市、区）民政部门签订配套建设合同，明确住宅小区交付时，按照土地出让合同约定配套建设养老服务用房的产权，无偿移交所</w:t>
      </w:r>
      <w:r>
        <w:rPr>
          <w:rFonts w:hint="eastAsia" w:ascii="仿宋_GB2312" w:hAnsi="仿宋_GB2312" w:eastAsia="仿宋_GB2312" w:cs="仿宋_GB2312"/>
          <w:bCs w:val="0"/>
          <w:color w:val="auto"/>
          <w:sz w:val="32"/>
          <w:szCs w:val="32"/>
          <w:u w:val="none"/>
          <w:lang w:eastAsia="zh-CN"/>
        </w:rPr>
        <w:t>在地县（市、区）级人民政府。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val="en-US" w:eastAsia="zh-CN"/>
        </w:rPr>
        <w:t xml:space="preserve">第三章 </w:t>
      </w:r>
      <w:r>
        <w:rPr>
          <w:rFonts w:hint="eastAsia" w:ascii="黑体" w:hAnsi="黑体" w:eastAsia="黑体" w:cs="黑体"/>
          <w:bCs w:val="0"/>
          <w:color w:val="auto"/>
          <w:sz w:val="32"/>
          <w:szCs w:val="32"/>
          <w:lang w:eastAsia="zh-CN"/>
        </w:rPr>
        <w:t>建设</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eastAsia="zh-CN"/>
        </w:rPr>
        <w:t>第十三条</w:t>
      </w:r>
      <w:r>
        <w:rPr>
          <w:rFonts w:hint="eastAsia" w:ascii="仿宋_GB2312" w:hAnsi="仿宋_GB2312" w:eastAsia="仿宋_GB2312" w:cs="仿宋_GB2312"/>
          <w:bCs w:val="0"/>
          <w:color w:val="auto"/>
          <w:sz w:val="32"/>
          <w:szCs w:val="32"/>
          <w:lang w:eastAsia="zh-CN"/>
        </w:rPr>
        <w:t xml:space="preserve"> </w:t>
      </w: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color w:val="auto"/>
          <w:sz w:val="32"/>
          <w:szCs w:val="32"/>
          <w:lang w:eastAsia="zh-CN"/>
        </w:rPr>
        <w:t>按照“谁开发建设，谁完善配套”原则，</w:t>
      </w: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lang w:val="en-US" w:eastAsia="zh-CN"/>
        </w:rPr>
        <w:t>在编制</w:t>
      </w:r>
      <w:r>
        <w:rPr>
          <w:rFonts w:hint="eastAsia" w:ascii="仿宋_GB2312" w:hAnsi="仿宋_GB2312" w:eastAsia="仿宋_GB2312" w:cs="仿宋_GB2312"/>
          <w:bCs w:val="0"/>
          <w:color w:val="auto"/>
          <w:sz w:val="32"/>
          <w:szCs w:val="32"/>
          <w:lang w:eastAsia="zh-CN"/>
        </w:rPr>
        <w:t>新建住宅小区建设工程规划设计方案</w:t>
      </w:r>
      <w:r>
        <w:rPr>
          <w:rFonts w:hint="eastAsia" w:ascii="仿宋_GB2312" w:hAnsi="仿宋_GB2312" w:eastAsia="仿宋_GB2312" w:cs="仿宋_GB2312"/>
          <w:color w:val="auto"/>
          <w:sz w:val="32"/>
          <w:szCs w:val="32"/>
          <w:lang w:val="en-US" w:eastAsia="zh-CN"/>
        </w:rPr>
        <w:t>时，应按照本办法和相关规范标准执行，并在规划设计图纸标注养老服务用房的具体位置并注明建筑面积。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第十四条</w:t>
      </w:r>
      <w:r>
        <w:rPr>
          <w:rFonts w:hint="eastAsia" w:ascii="黑体" w:hAnsi="黑体" w:eastAsia="黑体" w:cs="黑体"/>
          <w:bCs w:val="0"/>
          <w:color w:val="auto"/>
          <w:sz w:val="32"/>
          <w:szCs w:val="32"/>
          <w:lang w:val="en-US" w:eastAsia="zh-CN"/>
        </w:rPr>
        <w:t xml:space="preserve"> </w:t>
      </w:r>
      <w:r>
        <w:rPr>
          <w:rFonts w:hint="eastAsia" w:ascii="黑体" w:hAnsi="黑体" w:eastAsia="黑体" w:cs="黑体"/>
          <w:bCs w:val="0"/>
          <w:color w:val="auto"/>
          <w:sz w:val="32"/>
          <w:szCs w:val="32"/>
          <w:u w:val="none"/>
          <w:lang w:val="en-US" w:eastAsia="zh-CN"/>
        </w:rPr>
        <w:t xml:space="preserve"> </w:t>
      </w:r>
      <w:r>
        <w:rPr>
          <w:rFonts w:hint="eastAsia" w:ascii="仿宋_GB2312" w:hAnsi="仿宋_GB2312" w:eastAsia="仿宋_GB2312" w:cs="仿宋_GB2312"/>
          <w:bCs w:val="0"/>
          <w:color w:val="auto"/>
          <w:sz w:val="32"/>
          <w:szCs w:val="32"/>
          <w:u w:val="none"/>
          <w:lang w:eastAsia="zh-CN"/>
        </w:rPr>
        <w:t>新建住宅小区配套</w:t>
      </w:r>
      <w:r>
        <w:rPr>
          <w:rFonts w:hint="eastAsia" w:ascii="仿宋_GB2312" w:hAnsi="仿宋_GB2312" w:eastAsia="仿宋_GB2312" w:cs="仿宋_GB2312"/>
          <w:bCs w:val="0"/>
          <w:color w:val="auto"/>
          <w:sz w:val="32"/>
          <w:szCs w:val="32"/>
          <w:lang w:eastAsia="zh-CN"/>
        </w:rPr>
        <w:t>养老服务用房应按照审查合格的施工图设计文件实施，达到简单装修、入住即可使用的标准，墙体四白落地，平整水泥地面，门窗和厕所完善，水、电、气、暖、网络、智能化接入、无障碍等设施齐全。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val="0"/>
          <w:color w:val="auto"/>
          <w:sz w:val="32"/>
          <w:szCs w:val="32"/>
          <w:lang w:val="en-US" w:eastAsia="zh-CN"/>
        </w:rPr>
      </w:pPr>
      <w:r>
        <w:rPr>
          <w:rFonts w:hint="eastAsia" w:ascii="黑体" w:hAnsi="黑体" w:eastAsia="黑体" w:cs="黑体"/>
          <w:bCs w:val="0"/>
          <w:color w:val="auto"/>
          <w:sz w:val="32"/>
          <w:szCs w:val="32"/>
          <w:lang w:eastAsia="zh-CN"/>
        </w:rPr>
        <w:t>第十五条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凡利用建筑面积1000平方米以下的独栋建筑或者建筑物内的部分楼层改造为养老服务用房的，在符合国家相关标准的前提下，可不再要求出具近期动迁计划说明、临时改变建筑使用功能说明、环评审批文件或备案回执。</w:t>
      </w:r>
    </w:p>
    <w:p>
      <w:pPr>
        <w:keepNext w:val="0"/>
        <w:keepLines w:val="0"/>
        <w:pageBreakBefore w:val="0"/>
        <w:widowControl w:val="0"/>
        <w:kinsoku/>
        <w:wordWrap/>
        <w:overflowPunct/>
        <w:topLinePunct w:val="0"/>
        <w:autoSpaceDE/>
        <w:autoSpaceDN/>
        <w:bidi w:val="0"/>
        <w:spacing w:line="580" w:lineRule="exact"/>
        <w:textAlignment w:val="auto"/>
        <w:rPr>
          <w:rFonts w:hint="eastAsia"/>
          <w:color w:val="auto"/>
          <w:u w:val="single"/>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eastAsia="zh-CN"/>
        </w:rPr>
        <w:t>第四章</w:t>
      </w:r>
      <w:r>
        <w:rPr>
          <w:rFonts w:hint="eastAsia" w:ascii="黑体" w:hAnsi="黑体" w:eastAsia="黑体" w:cs="黑体"/>
          <w:bCs w:val="0"/>
          <w:color w:val="auto"/>
          <w:sz w:val="32"/>
          <w:szCs w:val="32"/>
          <w:lang w:val="en-US" w:eastAsia="zh-CN"/>
        </w:rPr>
        <w:t xml:space="preserve">  </w:t>
      </w:r>
      <w:r>
        <w:rPr>
          <w:rFonts w:hint="eastAsia" w:ascii="黑体" w:hAnsi="黑体" w:eastAsia="黑体" w:cs="黑体"/>
          <w:bCs w:val="0"/>
          <w:color w:val="auto"/>
          <w:sz w:val="32"/>
          <w:szCs w:val="32"/>
          <w:lang w:eastAsia="zh-CN"/>
        </w:rPr>
        <w:t>验收</w:t>
      </w:r>
    </w:p>
    <w:p>
      <w:pPr>
        <w:adjustRightInd w:val="0"/>
        <w:snapToGrid w:val="0"/>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Cs w:val="0"/>
          <w:color w:val="auto"/>
          <w:sz w:val="32"/>
          <w:szCs w:val="32"/>
          <w:lang w:eastAsia="zh-CN"/>
        </w:rPr>
        <w:t>第十六条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新建住宅小区配套建设养老服务用房纳入工程验收范围，由建设单位组织，项目所在地县（市、区）民政部门参与共同验收，出具验收意见</w:t>
      </w:r>
      <w:r>
        <w:rPr>
          <w:rFonts w:hint="eastAsia" w:ascii="仿宋_GB2312" w:hAnsi="仿宋_GB2312" w:eastAsia="仿宋_GB2312" w:cs="仿宋_GB2312"/>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Cs w:val="0"/>
          <w:color w:val="auto"/>
          <w:sz w:val="32"/>
          <w:szCs w:val="32"/>
          <w:lang w:eastAsia="zh-CN"/>
        </w:rPr>
        <w:t>第十七条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t>行政审批部门在进行项目规划核实时，应对配建养老服务用房的配置情况进行核实,对未经核实或者核实未按规划要求配建养老服务用房的建设项目,行政审批部门不得核发建设工程竣工规划条件核实证明,</w:t>
      </w:r>
      <w:r>
        <w:rPr>
          <w:rFonts w:hint="eastAsia" w:ascii="仿宋_GB2312" w:hAnsi="仿宋_GB2312" w:eastAsia="仿宋_GB2312" w:cs="仿宋_GB2312"/>
          <w:bCs w:val="0"/>
          <w:color w:val="auto"/>
          <w:sz w:val="32"/>
          <w:szCs w:val="32"/>
          <w:lang w:eastAsia="zh-CN"/>
        </w:rPr>
        <w:t>不予办理竣工验收备案。规划和自然资源部门不予办理产权登记等手续。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Cs w:val="0"/>
          <w:color w:val="auto"/>
          <w:sz w:val="32"/>
          <w:szCs w:val="32"/>
          <w:lang w:val="en-US" w:eastAsia="zh-CN"/>
        </w:rPr>
      </w:pPr>
      <w:r>
        <w:rPr>
          <w:rFonts w:hint="eastAsia" w:ascii="黑体" w:hAnsi="黑体" w:eastAsia="黑体" w:cs="黑体"/>
          <w:bCs w:val="0"/>
          <w:color w:val="auto"/>
          <w:sz w:val="32"/>
          <w:szCs w:val="32"/>
          <w:lang w:eastAsia="zh-CN"/>
        </w:rPr>
        <w:t>第十八条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对存在配建养老服务用房缓建、缩建、停建、不建和建而不交等问题的，在整改到位之前建设单位不得组织竣工验收。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eastAsia="zh-CN"/>
        </w:rPr>
        <w:t>　</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eastAsia="zh-CN"/>
        </w:rPr>
      </w:pPr>
      <w:r>
        <w:rPr>
          <w:rFonts w:hint="eastAsia" w:ascii="黑体" w:hAnsi="黑体" w:eastAsia="黑体" w:cs="黑体"/>
          <w:bCs w:val="0"/>
          <w:color w:val="auto"/>
          <w:sz w:val="32"/>
          <w:szCs w:val="32"/>
          <w:lang w:eastAsia="zh-CN"/>
        </w:rPr>
        <w:t>交付</w:t>
      </w:r>
    </w:p>
    <w:p>
      <w:pPr>
        <w:pStyle w:val="2"/>
        <w:numPr>
          <w:ilvl w:val="0"/>
          <w:numId w:val="0"/>
        </w:numPr>
        <w:ind w:firstLine="640" w:firstLineChars="200"/>
        <w:jc w:val="both"/>
        <w:rPr>
          <w:rFonts w:hint="eastAsia"/>
          <w:color w:val="auto"/>
          <w:u w:val="none" w:color="auto"/>
          <w:lang w:eastAsia="zh-CN"/>
        </w:rPr>
      </w:pPr>
      <w:r>
        <w:rPr>
          <w:rFonts w:hint="eastAsia" w:ascii="黑体" w:hAnsi="黑体" w:eastAsia="黑体" w:cs="黑体"/>
          <w:bCs w:val="0"/>
          <w:color w:val="auto"/>
          <w:sz w:val="32"/>
          <w:szCs w:val="32"/>
          <w:u w:val="none" w:color="auto"/>
          <w:lang w:eastAsia="zh-CN"/>
        </w:rPr>
        <w:t>第十九条　</w:t>
      </w:r>
      <w:r>
        <w:rPr>
          <w:rFonts w:hint="eastAsia" w:ascii="仿宋_GB2312" w:hAnsi="仿宋_GB2312" w:eastAsia="仿宋_GB2312" w:cs="仿宋_GB2312"/>
          <w:bCs w:val="0"/>
          <w:color w:val="auto"/>
          <w:kern w:val="2"/>
          <w:sz w:val="32"/>
          <w:szCs w:val="32"/>
          <w:lang w:val="en-US" w:eastAsia="zh-CN" w:bidi="ar-SA"/>
        </w:rPr>
        <w:t>新建住宅小区建设单位应在签订土地出让合同之日起3个月内与</w:t>
      </w:r>
      <w:r>
        <w:rPr>
          <w:rFonts w:hint="eastAsia" w:ascii="仿宋_GB2312" w:hAnsi="仿宋_GB2312" w:eastAsia="仿宋_GB2312" w:cs="仿宋_GB2312"/>
          <w:sz w:val="32"/>
          <w:szCs w:val="32"/>
          <w:lang w:val="en-US" w:eastAsia="zh-CN"/>
        </w:rPr>
        <w:t>所在地县（市、区）民政部门</w:t>
      </w:r>
      <w:r>
        <w:rPr>
          <w:rFonts w:hint="eastAsia" w:ascii="仿宋_GB2312" w:hAnsi="仿宋_GB2312" w:eastAsia="仿宋_GB2312" w:cs="仿宋_GB2312"/>
          <w:bCs w:val="0"/>
          <w:color w:val="auto"/>
          <w:kern w:val="2"/>
          <w:sz w:val="32"/>
          <w:szCs w:val="32"/>
          <w:lang w:val="en-US" w:eastAsia="zh-CN" w:bidi="ar-SA"/>
        </w:rPr>
        <w:t>签订《养老服务用房移交协议》。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pPr>
      <w:r>
        <w:rPr>
          <w:rFonts w:hint="eastAsia" w:ascii="黑体" w:hAnsi="黑体" w:eastAsia="黑体" w:cs="黑体"/>
          <w:bCs w:val="0"/>
          <w:color w:val="auto"/>
          <w:sz w:val="32"/>
          <w:szCs w:val="32"/>
          <w:u w:val="none" w:color="auto"/>
          <w:lang w:eastAsia="zh-CN"/>
        </w:rPr>
        <w:t>第二十条</w:t>
      </w:r>
      <w:r>
        <w:rPr>
          <w:rFonts w:hint="eastAsia" w:ascii="黑体" w:hAnsi="黑体" w:eastAsia="黑体" w:cs="黑体"/>
          <w:bCs w:val="0"/>
          <w:color w:val="auto"/>
          <w:sz w:val="32"/>
          <w:szCs w:val="32"/>
          <w:u w:val="none" w:color="auto"/>
          <w:lang w:val="en-US" w:eastAsia="zh-CN"/>
        </w:rPr>
        <w:t xml:space="preserve">  </w:t>
      </w:r>
      <w:r>
        <w:rPr>
          <w:rFonts w:hint="eastAsia" w:ascii="仿宋_GB2312" w:hAnsi="仿宋_GB2312" w:eastAsia="仿宋_GB2312" w:cs="仿宋_GB2312"/>
          <w:b w:val="0"/>
          <w:bCs w:val="0"/>
          <w:i w:val="0"/>
          <w:iCs w:val="0"/>
          <w:snapToGrid/>
          <w:color w:val="auto"/>
          <w:spacing w:val="0"/>
          <w:w w:val="100"/>
          <w:kern w:val="0"/>
          <w:position w:val="0"/>
          <w:sz w:val="32"/>
          <w:szCs w:val="32"/>
          <w:u w:val="none" w:color="auto"/>
          <w:vertAlign w:val="baseline"/>
          <w:lang w:val="en-US" w:eastAsia="zh-CN"/>
        </w:rPr>
        <w:t>新建住宅小区</w:t>
      </w:r>
      <w:r>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t>验收合格后,3个月内将养老服务用房移交所在县（市、区）机关事务服务中心。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lang w:eastAsia="zh-CN"/>
        </w:rPr>
      </w:pPr>
      <w:r>
        <w:rPr>
          <w:rFonts w:hint="eastAsia" w:ascii="黑体" w:hAnsi="黑体" w:eastAsia="黑体" w:cs="黑体"/>
          <w:bCs w:val="0"/>
          <w:color w:val="auto"/>
          <w:sz w:val="32"/>
          <w:szCs w:val="32"/>
          <w:u w:val="none" w:color="auto"/>
          <w:lang w:eastAsia="zh-CN"/>
        </w:rPr>
        <w:t>第二十一条　</w:t>
      </w:r>
      <w:r>
        <w:rPr>
          <w:rFonts w:hint="eastAsia" w:ascii="仿宋_GB2312" w:hAnsi="仿宋_GB2312" w:eastAsia="仿宋_GB2312" w:cs="仿宋_GB2312"/>
          <w:bCs w:val="0"/>
          <w:color w:val="auto"/>
          <w:sz w:val="32"/>
          <w:szCs w:val="32"/>
          <w:u w:val="none" w:color="auto"/>
          <w:lang w:eastAsia="zh-CN"/>
        </w:rPr>
        <w:t>建设单位依据土地出让条件配建的社区养老服务用房，依法申请首次</w:t>
      </w:r>
      <w:r>
        <w:rPr>
          <w:rFonts w:hint="eastAsia" w:ascii="仿宋_GB2312" w:hAnsi="仿宋_GB2312" w:eastAsia="仿宋_GB2312" w:cs="仿宋_GB2312"/>
          <w:color w:val="auto"/>
          <w:sz w:val="32"/>
          <w:szCs w:val="32"/>
          <w:u w:val="none" w:color="auto"/>
          <w:lang w:eastAsia="zh-CN"/>
        </w:rPr>
        <w:t>登记后，按《移交协议》办理转移登记至机关事务服务中心名下，</w:t>
      </w:r>
      <w:r>
        <w:rPr>
          <w:rFonts w:hint="eastAsia" w:ascii="仿宋_GB2312" w:hAnsi="仿宋_GB2312" w:eastAsia="仿宋_GB2312" w:cs="仿宋_GB2312"/>
          <w:sz w:val="32"/>
          <w:szCs w:val="32"/>
          <w:lang w:val="en-US" w:eastAsia="zh-CN"/>
        </w:rPr>
        <w:t>由民政部门对接收的配套建设养老服务用房履行监管职责，确保养老服务用途</w:t>
      </w:r>
      <w:r>
        <w:rPr>
          <w:rFonts w:hint="eastAsia" w:ascii="仿宋_GB2312" w:hAnsi="仿宋_GB2312" w:eastAsia="仿宋_GB2312" w:cs="仿宋_GB2312"/>
          <w:color w:val="auto"/>
          <w:lang w:eastAsia="zh-CN"/>
        </w:rPr>
        <w:t>。</w:t>
      </w:r>
    </w:p>
    <w:p>
      <w:pPr>
        <w:adjustRightInd w:val="0"/>
        <w:snapToGrid w:val="0"/>
        <w:spacing w:line="580" w:lineRule="exact"/>
        <w:ind w:firstLine="640" w:firstLineChars="200"/>
        <w:rPr>
          <w:rFonts w:hint="eastAsia" w:ascii="黑体" w:hAnsi="黑体" w:eastAsia="黑体" w:cs="黑体"/>
          <w:bCs w:val="0"/>
          <w:color w:val="auto"/>
          <w:sz w:val="32"/>
          <w:szCs w:val="32"/>
          <w:u w:val="none" w:color="auto"/>
          <w:lang w:eastAsia="zh-CN"/>
        </w:rPr>
      </w:pPr>
      <w:r>
        <w:rPr>
          <w:rFonts w:hint="eastAsia" w:ascii="黑体" w:hAnsi="黑体" w:eastAsia="黑体" w:cs="黑体"/>
          <w:bCs w:val="0"/>
          <w:color w:val="auto"/>
          <w:sz w:val="32"/>
          <w:szCs w:val="32"/>
          <w:u w:val="none" w:color="auto"/>
          <w:lang w:eastAsia="zh-CN"/>
        </w:rPr>
        <w:t>第二十二条</w:t>
      </w:r>
      <w:r>
        <w:rPr>
          <w:rFonts w:hint="eastAsia" w:ascii="黑体" w:hAnsi="黑体" w:eastAsia="黑体" w:cs="黑体"/>
          <w:bCs w:val="0"/>
          <w:color w:val="auto"/>
          <w:sz w:val="32"/>
          <w:szCs w:val="32"/>
          <w:u w:val="none" w:color="auto"/>
          <w:lang w:val="en-US" w:eastAsia="zh-CN"/>
        </w:rPr>
        <w:t xml:space="preserve">  </w:t>
      </w:r>
      <w:r>
        <w:rPr>
          <w:rFonts w:hint="eastAsia" w:ascii="仿宋_GB2312" w:hAnsi="仿宋_GB2312" w:eastAsia="仿宋_GB2312" w:cs="仿宋_GB2312"/>
          <w:b w:val="0"/>
          <w:bCs w:val="0"/>
          <w:snapToGrid/>
          <w:color w:val="auto"/>
          <w:spacing w:val="0"/>
          <w:w w:val="100"/>
          <w:kern w:val="0"/>
          <w:position w:val="0"/>
          <w:sz w:val="32"/>
          <w:szCs w:val="32"/>
          <w:u w:val="none" w:color="auto"/>
          <w:vertAlign w:val="baseline"/>
          <w:lang w:val="en-US" w:eastAsia="zh-CN"/>
        </w:rPr>
        <w:t>房产测绘机构应当对配建养老服务用房独立测量、计算面积,其面积不计入公摊的共用面积,并在出具的报告中注明其位置和面积。</w:t>
      </w:r>
      <w:r>
        <w:rPr>
          <w:rFonts w:hint="eastAsia" w:ascii="黑体" w:hAnsi="黑体" w:eastAsia="黑体" w:cs="黑体"/>
          <w:bCs w:val="0"/>
          <w:color w:val="auto"/>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bCs w:val="0"/>
          <w:color w:val="auto"/>
          <w:sz w:val="32"/>
          <w:szCs w:val="32"/>
          <w:u w:val="none" w:color="auto"/>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640" w:firstLineChars="200"/>
        <w:jc w:val="center"/>
        <w:textAlignment w:val="auto"/>
        <w:rPr>
          <w:rFonts w:hint="eastAsia" w:ascii="黑体" w:hAnsi="黑体" w:eastAsia="黑体" w:cs="黑体"/>
          <w:bCs w:val="0"/>
          <w:color w:val="auto"/>
          <w:sz w:val="32"/>
          <w:szCs w:val="32"/>
          <w:u w:val="none" w:color="auto"/>
          <w:lang w:eastAsia="zh-CN"/>
        </w:rPr>
      </w:pPr>
      <w:r>
        <w:rPr>
          <w:rFonts w:hint="eastAsia" w:ascii="黑体" w:hAnsi="黑体" w:eastAsia="黑体" w:cs="黑体"/>
          <w:bCs w:val="0"/>
          <w:color w:val="auto"/>
          <w:sz w:val="32"/>
          <w:szCs w:val="32"/>
          <w:u w:val="none" w:color="auto"/>
          <w:lang w:val="en-US" w:eastAsia="zh-CN"/>
        </w:rPr>
        <w:t xml:space="preserve"> </w:t>
      </w:r>
      <w:r>
        <w:rPr>
          <w:rFonts w:hint="eastAsia" w:ascii="黑体" w:hAnsi="黑体" w:eastAsia="黑体" w:cs="黑体"/>
          <w:bCs w:val="0"/>
          <w:color w:val="auto"/>
          <w:sz w:val="32"/>
          <w:szCs w:val="32"/>
          <w:u w:val="none" w:color="auto"/>
          <w:lang w:eastAsia="zh-CN"/>
        </w:rPr>
        <w:t>管理</w:t>
      </w:r>
    </w:p>
    <w:p>
      <w:pPr>
        <w:adjustRightInd w:val="0"/>
        <w:snapToGrid w:val="0"/>
        <w:spacing w:line="580" w:lineRule="exact"/>
        <w:ind w:firstLine="640" w:firstLineChars="200"/>
        <w:rPr>
          <w:rFonts w:hint="eastAsia" w:ascii="仿宋_GB2312" w:hAnsi="仿宋_GB2312" w:eastAsia="仿宋_GB2312" w:cs="仿宋_GB2312"/>
          <w:bCs w:val="0"/>
          <w:color w:val="auto"/>
          <w:sz w:val="32"/>
          <w:szCs w:val="32"/>
          <w:u w:val="none" w:color="auto"/>
          <w:lang w:eastAsia="zh-CN"/>
        </w:rPr>
      </w:pPr>
      <w:r>
        <w:rPr>
          <w:rFonts w:hint="eastAsia" w:ascii="黑体" w:hAnsi="黑体" w:eastAsia="黑体" w:cs="黑体"/>
          <w:bCs w:val="0"/>
          <w:color w:val="auto"/>
          <w:sz w:val="32"/>
          <w:szCs w:val="32"/>
          <w:u w:val="none" w:color="auto"/>
          <w:lang w:eastAsia="zh-CN"/>
        </w:rPr>
        <w:t>第二十三条</w:t>
      </w:r>
      <w:r>
        <w:rPr>
          <w:rFonts w:hint="eastAsia" w:ascii="黑体" w:hAnsi="黑体" w:eastAsia="黑体" w:cs="黑体"/>
          <w:bCs w:val="0"/>
          <w:color w:val="auto"/>
          <w:sz w:val="32"/>
          <w:szCs w:val="32"/>
          <w:u w:val="none" w:color="auto"/>
          <w:lang w:val="en-US" w:eastAsia="zh-CN"/>
        </w:rPr>
        <w:t xml:space="preserve">  </w:t>
      </w:r>
      <w:r>
        <w:rPr>
          <w:rFonts w:hint="eastAsia" w:ascii="仿宋_GB2312" w:hAnsi="仿宋_GB2312" w:eastAsia="仿宋_GB2312" w:cs="仿宋_GB2312"/>
          <w:bCs w:val="0"/>
          <w:color w:val="auto"/>
          <w:sz w:val="32"/>
          <w:szCs w:val="32"/>
          <w:u w:val="none" w:color="auto"/>
          <w:lang w:eastAsia="zh-CN"/>
        </w:rPr>
        <w:t>任何单位和个人不得将配套建设养老服务用房出售、转让、抵押、改变用途、长期闲置或者擅自拆改。各县（市、区）民政、规划和自然资源、住建部门应组织相关部门对本辖区已建成住宅小区的养老服务用房建设、权属等情况进行核查。</w:t>
      </w:r>
    </w:p>
    <w:p>
      <w:pPr>
        <w:adjustRightInd w:val="0"/>
        <w:snapToGrid w:val="0"/>
        <w:spacing w:line="580" w:lineRule="exact"/>
        <w:ind w:firstLine="640" w:firstLineChars="200"/>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第二十四条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违反</w:t>
      </w:r>
      <w:r>
        <w:rPr>
          <w:rFonts w:hint="eastAsia" w:ascii="仿宋_GB2312" w:hAnsi="仿宋_GB2312" w:eastAsia="仿宋_GB2312" w:cs="仿宋_GB2312"/>
          <w:bCs w:val="0"/>
          <w:color w:val="auto"/>
          <w:sz w:val="32"/>
          <w:szCs w:val="32"/>
          <w:lang w:eastAsia="zh-CN"/>
        </w:rPr>
        <w:t>本办法规定的，按照《山西省社区居家养老服务条例》第三十二条、第三十三条追究相应关法律责任。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val="0"/>
          <w:color w:val="auto"/>
          <w:sz w:val="32"/>
          <w:szCs w:val="32"/>
          <w:lang w:eastAsia="zh-CN"/>
        </w:rPr>
      </w:pPr>
      <w:r>
        <w:rPr>
          <w:rFonts w:hint="eastAsia" w:ascii="黑体" w:hAnsi="黑体" w:eastAsia="黑体" w:cs="黑体"/>
          <w:bCs w:val="0"/>
          <w:color w:val="auto"/>
          <w:sz w:val="32"/>
          <w:szCs w:val="32"/>
          <w:lang w:eastAsia="zh-CN"/>
        </w:rPr>
        <w:t>第二十五条</w:t>
      </w:r>
      <w:r>
        <w:rPr>
          <w:rFonts w:hint="eastAsia" w:ascii="仿宋_GB2312" w:hAnsi="仿宋_GB2312" w:eastAsia="仿宋_GB2312" w:cs="仿宋_GB2312"/>
          <w:bCs w:val="0"/>
          <w:color w:val="auto"/>
          <w:sz w:val="32"/>
          <w:szCs w:val="32"/>
          <w:lang w:eastAsia="zh-CN"/>
        </w:rPr>
        <w:t xml:space="preserve"> </w:t>
      </w: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新建住宅小区</w:t>
      </w:r>
      <w:r>
        <w:rPr>
          <w:rFonts w:hint="eastAsia" w:ascii="仿宋_GB2312" w:hAnsi="仿宋_GB2312" w:eastAsia="仿宋_GB2312" w:cs="仿宋_GB2312"/>
          <w:bCs w:val="0"/>
          <w:color w:val="auto"/>
          <w:sz w:val="32"/>
          <w:szCs w:val="32"/>
          <w:lang w:eastAsia="zh-CN"/>
        </w:rPr>
        <w:t>配套建设养老服务用房应按照社会化、产业化的发展方向，充分调动社会力量参与建设和运营的积极性。引入社会力量运营的，可由所在地民政部门通过招标、委托等方式，根据实际无偿或低偿提供给有一定资质的企业、社会组织使用，进行社会化运营，保证服务质量和效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黑体" w:hAnsi="黑体" w:eastAsia="黑体" w:cs="黑体"/>
          <w:bCs w:val="0"/>
          <w:color w:val="auto"/>
          <w:sz w:val="32"/>
          <w:szCs w:val="32"/>
          <w:lang w:val="en-US" w:eastAsia="zh-CN"/>
        </w:rPr>
      </w:pP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640" w:firstLineChars="200"/>
        <w:jc w:val="center"/>
        <w:textAlignment w:val="auto"/>
        <w:rPr>
          <w:rFonts w:hint="eastAsia" w:ascii="黑体" w:hAnsi="黑体" w:eastAsia="黑体" w:cs="黑体"/>
          <w:bCs w:val="0"/>
          <w:color w:val="auto"/>
          <w:sz w:val="32"/>
          <w:szCs w:val="32"/>
          <w:lang w:val="en-US" w:eastAsia="zh-CN"/>
        </w:rPr>
      </w:pPr>
      <w:r>
        <w:rPr>
          <w:rFonts w:hint="eastAsia" w:ascii="黑体" w:hAnsi="黑体" w:eastAsia="黑体" w:cs="黑体"/>
          <w:bCs w:val="0"/>
          <w:color w:val="auto"/>
          <w:sz w:val="32"/>
          <w:szCs w:val="32"/>
          <w:lang w:val="en-US" w:eastAsia="zh-CN"/>
        </w:rPr>
        <w:t xml:space="preserve"> 附则</w:t>
      </w:r>
    </w:p>
    <w:p>
      <w:pPr>
        <w:pStyle w:val="2"/>
        <w:numPr>
          <w:ilvl w:val="0"/>
          <w:numId w:val="0"/>
        </w:numPr>
        <w:ind w:firstLine="640" w:firstLineChars="200"/>
        <w:rPr>
          <w:rFonts w:hint="default" w:ascii="仿宋_GB2312" w:hAnsi="仿宋_GB2312" w:eastAsia="仿宋_GB2312" w:cs="仿宋_GB2312"/>
          <w:bCs w:val="0"/>
          <w:color w:val="auto"/>
          <w:sz w:val="32"/>
          <w:szCs w:val="32"/>
          <w:lang w:val="en-US" w:eastAsia="zh-CN"/>
        </w:rPr>
      </w:pPr>
      <w:r>
        <w:rPr>
          <w:rFonts w:hint="eastAsia" w:ascii="黑体" w:hAnsi="黑体" w:eastAsia="黑体" w:cs="黑体"/>
          <w:bCs w:val="0"/>
          <w:color w:val="auto"/>
          <w:sz w:val="32"/>
          <w:szCs w:val="32"/>
          <w:lang w:eastAsia="zh-CN"/>
        </w:rPr>
        <w:t>第二十六条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本办法由吕梁市民政局、规划和自然资源局、住房和城乡建设局</w:t>
      </w:r>
      <w:r>
        <w:rPr>
          <w:rFonts w:hint="eastAsia" w:ascii="仿宋_GB2312" w:hAnsi="仿宋_GB2312" w:cs="仿宋_GB2312"/>
          <w:bCs w:val="0"/>
          <w:color w:val="auto"/>
          <w:sz w:val="32"/>
          <w:szCs w:val="32"/>
          <w:lang w:eastAsia="zh-CN"/>
        </w:rPr>
        <w:t>、</w:t>
      </w:r>
      <w:r>
        <w:rPr>
          <w:rFonts w:hint="eastAsia" w:ascii="仿宋_GB2312" w:hAnsi="仿宋_GB2312" w:eastAsia="仿宋_GB2312" w:cs="仿宋_GB2312"/>
          <w:bCs w:val="0"/>
          <w:color w:val="auto"/>
          <w:sz w:val="32"/>
          <w:szCs w:val="32"/>
          <w:lang w:eastAsia="zh-CN"/>
        </w:rPr>
        <w:t>行政审批服务管理局、税务局负责解释，</w:t>
      </w:r>
      <w:r>
        <w:rPr>
          <w:rFonts w:hint="eastAsia" w:ascii="仿宋_GB2312" w:hAnsi="仿宋_GB2312" w:cs="仿宋_GB2312"/>
          <w:bCs w:val="0"/>
          <w:color w:val="E54C5E" w:themeColor="accent6"/>
          <w:sz w:val="32"/>
          <w:szCs w:val="32"/>
          <w:u w:val="none"/>
          <w:lang w:eastAsia="zh-CN"/>
          <w14:textFill>
            <w14:solidFill>
              <w14:schemeClr w14:val="accent6"/>
            </w14:solidFill>
          </w14:textFill>
        </w:rPr>
        <w:t>有效期自施行之日起</w:t>
      </w:r>
      <w:r>
        <w:rPr>
          <w:rFonts w:hint="eastAsia" w:ascii="仿宋_GB2312" w:hAnsi="仿宋_GB2312" w:cs="仿宋_GB2312"/>
          <w:bCs w:val="0"/>
          <w:color w:val="E54C5E" w:themeColor="accent6"/>
          <w:sz w:val="32"/>
          <w:szCs w:val="32"/>
          <w:u w:val="none"/>
          <w:lang w:val="en-US" w:eastAsia="zh-CN"/>
          <w14:textFill>
            <w14:solidFill>
              <w14:schemeClr w14:val="accent6"/>
            </w14:solidFill>
          </w14:textFill>
        </w:rPr>
        <w:t>2年。</w:t>
      </w:r>
    </w:p>
    <w:p>
      <w:pPr>
        <w:pStyle w:val="2"/>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bCs w:val="0"/>
          <w:color w:val="auto"/>
          <w:sz w:val="32"/>
          <w:szCs w:val="32"/>
          <w:lang w:eastAsia="zh-CN"/>
        </w:rPr>
        <w:t>第二十七条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val="en-US" w:eastAsia="zh-CN"/>
        </w:rPr>
        <w:t>已建成的住宅小区未配置社区居家养老服务设施或者配置未达标的，由县（市、区）人民政府通过购置、置放、改造等方式统筹配置。</w:t>
      </w:r>
    </w:p>
    <w:p>
      <w:pPr>
        <w:pStyle w:val="2"/>
        <w:numPr>
          <w:ilvl w:val="0"/>
          <w:numId w:val="0"/>
        </w:numPr>
        <w:ind w:firstLine="640" w:firstLineChars="200"/>
        <w:rPr>
          <w:rFonts w:hint="eastAsia" w:ascii="黑体" w:hAnsi="黑体" w:eastAsia="黑体" w:cs="黑体"/>
          <w:bCs w:val="0"/>
          <w:color w:val="auto"/>
          <w:sz w:val="32"/>
          <w:szCs w:val="32"/>
          <w:lang w:val="en-US" w:eastAsia="zh-CN"/>
        </w:rPr>
      </w:pPr>
      <w:r>
        <w:rPr>
          <w:rFonts w:hint="eastAsia" w:ascii="黑体" w:hAnsi="黑体" w:eastAsia="黑体" w:cs="黑体"/>
          <w:bCs w:val="0"/>
          <w:color w:val="auto"/>
          <w:sz w:val="32"/>
          <w:szCs w:val="32"/>
          <w:lang w:eastAsia="zh-CN"/>
        </w:rPr>
        <w:t>第二十八条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val="en-US" w:eastAsia="zh-CN"/>
        </w:rPr>
        <w:t>本</w:t>
      </w:r>
      <w:r>
        <w:rPr>
          <w:rFonts w:hint="eastAsia" w:ascii="仿宋_GB2312" w:hAnsi="仿宋_GB2312" w:cs="仿宋_GB2312"/>
          <w:bCs w:val="0"/>
          <w:color w:val="auto"/>
          <w:sz w:val="32"/>
          <w:szCs w:val="32"/>
          <w:lang w:val="en-US" w:eastAsia="zh-CN"/>
        </w:rPr>
        <w:t>办法</w:t>
      </w:r>
      <w:r>
        <w:rPr>
          <w:rFonts w:hint="eastAsia" w:ascii="仿宋_GB2312" w:hAnsi="仿宋_GB2312" w:eastAsia="仿宋_GB2312" w:cs="仿宋_GB2312"/>
          <w:bCs w:val="0"/>
          <w:color w:val="auto"/>
          <w:sz w:val="32"/>
          <w:szCs w:val="32"/>
          <w:lang w:val="en-US" w:eastAsia="zh-CN"/>
        </w:rPr>
        <w:t>印发之后的老旧小区、棚户区等改造项目由</w:t>
      </w:r>
      <w:r>
        <w:rPr>
          <w:rFonts w:hint="eastAsia" w:ascii="仿宋_GB2312" w:hAnsi="仿宋_GB2312" w:cs="仿宋_GB2312"/>
          <w:bCs w:val="0"/>
          <w:color w:val="auto"/>
          <w:sz w:val="32"/>
          <w:szCs w:val="32"/>
          <w:lang w:val="en-US" w:eastAsia="zh-CN"/>
        </w:rPr>
        <w:t>各级主管</w:t>
      </w:r>
      <w:r>
        <w:rPr>
          <w:rFonts w:hint="eastAsia" w:ascii="仿宋_GB2312" w:hAnsi="仿宋_GB2312" w:eastAsia="仿宋_GB2312" w:cs="仿宋_GB2312"/>
          <w:bCs w:val="0"/>
          <w:color w:val="auto"/>
          <w:sz w:val="32"/>
          <w:szCs w:val="32"/>
          <w:lang w:val="en-US" w:eastAsia="zh-CN"/>
        </w:rPr>
        <w:t>部门参照本办法</w:t>
      </w:r>
      <w:r>
        <w:rPr>
          <w:rFonts w:hint="eastAsia" w:ascii="仿宋_GB2312" w:hAnsi="仿宋_GB2312" w:cs="仿宋_GB2312"/>
          <w:bCs w:val="0"/>
          <w:color w:val="auto"/>
          <w:sz w:val="32"/>
          <w:szCs w:val="32"/>
          <w:lang w:val="en-US" w:eastAsia="zh-CN"/>
        </w:rPr>
        <w:t>实施配建，所需经费由同级财政负担。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color w:val="auto"/>
          <w:lang w:eastAsia="zh-CN"/>
        </w:rPr>
      </w:pPr>
      <w:r>
        <w:rPr>
          <w:rFonts w:hint="eastAsia" w:ascii="黑体" w:hAnsi="黑体" w:eastAsia="黑体" w:cs="黑体"/>
          <w:bCs w:val="0"/>
          <w:color w:val="auto"/>
          <w:sz w:val="32"/>
          <w:szCs w:val="32"/>
          <w:lang w:eastAsia="zh-CN"/>
        </w:rPr>
        <w:t>第二十九条</w:t>
      </w:r>
      <w:r>
        <w:rPr>
          <w:rFonts w:hint="eastAsia" w:ascii="黑体" w:hAnsi="黑体" w:eastAsia="黑体" w:cs="黑体"/>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各县（市、区）可依照本办法制定相关工作规范。</w:t>
      </w:r>
    </w:p>
    <w:p>
      <w:pPr>
        <w:pStyle w:val="2"/>
        <w:numPr>
          <w:ilvl w:val="0"/>
          <w:numId w:val="0"/>
        </w:numPr>
        <w:ind w:firstLine="640" w:firstLineChars="200"/>
        <w:rPr>
          <w:rFonts w:hint="eastAsia" w:ascii="仿宋_GB2312" w:hAnsi="仿宋_GB2312" w:eastAsia="仿宋_GB2312" w:cs="仿宋_GB2312"/>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8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r>
        <w:rPr>
          <w:rFonts w:hint="eastAsia" w:ascii="仿宋_GB2312" w:hAnsi="仿宋_GB2312" w:eastAsia="仿宋_GB2312" w:cs="仿宋_GB2312"/>
          <w:sz w:val="32"/>
          <w:szCs w:val="32"/>
          <w:lang w:val="en-US" w:eastAsia="zh-CN"/>
        </w:rPr>
        <w:t xml:space="preserve">                             </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rebuchet MS">
    <w:panose1 w:val="020B0603020202020204"/>
    <w:charset w:val="00"/>
    <w:family w:val="auto"/>
    <w:pitch w:val="default"/>
    <w:sig w:usb0="00000287" w:usb1="00000000" w:usb2="00000000" w:usb3="00000000" w:csb0="2000009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YTU2YTQ1NmY3MGJkZTY4OWJjYjUyMjMxZDcyZjkifQ=="/>
  </w:docVars>
  <w:rsids>
    <w:rsidRoot w:val="57E01364"/>
    <w:rsid w:val="07862691"/>
    <w:rsid w:val="13E7095B"/>
    <w:rsid w:val="2ECB2EFB"/>
    <w:rsid w:val="3191553A"/>
    <w:rsid w:val="3F111064"/>
    <w:rsid w:val="57E01364"/>
    <w:rsid w:val="62A51939"/>
    <w:rsid w:val="68A11FFC"/>
    <w:rsid w:val="6DB14A8F"/>
    <w:rsid w:val="72DF788B"/>
    <w:rsid w:val="7E9A331D"/>
    <w:rsid w:val="FFF9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line="360" w:lineRule="auto"/>
      <w:jc w:val="left"/>
      <w:outlineLvl w:val="1"/>
    </w:pPr>
    <w:rPr>
      <w:rFonts w:ascii="微软雅黑" w:hAnsi="微软雅黑" w:eastAsia="微软雅黑" w:cs="微软雅黑"/>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590" w:lineRule="exact"/>
      <w:ind w:firstLine="200" w:firstLineChars="200"/>
    </w:pPr>
    <w:rPr>
      <w:rFonts w:ascii="Times New Roman" w:hAnsi="Times New Roman" w:eastAsia="仿宋_GB2312"/>
      <w:sz w:val="32"/>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2024-06-12T15:53:00Z</dcterms:created>
  <dc:creator>三妮</dc:creator>
  <cp:lastModifiedBy>greatwall</cp:lastModifiedBy>
  <cp:lastPrinted>2024-06-24T12:48:00Z</cp:lastPrinted>
  <dcterms:modified xsi:type="dcterms:W3CDTF">2024-06-24T15:29:21Z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45D97725D1634B4AB881B1C0C856998E_13</vt:lpwstr>
  </property>
</Properties>
</file>