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firstLine="0" w:firstLineChars="0"/>
        <w:rPr>
          <w:rFonts w:hint="eastAsia" w:ascii="黑体" w:hAnsi="黑体" w:eastAsia="黑体" w:cs="黑体"/>
          <w:sz w:val="24"/>
          <w:szCs w:val="24"/>
          <w:lang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1</w:t>
      </w:r>
    </w:p>
    <w:p>
      <w:pPr>
        <w:keepNext w:val="0"/>
        <w:keepLines w:val="0"/>
        <w:pageBreakBefore w:val="0"/>
        <w:kinsoku/>
        <w:wordWrap/>
        <w:overflowPunct/>
        <w:topLinePunct w:val="0"/>
        <w:autoSpaceDE/>
        <w:autoSpaceDN/>
        <w:bidi w:val="0"/>
        <w:adjustRightInd/>
        <w:spacing w:after="156" w:afterLines="50" w:line="560" w:lineRule="exact"/>
        <w:ind w:firstLine="0" w:firstLineChars="0"/>
        <w:jc w:val="center"/>
        <w:rPr>
          <w:rFonts w:hint="eastAsia" w:eastAsia="方正小标宋简体"/>
        </w:rPr>
      </w:pPr>
      <w:r>
        <w:rPr>
          <w:rFonts w:hint="eastAsia" w:ascii="方正小标宋简体" w:hAnsi="方正小标宋简体" w:eastAsia="方正小标宋简体" w:cs="方正小标宋简体"/>
          <w:sz w:val="40"/>
          <w:szCs w:val="22"/>
          <w:lang w:eastAsia="zh-CN"/>
        </w:rPr>
        <w:t>水旱灾害防御</w:t>
      </w:r>
      <w:r>
        <w:rPr>
          <w:rFonts w:hint="eastAsia" w:ascii="方正小标宋简体" w:hAnsi="方正小标宋简体" w:eastAsia="方正小标宋简体" w:cs="方正小标宋简体"/>
          <w:sz w:val="40"/>
          <w:szCs w:val="22"/>
        </w:rPr>
        <w:t>安全重点检查事项</w:t>
      </w:r>
    </w:p>
    <w:tbl>
      <w:tblPr>
        <w:tblStyle w:val="4"/>
        <w:tblW w:w="13986" w:type="dxa"/>
        <w:jc w:val="center"/>
        <w:tblLayout w:type="fixed"/>
        <w:tblCellMar>
          <w:top w:w="0" w:type="dxa"/>
          <w:left w:w="0" w:type="dxa"/>
          <w:bottom w:w="0" w:type="dxa"/>
          <w:right w:w="0" w:type="dxa"/>
        </w:tblCellMar>
      </w:tblPr>
      <w:tblGrid>
        <w:gridCol w:w="1614"/>
        <w:gridCol w:w="1614"/>
        <w:gridCol w:w="10758"/>
      </w:tblGrid>
      <w:tr>
        <w:tblPrEx>
          <w:tblCellMar>
            <w:top w:w="0" w:type="dxa"/>
            <w:left w:w="0" w:type="dxa"/>
            <w:bottom w:w="0" w:type="dxa"/>
            <w:right w:w="0" w:type="dxa"/>
          </w:tblCellMar>
        </w:tblPrEx>
        <w:trPr>
          <w:trHeight w:val="5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r>
              <w:rPr>
                <w:rFonts w:hint="eastAsia" w:ascii="黑体" w:hAnsi="宋体" w:eastAsia="黑体" w:cs="黑体"/>
                <w:color w:val="000000"/>
                <w:sz w:val="28"/>
                <w:szCs w:val="28"/>
                <w:lang w:bidi="ar"/>
              </w:rPr>
              <w:t>序号</w:t>
            </w:r>
          </w:p>
        </w:tc>
        <w:tc>
          <w:tcPr>
            <w:tcW w:w="161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rPr>
            </w:pPr>
            <w:r>
              <w:rPr>
                <w:rFonts w:hint="eastAsia" w:ascii="黑体" w:hAnsi="宋体" w:eastAsia="黑体" w:cs="黑体"/>
                <w:color w:val="000000"/>
                <w:sz w:val="28"/>
                <w:szCs w:val="28"/>
                <w:lang w:bidi="ar"/>
              </w:rPr>
              <w:t>项目类别</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rPr>
            </w:pPr>
            <w:r>
              <w:rPr>
                <w:rFonts w:hint="eastAsia" w:ascii="黑体" w:hAnsi="宋体" w:eastAsia="黑体" w:cs="黑体"/>
                <w:color w:val="000000"/>
                <w:sz w:val="28"/>
                <w:szCs w:val="28"/>
              </w:rPr>
              <w:t>重点检查事项</w:t>
            </w:r>
          </w:p>
        </w:tc>
      </w:tr>
      <w:tr>
        <w:tblPrEx>
          <w:tblCellMar>
            <w:top w:w="0" w:type="dxa"/>
            <w:left w:w="0" w:type="dxa"/>
            <w:bottom w:w="0" w:type="dxa"/>
            <w:right w:w="0" w:type="dxa"/>
          </w:tblCellMar>
        </w:tblPrEx>
        <w:trPr>
          <w:trHeight w:val="699"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rPr>
            </w:pPr>
          </w:p>
        </w:tc>
        <w:tc>
          <w:tcPr>
            <w:tcW w:w="1614"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水库大坝工程</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水库大坝安全责任制和小型水库防汛“三个责任人”落实情况；大坝安全鉴定为三类，安全管理措施落实情况</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大坝坝身情况，是否有裂缝，造成渗水、漏水严重或出水浑浊现象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大坝有无渗流异常现象或坝体出现流土、漏洞或管涌现象。</w:t>
            </w:r>
          </w:p>
        </w:tc>
      </w:tr>
      <w:tr>
        <w:tblPrEx>
          <w:tblCellMar>
            <w:top w:w="0" w:type="dxa"/>
            <w:left w:w="0" w:type="dxa"/>
            <w:bottom w:w="0" w:type="dxa"/>
            <w:right w:w="0" w:type="dxa"/>
          </w:tblCellMar>
        </w:tblPrEx>
        <w:trPr>
          <w:trHeight w:val="739"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闸门主要承重件有无裂缝、门体止水装置老化或损坏渗漏是否超出规范要求，闸门在启闭过程中是否出现异常振动或卡阻，或有无卷扬式启闭机钢丝绳达到报废标准未报废现象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是否出现泄水建筑物堵塞无法泄洪或行洪设施不符合相关规定和要求等情况</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近坝库岸或者工程边坡是否有失稳征兆</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坝下建筑物与坝体连接部位是否有失稳征兆</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是否存在其他有关法律法规禁止性行为危及工程安全现象</w:t>
            </w:r>
          </w:p>
        </w:tc>
      </w:tr>
      <w:tr>
        <w:tblPrEx>
          <w:tblCellMar>
            <w:top w:w="0" w:type="dxa"/>
            <w:left w:w="0" w:type="dxa"/>
            <w:bottom w:w="0" w:type="dxa"/>
            <w:right w:w="0" w:type="dxa"/>
          </w:tblCellMar>
        </w:tblPrEx>
        <w:trPr>
          <w:trHeight w:val="699"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rPr>
            </w:pPr>
          </w:p>
        </w:tc>
        <w:tc>
          <w:tcPr>
            <w:tcW w:w="1614"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小水电站工程</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涉及水库大坝的参照水库大坝工程；隧洞出现围岩或支护结构是否有严重变形等失稳征兆；压力钢管是否存在严重锈蚀现象，是否按规定进行检测</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厂房防洪标准是否足够；厂房渗水至设备、电器装置；厂区边坡有无失稳征兆</w:t>
            </w:r>
          </w:p>
        </w:tc>
      </w:tr>
      <w:tr>
        <w:tblPrEx>
          <w:tblCellMar>
            <w:top w:w="0" w:type="dxa"/>
            <w:left w:w="0" w:type="dxa"/>
            <w:bottom w:w="0" w:type="dxa"/>
            <w:right w:w="0" w:type="dxa"/>
          </w:tblCellMar>
        </w:tblPrEx>
        <w:trPr>
          <w:trHeight w:val="559"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是否存在三类设备设施，主要发供电设备异常运行已达到规程标准的紧急停运条件而未停止运行</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电站运行是否严格执行“二票三制”</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rPr>
            </w:pPr>
          </w:p>
        </w:tc>
        <w:tc>
          <w:tcPr>
            <w:tcW w:w="1614"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泵站工程</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泵站安全类别综合评定类别，是否为四类。</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水泵机组是否超出扬程范围内运行</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泵站进水前池水位是否低于最低运行水位运行</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rPr>
            </w:pPr>
          </w:p>
        </w:tc>
        <w:tc>
          <w:tcPr>
            <w:tcW w:w="1614"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水闸工程</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三、四类水闸落实安全管理措施情况</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闸门及启闭设备能否满足启闭要求</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仿宋_GB2312"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闸室底板、左右岸、上下游连接段止水系统完好情况</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是否存在有关法律法规禁止性行为危及工程安全的情况</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rPr>
            </w:pPr>
          </w:p>
        </w:tc>
        <w:tc>
          <w:tcPr>
            <w:tcW w:w="1614"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堤防工程</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堤防渗流坡降和覆盖层盖重是否满足标准的要求，工程有无严重渗流异常现象的现象</w:t>
            </w:r>
          </w:p>
        </w:tc>
      </w:tr>
      <w:tr>
        <w:tblPrEx>
          <w:tblCellMar>
            <w:top w:w="0" w:type="dxa"/>
            <w:left w:w="0" w:type="dxa"/>
            <w:bottom w:w="0" w:type="dxa"/>
            <w:right w:w="0" w:type="dxa"/>
          </w:tblCellMar>
        </w:tblPrEx>
        <w:trPr>
          <w:trHeight w:val="679"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穿堤建筑物与堤身结合部是否存在安全隐患且无应急处置措施的状况，堤防及防护结构稳定性是否满足规范要求，是否有危及堤防稳定的现象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是否存在有关法律法规禁止性行为危及工程安全的情况</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rPr>
            </w:pPr>
          </w:p>
        </w:tc>
        <w:tc>
          <w:tcPr>
            <w:tcW w:w="1614"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灌区工程</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渡槽及跨渠建筑物地基有无沉降、超过设计要求现象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渡槽结构主体有无裂缝、碳化破损、止水失效、漏水严重现象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隧洞洞脸边坡是否稳定</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隧洞围岩或支护结构有无严重变形</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渠下涵有无阻水现象，泄流是否畅通</w:t>
            </w:r>
          </w:p>
        </w:tc>
      </w:tr>
      <w:tr>
        <w:tblPrEx>
          <w:tblCellMar>
            <w:top w:w="0" w:type="dxa"/>
            <w:left w:w="0" w:type="dxa"/>
            <w:bottom w:w="0" w:type="dxa"/>
            <w:right w:w="0" w:type="dxa"/>
          </w:tblCellMar>
        </w:tblPrEx>
        <w:trPr>
          <w:trHeight w:val="589"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灌排渠系交叉建筑物（构筑物）连接段，安全评价情况，有无评价为C级且未采取相应措施现象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是否存在高填方或傍山渠坡出现管涌等渗透破坏现象，或塌陷、边坡失稳等现象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rPr>
            </w:pPr>
          </w:p>
        </w:tc>
        <w:tc>
          <w:tcPr>
            <w:tcW w:w="1614"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引调水工程</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钢管是否存在严重锈蚀现象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管道沉降量是否严重</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节制闸、退水闸使用情况，有无失效现象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引调水工程其他隐患内容参照本指南中其他相同或相近工程</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rPr>
            </w:pPr>
          </w:p>
        </w:tc>
        <w:tc>
          <w:tcPr>
            <w:tcW w:w="1614"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淤地坝工程</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大型坝和下游有重要设施的中型坝逐坝落实防汛“三个责任人”情况</w:t>
            </w:r>
          </w:p>
        </w:tc>
      </w:tr>
      <w:tr>
        <w:tblPrEx>
          <w:tblCellMar>
            <w:top w:w="0" w:type="dxa"/>
            <w:left w:w="0" w:type="dxa"/>
            <w:bottom w:w="0" w:type="dxa"/>
            <w:right w:w="0" w:type="dxa"/>
          </w:tblCellMar>
        </w:tblPrEx>
        <w:trPr>
          <w:trHeight w:val="619"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下游有居民点、学校、工矿、交通等重要设施的中型以上坝有无溢洪道；中型以上坝有无放水设施</w:t>
            </w:r>
          </w:p>
        </w:tc>
      </w:tr>
      <w:tr>
        <w:tblPrEx>
          <w:tblCellMar>
            <w:top w:w="0" w:type="dxa"/>
            <w:left w:w="0" w:type="dxa"/>
            <w:bottom w:w="0" w:type="dxa"/>
            <w:right w:w="0" w:type="dxa"/>
          </w:tblCellMar>
        </w:tblPrEx>
        <w:trPr>
          <w:trHeight w:val="78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是否存在坝体有宽度大于5mm的纵横向裂缝；或坝体有深度大于50cm的冲缺；或坝体出现大面积滑坡、塌陷；或坝体出现管涌、流泥、漏洞、渗流异常等现象。</w:t>
            </w:r>
          </w:p>
        </w:tc>
      </w:tr>
      <w:tr>
        <w:tblPrEx>
          <w:tblCellMar>
            <w:top w:w="0" w:type="dxa"/>
            <w:left w:w="0" w:type="dxa"/>
            <w:bottom w:w="0" w:type="dxa"/>
            <w:right w:w="0" w:type="dxa"/>
          </w:tblCellMar>
        </w:tblPrEx>
        <w:trPr>
          <w:trHeight w:val="66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是否存在泄水、放水设施（溢洪道、卧管、竖井、涵洞、涵管等）局部损毁或出现坍塌、断裂、淤堵、掩埋、基部淘刷悬空现象</w:t>
            </w:r>
          </w:p>
        </w:tc>
      </w:tr>
      <w:tr>
        <w:tblPrEx>
          <w:tblCellMar>
            <w:top w:w="0" w:type="dxa"/>
            <w:left w:w="0" w:type="dxa"/>
            <w:bottom w:w="0" w:type="dxa"/>
            <w:right w:w="0" w:type="dxa"/>
          </w:tblCellMar>
        </w:tblPrEx>
        <w:trPr>
          <w:trHeight w:val="454" w:hRule="exact"/>
          <w:tblHeader/>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黑体" w:hAnsi="宋体" w:eastAsia="黑体" w:cs="黑体"/>
                <w:color w:val="000000"/>
                <w:sz w:val="28"/>
                <w:szCs w:val="28"/>
                <w:lang w:bidi="ar"/>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both"/>
              <w:textAlignment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是否存在通往放水设施道路不通；坝体被人为破坏、违法占用，造成安全隐患等现象</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山洪灾害防御</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仿宋_GB2312" w:cs="仿宋_GB2312"/>
                <w:color w:val="000000"/>
                <w:sz w:val="24"/>
                <w:szCs w:val="24"/>
              </w:rPr>
              <w:t>自动雨量（水位）站点有无设备不全或外观损坏现象，经加水测试是否能正常报汛</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自动监测站点报汛值是否有异常情况</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能否查看站点状态，是否能监测到实时降雨</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站点在线率（正常运行站点/全部站点）是否低于90%</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网络是否通畅，网站能否正常访问</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县级平台服务器、交换机、路由器等硬件能否正常运行</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省级平台服能否正常运行，各县能否正常使用监测预警平台</w:t>
            </w:r>
          </w:p>
        </w:tc>
      </w:tr>
      <w:tr>
        <w:tblPrEx>
          <w:tblCellMar>
            <w:top w:w="0" w:type="dxa"/>
            <w:left w:w="0" w:type="dxa"/>
            <w:bottom w:w="0" w:type="dxa"/>
            <w:right w:w="0" w:type="dxa"/>
          </w:tblCellMar>
        </w:tblPrEx>
        <w:trPr>
          <w:trHeight w:val="64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ascii="仿宋_GB2312" w:hAnsi="宋体" w:cs="仿宋_GB2312"/>
                <w:color w:val="000000"/>
                <w:sz w:val="24"/>
                <w:szCs w:val="24"/>
              </w:rPr>
            </w:pPr>
            <w:r>
              <w:rPr>
                <w:rFonts w:hint="eastAsia" w:ascii="仿宋_GB2312" w:hAnsi="宋体" w:cs="仿宋_GB2312"/>
                <w:color w:val="000000"/>
                <w:sz w:val="24"/>
                <w:szCs w:val="24"/>
                <w:lang w:bidi="ar"/>
              </w:rPr>
              <w:t>县级（或省级）平台数据接收软件、应用软件、系统软件等能否正常运行,能否查询到实时水雨情信息</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能否通过监测预警平台或相关平台查询县域内水文气象站点实时监测数据</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现场通过监测预警平台发送预警测试短信，查看预警信息发送情况，责任人能否接收到预警信息</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现场查看平台，检查是否内置责任人姓名、联系方式、预警指标，有无实时更新</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除平台发布预警之外，是否落实传真、电视、广播、微信、政务通、企信通等其他发布渠道</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县级（省级）监测预警平台是否配备UPS、发电机等设备，设备是否存在故障</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是否存在因网络通信费用未及时缴纳导致平台无法访问现象</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现场测试，检查工作人员是否能熟练查询近期雨水情信息,能否熟练发布预警信息</w:t>
            </w:r>
          </w:p>
        </w:tc>
      </w:tr>
      <w:tr>
        <w:tblPrEx>
          <w:tblCellMar>
            <w:top w:w="0" w:type="dxa"/>
            <w:left w:w="0" w:type="dxa"/>
            <w:bottom w:w="0" w:type="dxa"/>
            <w:right w:w="0" w:type="dxa"/>
          </w:tblCellMar>
        </w:tblPrEx>
        <w:trPr>
          <w:trHeight w:val="67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通过查看运行维护合同和运行维护日志等相关材料，检查是否落实专人负责运维管理或通过委托专业机构或购买服务的方式对监测预警设施设备进行维护</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通过查看强降雨过程预警信息发布记录，判断预警是否发送成功</w:t>
            </w:r>
          </w:p>
        </w:tc>
      </w:tr>
      <w:tr>
        <w:tblPrEx>
          <w:tblCellMar>
            <w:top w:w="0" w:type="dxa"/>
            <w:left w:w="0" w:type="dxa"/>
            <w:bottom w:w="0" w:type="dxa"/>
            <w:right w:w="0" w:type="dxa"/>
          </w:tblCellMar>
        </w:tblPrEx>
        <w:trPr>
          <w:trHeight w:val="419"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通过查询、询问等方式，检查预警平台内置的有关责任人是否能收到预警信息</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通过基础电信企业反馈的相关短信发送记录，检查是否向社会公众发布预警信息</w:t>
            </w:r>
          </w:p>
        </w:tc>
      </w:tr>
      <w:tr>
        <w:tblPrEx>
          <w:tblCellMar>
            <w:top w:w="0" w:type="dxa"/>
            <w:left w:w="0" w:type="dxa"/>
            <w:bottom w:w="0" w:type="dxa"/>
            <w:right w:w="0" w:type="dxa"/>
          </w:tblCellMar>
        </w:tblPrEx>
        <w:trPr>
          <w:trHeight w:val="582"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ascii="宋体" w:hAnsi="宋体" w:eastAsia="宋体" w:cs="宋体"/>
                <w:color w:val="000000"/>
                <w:sz w:val="24"/>
                <w:szCs w:val="24"/>
                <w:lang w:bidi="ar"/>
              </w:rPr>
            </w:pPr>
          </w:p>
        </w:tc>
        <w:tc>
          <w:tcPr>
            <w:tcW w:w="1614"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防洪工程设施水毁修复</w:t>
            </w:r>
          </w:p>
        </w:tc>
        <w:tc>
          <w:tcPr>
            <w:tcW w:w="10758"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该项目有无明确水毁修复责任人或联系人,责任人或联系人是否知晓自己责任人或联系人身份及职责</w:t>
            </w:r>
          </w:p>
        </w:tc>
      </w:tr>
      <w:tr>
        <w:tblPrEx>
          <w:tblCellMar>
            <w:top w:w="0" w:type="dxa"/>
            <w:left w:w="0" w:type="dxa"/>
            <w:bottom w:w="0" w:type="dxa"/>
            <w:right w:w="0" w:type="dxa"/>
          </w:tblCellMar>
        </w:tblPrEx>
        <w:trPr>
          <w:trHeight w:val="67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snapToGrid w:val="0"/>
                <w:color w:val="000000"/>
                <w:sz w:val="24"/>
                <w:szCs w:val="24"/>
              </w:rPr>
            </w:pPr>
            <w:r>
              <w:rPr>
                <w:rFonts w:hint="eastAsia" w:ascii="仿宋_GB2312" w:hAnsi="宋体" w:cs="仿宋_GB2312"/>
                <w:snapToGrid w:val="0"/>
                <w:color w:val="000000"/>
                <w:sz w:val="24"/>
                <w:szCs w:val="24"/>
                <w:lang w:bidi="ar"/>
              </w:rPr>
              <w:t>检查水毁修复项目台账建立情况，台账信息应包含项目名称、项目所在地、主要修复内容、计划修复完成日期、项目投入、当前修复进度等</w:t>
            </w:r>
          </w:p>
        </w:tc>
      </w:tr>
      <w:tr>
        <w:tblPrEx>
          <w:tblCellMar>
            <w:top w:w="0" w:type="dxa"/>
            <w:left w:w="0" w:type="dxa"/>
            <w:bottom w:w="0" w:type="dxa"/>
            <w:right w:w="0" w:type="dxa"/>
          </w:tblCellMar>
        </w:tblPrEx>
        <w:trPr>
          <w:trHeight w:val="599"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是否完整准确记录项目名称、项目所在地、主要修复内容、计划完成日期、项目投入、当前修复进度等</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现场施工实际进度与项目台账填报的完成时限是否有较大差距</w:t>
            </w:r>
          </w:p>
        </w:tc>
      </w:tr>
      <w:tr>
        <w:tblPrEx>
          <w:tblCellMar>
            <w:top w:w="0" w:type="dxa"/>
            <w:left w:w="0" w:type="dxa"/>
            <w:bottom w:w="0" w:type="dxa"/>
            <w:right w:w="0" w:type="dxa"/>
          </w:tblCellMar>
        </w:tblPrEx>
        <w:trPr>
          <w:trHeight w:val="719"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现场施工实际进度与台账填报进度是否相符，有无填报已完工、实际未完工，填报已开工、实际至检查时仍未进场施工等现象。</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现场了解施工人员是否知晓施工工期和进度安排，了解能否在规定时间内完成修复任务</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汛前无法完成修复的，是否按要求落实安全度汛责任人，包括姓名、部门、职务、手机号等信息</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询问安全度汛责任人，相关责任人是否了解其所负责项目的安全度汛措施</w:t>
            </w:r>
          </w:p>
        </w:tc>
      </w:tr>
      <w:tr>
        <w:tblPrEx>
          <w:tblCellMar>
            <w:top w:w="0" w:type="dxa"/>
            <w:left w:w="0" w:type="dxa"/>
            <w:bottom w:w="0" w:type="dxa"/>
            <w:right w:w="0" w:type="dxa"/>
          </w:tblCellMar>
        </w:tblPrEx>
        <w:trPr>
          <w:trHeight w:val="64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汛前无法完成修复的，是否制定安全度汛方案，是否明确汛期在工程无法施工的条件下，采取哪些工程和非工程具体措施保证度汛安全</w:t>
            </w:r>
          </w:p>
        </w:tc>
      </w:tr>
      <w:tr>
        <w:tblPrEx>
          <w:tblCellMar>
            <w:top w:w="0" w:type="dxa"/>
            <w:left w:w="0" w:type="dxa"/>
            <w:bottom w:w="0" w:type="dxa"/>
            <w:right w:w="0" w:type="dxa"/>
          </w:tblCellMar>
        </w:tblPrEx>
        <w:trPr>
          <w:trHeight w:val="672"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在建项目是否按工程建设标准施工，或者施工工艺、材料、工程量等不符合相关技术要求，已完工项目有无出现明显质量缺陷</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水工程防洪抗旱调度运用</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有无调度方案（运用计划）</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因工程指标、防洪需要等情况发生变化需修订调度方案（运用计划），是否及时组织修订</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调度方案（运用计划）是否报批</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批复的调度方案（运用计划）是否按规定备案</w:t>
            </w:r>
          </w:p>
        </w:tc>
      </w:tr>
      <w:tr>
        <w:tblPrEx>
          <w:tblCellMar>
            <w:top w:w="0" w:type="dxa"/>
            <w:left w:w="0" w:type="dxa"/>
            <w:bottom w:w="0" w:type="dxa"/>
            <w:right w:w="0" w:type="dxa"/>
          </w:tblCellMar>
        </w:tblPrEx>
        <w:trPr>
          <w:trHeight w:val="689"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已批复的调度方案（运用计划）除规定汛限水位或其他简单信息，有无具体调度方式、调度权限等，是否具备可操作性</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发生调度方案（运用计划）规定的洪水过程，是否下达调度指令进行调度</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是否履行会商决策程序、报上级调度部门批准或备案，下达的调度指令是否遵守调度方案（运用计划）</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有预泄调度措施要求的是否根据考虑未来降雨的入库洪水预报及时预泄调度</w:t>
            </w:r>
          </w:p>
        </w:tc>
      </w:tr>
      <w:tr>
        <w:tblPrEx>
          <w:tblCellMar>
            <w:top w:w="0" w:type="dxa"/>
            <w:left w:w="0" w:type="dxa"/>
            <w:bottom w:w="0" w:type="dxa"/>
            <w:right w:w="0" w:type="dxa"/>
          </w:tblCellMar>
        </w:tblPrEx>
        <w:trPr>
          <w:trHeight w:val="726"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有无书面正式调度指令（若电话实时调度，如有实时调度指令信息记录且事后及时补发正式书面调令也可）</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调度指令有无抄送受影响的地区和单位</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调度指令中的时间、流量、水位等控制性参数或操作方式是否明确</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是否存在拒不执行汛期调度方案（运用计划）、规程规范和调度指令、有关文件等现象</w:t>
            </w:r>
          </w:p>
        </w:tc>
      </w:tr>
      <w:tr>
        <w:tblPrEx>
          <w:tblCellMar>
            <w:top w:w="0" w:type="dxa"/>
            <w:left w:w="0" w:type="dxa"/>
            <w:bottom w:w="0" w:type="dxa"/>
            <w:right w:w="0" w:type="dxa"/>
          </w:tblCellMar>
        </w:tblPrEx>
        <w:trPr>
          <w:trHeight w:val="64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是否严格按照汛期调度方案（运用计划）、规程规范和调度指令或有关文件进行防洪、抗旱或应急水量调度</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调度指令执行情况未是否按要求反馈</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是否按规定要求将调度信息及时通报可能受影响的相关部门和上下游地区</w:t>
            </w:r>
          </w:p>
        </w:tc>
      </w:tr>
      <w:tr>
        <w:tblPrEx>
          <w:tblCellMar>
            <w:top w:w="0" w:type="dxa"/>
            <w:left w:w="0" w:type="dxa"/>
            <w:bottom w:w="0" w:type="dxa"/>
            <w:right w:w="0" w:type="dxa"/>
          </w:tblCellMar>
        </w:tblPrEx>
        <w:trPr>
          <w:trHeight w:val="650"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实时运行及调度信息是否按照规定报送水工程主管部门（单位）和上级水行政主管部门以及相关水文单位</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泄洪（蓄水）时按要求需要向上下游邻近地区发出预警信息的，有无发送预警</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是否记录调度信息、调度信息记录是否存在不规范不完整现象、记录与实际调度情况是否相符</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是否按《水文站网管理办法》第十五条规定设立专用水文测站开展水文监测</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是否按规定要求将监测信息报送上级水行政主管部门以及相关水文单位</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发生突发事件影响防洪、抗旱或应急水量正常调度，是否及时报告或跟踪处理</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jc w:val="center"/>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是否及时整改以往监督检查发现的问题</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textAlignment w:val="center"/>
              <w:rPr>
                <w:rFonts w:hint="eastAsia" w:ascii="宋体" w:hAnsi="宋体" w:eastAsia="宋体" w:cs="宋体"/>
                <w:color w:val="000000"/>
                <w:sz w:val="24"/>
                <w:szCs w:val="24"/>
                <w:lang w:bidi="ar"/>
              </w:rPr>
            </w:pPr>
          </w:p>
        </w:tc>
        <w:tc>
          <w:tcPr>
            <w:tcW w:w="1614"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center"/>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汛限水位执行</w:t>
            </w: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设计洪水发生变化，是否组织设计单位研究提出汛限水位调整意见，并报有审批权限单位批准</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工程状况发生变化，是否组织设计单位研究提出汛限水位调整意见，并报有审批权限单位批准</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工程运行条件发生变化，是否组织设计单位研究提出汛限水位调整意见并报有审批权限单位批准</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汛前是否复核汛限水位</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汛前是否向有管辖权的监督管理单位上报经审定的汛限水位</w:t>
            </w:r>
          </w:p>
        </w:tc>
      </w:tr>
      <w:tr>
        <w:tblPrEx>
          <w:tblCellMar>
            <w:top w:w="0" w:type="dxa"/>
            <w:left w:w="0" w:type="dxa"/>
            <w:bottom w:w="0" w:type="dxa"/>
            <w:right w:w="0" w:type="dxa"/>
          </w:tblCellMar>
        </w:tblPrEx>
        <w:trPr>
          <w:trHeight w:val="63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是否按照管理权限汇总上报的汛限水位，并录入信息系统,报上一级水行政主管部门或流域管理机构备案</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是否按规定上报实时水情、工情信息</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是否存在无调蓄洪水过程擅自超汛限水位运行现象</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汛限水位以上防洪库容调度运用是否按照防洪调度指令执行</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是否存在调蓄洪水过程长时间在汛限水位以上运行，经分析论证水库水位回落过程不合理现象</w:t>
            </w:r>
          </w:p>
        </w:tc>
      </w:tr>
      <w:tr>
        <w:tblPrEx>
          <w:tblCellMar>
            <w:top w:w="0" w:type="dxa"/>
            <w:left w:w="0" w:type="dxa"/>
            <w:bottom w:w="0" w:type="dxa"/>
            <w:right w:w="0" w:type="dxa"/>
          </w:tblCellMar>
        </w:tblPrEx>
        <w:trPr>
          <w:trHeight w:val="454" w:hRule="exact"/>
          <w:jc w:val="center"/>
        </w:trPr>
        <w:tc>
          <w:tcPr>
            <w:tcW w:w="1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numPr>
                <w:ilvl w:val="0"/>
                <w:numId w:val="1"/>
              </w:numPr>
              <w:tabs>
                <w:tab w:val="left" w:pos="0"/>
              </w:tabs>
              <w:kinsoku/>
              <w:wordWrap/>
              <w:overflowPunct/>
              <w:topLinePunct w:val="0"/>
              <w:autoSpaceDE/>
              <w:autoSpaceDN/>
              <w:bidi w:val="0"/>
              <w:adjustRightInd/>
              <w:spacing w:line="560" w:lineRule="exact"/>
              <w:ind w:firstLineChars="0"/>
              <w:jc w:val="center"/>
              <w:rPr>
                <w:rFonts w:hint="eastAsia" w:ascii="宋体" w:hAnsi="宋体" w:eastAsia="宋体" w:cs="宋体"/>
                <w:color w:val="000000"/>
                <w:sz w:val="24"/>
                <w:szCs w:val="24"/>
              </w:rPr>
            </w:pPr>
          </w:p>
        </w:tc>
        <w:tc>
          <w:tcPr>
            <w:tcW w:w="161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480"/>
              <w:rPr>
                <w:rFonts w:hint="eastAsia" w:ascii="仿宋_GB2312" w:hAnsi="宋体" w:cs="仿宋_GB2312"/>
                <w:color w:val="000000"/>
                <w:sz w:val="24"/>
                <w:szCs w:val="24"/>
              </w:rPr>
            </w:pPr>
          </w:p>
        </w:tc>
        <w:tc>
          <w:tcPr>
            <w:tcW w:w="10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ind w:firstLine="0" w:firstLineChars="0"/>
              <w:jc w:val="both"/>
              <w:textAlignment w:val="center"/>
              <w:rPr>
                <w:rFonts w:hint="eastAsia" w:ascii="仿宋_GB2312" w:hAnsi="宋体" w:cs="仿宋_GB2312"/>
                <w:color w:val="000000"/>
                <w:sz w:val="24"/>
                <w:szCs w:val="24"/>
              </w:rPr>
            </w:pPr>
            <w:r>
              <w:rPr>
                <w:rFonts w:hint="eastAsia" w:ascii="仿宋_GB2312" w:hAnsi="宋体" w:cs="仿宋_GB2312"/>
                <w:color w:val="000000"/>
                <w:sz w:val="24"/>
                <w:szCs w:val="24"/>
                <w:lang w:bidi="ar"/>
              </w:rPr>
              <w:t>汛期，当水库发生险情影响防洪安全时，是否降低水位运行</w:t>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560" w:lineRule="exact"/>
        <w:ind w:firstLine="5120" w:firstLineChars="1600"/>
        <w:jc w:val="both"/>
        <w:textAlignment w:val="auto"/>
        <w:rPr>
          <w:rFonts w:hint="eastAsia" w:ascii="仿宋" w:hAnsi="仿宋" w:eastAsia="仿宋" w:cs="仿宋"/>
          <w:sz w:val="32"/>
          <w:szCs w:val="40"/>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90544"/>
    <w:multiLevelType w:val="singleLevel"/>
    <w:tmpl w:val="B839054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B6B0D"/>
    <w:rsid w:val="474B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仿宋" w:hAnsi="仿宋" w:eastAsia="仿宋" w:cs="Times New Roman"/>
      <w:kern w:val="2"/>
      <w:sz w:val="21"/>
      <w:szCs w:val="22"/>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2021-12-07T01:02:00Z</dcterms:created>
  <dc:creator>Administrator</dc:creator>
  <cp:lastModifiedBy>Administrator</cp:lastModifiedBy>
  <dcterms:modified xsi:type="dcterms:W3CDTF">2021-12-07T01:03:51Z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5D8102CBFF0A475898841E068CF86E6C</vt:lpwstr>
  </property>
</Properties>
</file>