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98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20"/>
        <w:gridCol w:w="1511"/>
        <w:gridCol w:w="3962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市级财政部门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吕梁市财政局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市级主管部门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巩固提升有机旱作现代农业示范园区（个）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大豆玉米复合种植面积（万亩）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净作大豆种植面积（万亩）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油料单产提升种植面积（万亩）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“临县驴”购买数量（头）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2024年加厚高强度地膜的回收（万亩）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2025年地膜回收设备购置（台、套）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无害化处理收集暂存点（个）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建设畜禽标准化养殖场（个）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建设养殖面积80亩以上的大闸蟹特色水产养殖场（个）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展销店奖补数量（个）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惠民体餐饮体验店奖补数量（个）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认证产品（个）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规模养殖场数量（个）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加厚高强度地膜回收率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地膜回收站设备购置合格率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春秋防免疫抗体合格率（除布病外）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春秋防养殖场户免疫密度合格率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依法对重大动物疫情处置率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畜禽标准化养殖场建设项目验收合格率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发生重大动物疫情时及时报告率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有机旱作园区亩均增产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重大动物疫情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畜牧业标准化生产水平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“吕梁山土特产”知名度和影响力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病死猪造成环境污染情况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畜产品质量安全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得到保障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农田"白色污染"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渔业可持续发展能力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服务对象满意度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吕梁市财政局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市级主管部门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318.54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巩固提升有机旱作现代农业示范园区（个）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大豆玉米复合种植面积（万亩）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净作大豆种植面积（万亩）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油料单产提升种植面积（万亩）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围绕4000亩谷子良种购置种子包装设备（台、套）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爆裂玉米示范片种植面积（片、亩）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1片40亩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购买高效植保机械（台、套）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建设畜禽标准化养殖场数量（个）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（猪场）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认证产品数量（个）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惠民体餐饮体验店奖补数量（个）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植保机械日作业能力（亩）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畜禽标准化养殖场建设项目验收合格率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植保机械购买价格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不高于市场价格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经济效益成本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农作物病虫害损失率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有机旱作园区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亩均增产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畜牧业标准化生产水平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农作物病虫害防治能力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岚县2025年市级农业农村重点项目资金绩效目标表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巩固提升有机旱作现代农业示范园区（个）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新建高标准农田建设面积（万亩）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畜禽种业基地提升数量（个）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引进公羊家系（个）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2025年加厚高强度地膜使用回收面积（万亩）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2025年全生物降解膜推广应用面积（万亩）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2024年、2025年加厚高强度地膜的回收面积（万亩）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建设畜禽标准化养殖场（个）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升级改造饲草收储加工企业年加工收储饲草量（吨）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≥3000吨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规模养殖场数量（个）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全生物降解膜铺膜合格率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加厚高强度地膜回收率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畜禽标准化养殖场建设项目验收合格率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有机旱作园区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亩均增产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改良地方品种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农田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白色污染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有效治理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畜牧业标准化生产水平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方山县2025年市级农业农村重点项目资金绩效目标表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巩固提升有机旱作现代农业示范园区（个）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大豆玉米复合种植面积（万亩）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2025年加厚高强度地膜使用回收面积（万亩）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2025年全生物降解膜推广应用面积（万亩）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2024年、2025年加厚高强度地膜的回收面积（万亩）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2025年地膜回收设备购置数（台、套）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2024年1-9月病死猪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（头）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月病死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牛（头）羊（只）禽类（公斤）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猪3481、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103、羊28、禽类19056.4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新型抗旱保水缓控释剂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建设畜禽标准化养殖场个数（个）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升级改造饲草收储加工企业年加工收储饲草量（吨）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≥3000吨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无害化处理收集暂存点（个）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认证产品（个）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全生物降解膜铺膜合格率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加厚高强度地膜回收率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回收设备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合格产品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无害化处理率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畜禽标准化养殖场建设项目验收合格率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本地蔬菜瓜果种植户和养殖户的经济收入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有机旱作园区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亩均增产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重大动物疫情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大规模随意抛弃病死畜禽事件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畜牧业标准化生产水平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畜产品质量安全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得到保障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病死猪造成环境污染情况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全面增强农垦内生动力、发展活力和整体实力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干部职工队伍稳定、生产稳定、社会稳定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农田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白色污染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有效治理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离石区2025年市级农业农村重点项目资金绩效目标表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巩固提升有机旱作现代农业示范园区（个）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玉米新品种种植面积（亩）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≥200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全生物降解地膜推广应用面积（万亩）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引进公羊家系（个）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2024年1-9月病死猪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（头）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购买高效植保机械（台、套）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展销店奖补数量（个）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认证产品（个）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建设智慧化养殖系统（个）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规模养殖场数量（个）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农作物病虫害绿色防控暨农药减量增效示范基地面积（亩）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铺膜合格率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无害化处理率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植保机械日作业能力（亩）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机械、药剂购买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不高于市场价格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植保机械购买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不高于市场价格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有机旱作园区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亩均增产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改良地方品种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大规模随意抛弃病死畜禽事件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农田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白色污染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有效治理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农作物病虫害防治能力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柳林县2025年市级农业农村重点项目资金绩效目标表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大豆玉米复合种植面积（万亩）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小麦种植面积（万亩）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2024年加厚高强度地膜的回收（万亩）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2025年回收设备购置（台、套）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2024年1-9月病死猪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（头）、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月病死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牛（头）羊（只）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猪7273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1、羊55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购买高效植保机械（台、套）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建设畜禽标准化养殖场（个）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农作物病虫害绿色防控暨农药减量增效示范基地面积（亩）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展销店奖补数量（个）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认证产品（个）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加厚高强度地膜回收率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回收设备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合格产品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无害化处理率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植保机械日作业能力（亩）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畜禽标准化养殖场建设项目验收合格率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机械、药剂购买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不高于市场价格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植保机械购买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不高于市场价格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农作物病虫害损失率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畜牧业标准化生产水平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大规模随意抛弃病死畜禽事件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农田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白色污染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有效治理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农作物病虫害防治能力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石楼县2025年市级农业农村重点项目资金绩效目标表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小麦种植面积（万亩）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0.6439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新建高标准农田面积（万亩）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2025年加厚高强度地膜使用回收面积（万亩）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2025年全生物降解膜推广应用面积（万亩）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2024年、2025年加厚高强度地膜的回收面积（万亩）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2025年地膜回收设备购置（台、套）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2024年1-9月病死猪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（头）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建设畜禽标准化养殖场（个）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建设养殖智慧系统（套）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规模养殖场数量（个）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全生物降解膜铺膜合格率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加厚高强度地膜回收率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回收设备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合格产品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无害化处理率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畜禽标准化养殖场建设项目验收合格率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畜牧业标准化生产水平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大规模随意抛弃病死畜禽事件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农田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白色污染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"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有效治理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交口县2025年市级农业农村重点项目资金绩效目标表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小麦种植面积（万亩）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无害化处理厂（个）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2024年1-9月病死猪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（头）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2024年1-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月病死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牛（头）、羊（只）、死胎胎衣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(处理量折合)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猪12675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、牛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51、羊59、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死胎胎衣折合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1870头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升级改造饲草收储加工企业年加工收储饲草量（吨）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认证产品（个）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建设肉牛智慧化养殖系统（套）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无害化处理率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养殖环境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持续改善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大规模随意抛弃病死畜禽事件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重大动物疫情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病死猪造成环境污染情况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畜产品质量安全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得到保障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9"/>
        <w:tblW w:w="88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506"/>
        <w:gridCol w:w="1022"/>
        <w:gridCol w:w="1935"/>
        <w:gridCol w:w="3493"/>
        <w:gridCol w:w="1935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0" w:hRule="atLeast"/>
        </w:trPr>
        <w:tc>
          <w:tcPr>
            <w:tcW w:w="889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中阳县2025年市级农业农村重点项目资金绩效目标表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5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巩固提升有机旱作现代农业示范园区（个）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净作大豆种植面积（面积）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油料单产提升种植面积（面积）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改造黑山羊圈舍设施面积（面积）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≥380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2024年1-9月病死猪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（头）、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月病死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禽类（公斤）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猪3334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、禽类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爆裂玉米示范片种植面积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1片40亩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购买高效植保机械（台、套）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建设畜禽标准化养殖场（个）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认证产品（个）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规模养殖场数量（个）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无害化处理率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植保机械日作业能力（亩）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畜禽标准化养殖场建设项目验收合格率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农作物病虫害损失率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植保机械购买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不高于市场价格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有机旱作园区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亩均增产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大规模随意抛弃病死畜禽事件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黑山羊群体数量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不断壮大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畜牧业标准化生产水平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农作物病虫害防治能力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200" w:hRule="atLeast"/>
        </w:trPr>
        <w:tc>
          <w:tcPr>
            <w:tcW w:w="889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交城县2025年市级农业农村重点项目资金绩效目标表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1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1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巩固提升有机旱作现代农业示范园区（个）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大豆玉米复合种植面积（万亩）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小麦种植面积（万亩）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2024年1-9月病死猪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（头）、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2024年1-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月病死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禽类（公斤）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猪980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禽类400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农作物病虫害绿色防控暨农药减量增效示范基地面积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建设智慧化种植系统（套）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规模养殖场数量（个）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无害化处理率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机械、药剂购买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不高于市场价格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有机旱作园区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亩均增产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大规模随意抛弃病死畜禽事件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97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48" w:hRule="atLeast"/>
        </w:trPr>
        <w:tc>
          <w:tcPr>
            <w:tcW w:w="889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文水县2025年市级农业农村重点项目资金绩效目标表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1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1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巩固提升有机旱作现代农业示范园区（个）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大豆玉米复合种植面积（万亩）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小麦种植面积（万亩）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配套2024年高标准农田建设面积（万亩）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农作物制种基地面积（亩）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无害化处理厂（个）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2024年1-9月病死猪（头）、2024年1-12月病死牛（头）羊（只）禽类（公斤）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猪5013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185、羊35、禽类734741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爆裂玉米示范片种植面积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1片40亩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建设畜禽标准化养殖场数量（个）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建设工厂化循环水养鱼项目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开展脆鲷试验研究项目（个）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建设养殖规模200亩以上的标准化池塘（个）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展销店奖补数量（个）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认证产品（个）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无害化处理率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畜禽标准化养殖场建设项目验收合格率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本地蔬菜瓜果种植户和养殖户的经济收入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有机旱作园区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亩均增产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重大动物疫情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大规模随意抛弃病死畜禽事件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畜牧业标准化生产水平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渔业可持续发展能力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病死猪造成环境污染情况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畜产品质量安全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得到保障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67" w:hRule="atLeast"/>
        </w:trPr>
        <w:tc>
          <w:tcPr>
            <w:tcW w:w="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95" w:hRule="atLeast"/>
        </w:trPr>
        <w:tc>
          <w:tcPr>
            <w:tcW w:w="889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汾阳市2025年市级农业农村重点项目资金绩效目标表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1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1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巩固提升有机旱作现代农业示范园区（个）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大豆玉米复合种植面积（万亩）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小麦种植面积（万亩）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0.6244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无害化处理厂个数（个）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2024年1-9月病死猪（头）、2024年1-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月病死牛（头）羊（只）禽类（公斤）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猪10168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236、羊650、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禽类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915759.58公斤、不可食用三腺折合259头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新型抗旱保水缓控释剂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建设畜禽标准化养殖场（个）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建设工厂化循环水养鱼项目（个）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展销店奖补数量（个）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认证产品（个）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无害化处理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畜禽标准化养殖场养殖场项目验收合格率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本地蔬菜瓜果种植户和养殖户的经济收入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有机旱作园区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亩均增产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大规模随意抛弃病死畜禽事件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重大动物疫情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畜牧业标准化生产水平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渔业可持续发展能力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病死猪造成环境污染情况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畜产品质量安全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得到保障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5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998" w:hRule="atLeast"/>
        </w:trPr>
        <w:tc>
          <w:tcPr>
            <w:tcW w:w="889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孝义市2025年市级农业农村重点项目资金绩效目标表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2025年市级农业农村重点项目资金（除农村人居环境整治提升项目）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吕梁市财政局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1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1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巩固提升有机旱作现代农业示范园区（个）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大豆玉米种植面积（万亩）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小麦种植面积（万亩）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净作大豆种植面积（万亩）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油料单产提升种植面积（万亩）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农作物病虫害绿色防控暨农药减量增效示范基地面积（亩）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建设畜禽标准化养殖场数量（个）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认证产品（个）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惠民体餐饮体验店奖补数量（个）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春秋防免疫抗体合格率（除布病外）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春秋防养殖场户免疫密度合格率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依法对重大动物疫情处置率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畜禽标准化养殖场建设项目验收合格率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发生重大动物疫情时及时报告率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机械、药剂购买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不高于市场价格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有机旱作园区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亩均增产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畜牧业可持续发展能力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“吕梁山土特产”知名度和影响力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" w:rightChars="0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  <w:u w:val="thick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/>
        </w:rPr>
        <w:sectPr>
          <w:footerReference r:id="rId3" w:type="default"/>
          <w:pgSz w:w="11906" w:h="16838"/>
          <w:pgMar w:top="2098" w:right="1474" w:bottom="1984" w:left="1587" w:header="907" w:footer="1134" w:gutter="0"/>
          <w:pgNumType w:fmt="decimal" w:start="10"/>
          <w:cols w:space="720" w:num="1"/>
          <w:docGrid w:type="lines"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5591175" cy="19050"/>
                <wp:effectExtent l="0" t="9525" r="952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38860" y="8604885"/>
                          <a:ext cx="55911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2pt;margin-top:-0.2pt;height:1.5pt;width:440.25pt;z-index:251659264;mso-width-relative:page;mso-height-relative:page;" filled="f" stroked="t" coordsize="21600,21600" o:gfxdata="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gU/kZdMAAAAEAQAADwAAAAAAAAABACAAAAA4&#10;AAAAZHJzL2Rvd25yZXYueG1sUEsBAhQAFAAAAAgAh07iQGvG9Q/5AQAAzAMAAA4AAAAAAAAAAQAg&#10;AAAAOAEAAGRycy9lMm9Eb2MueG1sUEsFBgAAAAAGAAYAWQEAAKM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  <w:u w:val="thick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thick"/>
          <w:shd w:val="clear" w:color="auto" w:fill="auto"/>
          <w:lang w:val="en-US" w:eastAsia="zh-CN"/>
        </w:rPr>
        <w:t>中共吕梁市委农村工作领导小组办公室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 xml:space="preserve">  </w:t>
      </w:r>
    </w:p>
    <w:p>
      <w:pPr>
        <w:spacing w:line="640" w:lineRule="exact"/>
        <w:rPr>
          <w:rFonts w:ascii="仿宋_GB2312" w:hAnsi="楷体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474" w:bottom="1440" w:left="1587" w:header="851" w:footer="992" w:gutter="0"/>
      <w:pgNumType w:fmt="decimal" w:start="9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-273685</wp:posOffset>
              </wp:positionV>
              <wp:extent cx="965200" cy="5194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0" cy="519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55pt;height:40.9pt;width:76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BvTy7U1gAAAAcBAAAPAAAAAAAA&#10;AAEAIAAAADgAAABkcnMvZG93bnJldi54bWxQSwECFAAUAAAACACHTuJAB5MYwTcCAABhBAAADgAA&#10;AAAAAAABACAAAAA7AQAAZHJzL2Uyb0RvYy54bWxQSwUGAAAAAAYABgBZAQAA5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-273685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5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mJhq2dYAAAAIAQAADwAAAAAAAAABACAA&#10;AAA4AAAAZHJzL2Rvd25yZXYueG1sUEsBAhQAFAAAAAgAh07iQOGA044yAgAAYQQAAA4AAAAAAAAA&#10;AQAgAAAAOw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ThmZDg1YzJhYWQ1YTU2OTlhNDU0MTYxZTZiMjYifQ=="/>
  </w:docVars>
  <w:rsids>
    <w:rsidRoot w:val="00437827"/>
    <w:rsid w:val="00011B9B"/>
    <w:rsid w:val="00032A7C"/>
    <w:rsid w:val="00041393"/>
    <w:rsid w:val="00126375"/>
    <w:rsid w:val="00170267"/>
    <w:rsid w:val="001820A0"/>
    <w:rsid w:val="001978CE"/>
    <w:rsid w:val="001C0BC2"/>
    <w:rsid w:val="001E4E16"/>
    <w:rsid w:val="00223295"/>
    <w:rsid w:val="00223FDB"/>
    <w:rsid w:val="00240F68"/>
    <w:rsid w:val="002768D0"/>
    <w:rsid w:val="002A2844"/>
    <w:rsid w:val="00313B35"/>
    <w:rsid w:val="00322E5F"/>
    <w:rsid w:val="003231CE"/>
    <w:rsid w:val="0035504E"/>
    <w:rsid w:val="00361552"/>
    <w:rsid w:val="0036560F"/>
    <w:rsid w:val="00371F3A"/>
    <w:rsid w:val="003C558C"/>
    <w:rsid w:val="00403109"/>
    <w:rsid w:val="004170C6"/>
    <w:rsid w:val="00437827"/>
    <w:rsid w:val="00445648"/>
    <w:rsid w:val="00471E08"/>
    <w:rsid w:val="004C6A4B"/>
    <w:rsid w:val="004F15BA"/>
    <w:rsid w:val="00500EAE"/>
    <w:rsid w:val="005451DB"/>
    <w:rsid w:val="00566F42"/>
    <w:rsid w:val="005A5CA7"/>
    <w:rsid w:val="005F40FE"/>
    <w:rsid w:val="00656894"/>
    <w:rsid w:val="00700299"/>
    <w:rsid w:val="00723B91"/>
    <w:rsid w:val="00735977"/>
    <w:rsid w:val="007461CA"/>
    <w:rsid w:val="007919E3"/>
    <w:rsid w:val="007A0968"/>
    <w:rsid w:val="007D1CD0"/>
    <w:rsid w:val="007E4772"/>
    <w:rsid w:val="008262E8"/>
    <w:rsid w:val="00902989"/>
    <w:rsid w:val="0095428B"/>
    <w:rsid w:val="00970CB5"/>
    <w:rsid w:val="009A1D22"/>
    <w:rsid w:val="009B0A9A"/>
    <w:rsid w:val="009C30CE"/>
    <w:rsid w:val="009E66A4"/>
    <w:rsid w:val="009F7D7A"/>
    <w:rsid w:val="00A110C0"/>
    <w:rsid w:val="00A15780"/>
    <w:rsid w:val="00A51BAF"/>
    <w:rsid w:val="00A829C7"/>
    <w:rsid w:val="00AA4EC3"/>
    <w:rsid w:val="00AB5C42"/>
    <w:rsid w:val="00AD66D7"/>
    <w:rsid w:val="00B37965"/>
    <w:rsid w:val="00B6179E"/>
    <w:rsid w:val="00B63EC8"/>
    <w:rsid w:val="00BF378E"/>
    <w:rsid w:val="00C23C0E"/>
    <w:rsid w:val="00C67C7A"/>
    <w:rsid w:val="00CC547E"/>
    <w:rsid w:val="00D00923"/>
    <w:rsid w:val="00D120B8"/>
    <w:rsid w:val="00D73D58"/>
    <w:rsid w:val="00DA2794"/>
    <w:rsid w:val="00DA4E65"/>
    <w:rsid w:val="00E12DD8"/>
    <w:rsid w:val="00E22ACA"/>
    <w:rsid w:val="00E67126"/>
    <w:rsid w:val="00EA1DC5"/>
    <w:rsid w:val="00EA4DEC"/>
    <w:rsid w:val="00EB41BF"/>
    <w:rsid w:val="00EB6C48"/>
    <w:rsid w:val="00EE2B01"/>
    <w:rsid w:val="00EE39C1"/>
    <w:rsid w:val="00EF5BAB"/>
    <w:rsid w:val="00F12CAE"/>
    <w:rsid w:val="00FE45A7"/>
    <w:rsid w:val="00FE5A12"/>
    <w:rsid w:val="01CA0929"/>
    <w:rsid w:val="0288628B"/>
    <w:rsid w:val="02DB42EE"/>
    <w:rsid w:val="03941DB4"/>
    <w:rsid w:val="044C3C18"/>
    <w:rsid w:val="04980EC8"/>
    <w:rsid w:val="06DC16CC"/>
    <w:rsid w:val="08A2225A"/>
    <w:rsid w:val="0991384E"/>
    <w:rsid w:val="09B03715"/>
    <w:rsid w:val="0A7C2CE0"/>
    <w:rsid w:val="0BC02878"/>
    <w:rsid w:val="0C6270DC"/>
    <w:rsid w:val="0F4259EC"/>
    <w:rsid w:val="125F7835"/>
    <w:rsid w:val="16331CA7"/>
    <w:rsid w:val="17B50C8D"/>
    <w:rsid w:val="187354CD"/>
    <w:rsid w:val="18DD3D59"/>
    <w:rsid w:val="194B77B8"/>
    <w:rsid w:val="1B6C050B"/>
    <w:rsid w:val="1F7B4F40"/>
    <w:rsid w:val="1FDC44F4"/>
    <w:rsid w:val="20653B1B"/>
    <w:rsid w:val="20A16984"/>
    <w:rsid w:val="20FA1814"/>
    <w:rsid w:val="22A35B15"/>
    <w:rsid w:val="22EA50B4"/>
    <w:rsid w:val="24921BA3"/>
    <w:rsid w:val="249315B1"/>
    <w:rsid w:val="25521536"/>
    <w:rsid w:val="25D91437"/>
    <w:rsid w:val="26B40852"/>
    <w:rsid w:val="26B7500F"/>
    <w:rsid w:val="29095CD0"/>
    <w:rsid w:val="2992608E"/>
    <w:rsid w:val="2B7D7D9D"/>
    <w:rsid w:val="2DDDB951"/>
    <w:rsid w:val="2E463F14"/>
    <w:rsid w:val="309300E2"/>
    <w:rsid w:val="310D1841"/>
    <w:rsid w:val="33EF10AC"/>
    <w:rsid w:val="33EFA3F2"/>
    <w:rsid w:val="34B05F55"/>
    <w:rsid w:val="35D66B9B"/>
    <w:rsid w:val="3728657F"/>
    <w:rsid w:val="3738367E"/>
    <w:rsid w:val="37CE71AF"/>
    <w:rsid w:val="37F7D737"/>
    <w:rsid w:val="37FE7E79"/>
    <w:rsid w:val="37FFB911"/>
    <w:rsid w:val="380077F4"/>
    <w:rsid w:val="393D3751"/>
    <w:rsid w:val="3A17392F"/>
    <w:rsid w:val="3AD323EA"/>
    <w:rsid w:val="3B0D0285"/>
    <w:rsid w:val="3B1063DC"/>
    <w:rsid w:val="3BDBEDB3"/>
    <w:rsid w:val="3C3A14F3"/>
    <w:rsid w:val="3D0C359F"/>
    <w:rsid w:val="3DFA466F"/>
    <w:rsid w:val="3DFDF0DA"/>
    <w:rsid w:val="3E4F0063"/>
    <w:rsid w:val="3ECA050A"/>
    <w:rsid w:val="3F1B2B96"/>
    <w:rsid w:val="3FBE72A4"/>
    <w:rsid w:val="3FDD9ADC"/>
    <w:rsid w:val="3FFD9326"/>
    <w:rsid w:val="4046036F"/>
    <w:rsid w:val="40B6302F"/>
    <w:rsid w:val="413419BF"/>
    <w:rsid w:val="41F46B97"/>
    <w:rsid w:val="420564C7"/>
    <w:rsid w:val="42555220"/>
    <w:rsid w:val="426B03E6"/>
    <w:rsid w:val="42FB8675"/>
    <w:rsid w:val="44312D81"/>
    <w:rsid w:val="46F66357"/>
    <w:rsid w:val="48BA376D"/>
    <w:rsid w:val="4A841498"/>
    <w:rsid w:val="4ABB98B2"/>
    <w:rsid w:val="4AD17BA1"/>
    <w:rsid w:val="4C391022"/>
    <w:rsid w:val="4DBCF127"/>
    <w:rsid w:val="4F2236FC"/>
    <w:rsid w:val="509E2B0C"/>
    <w:rsid w:val="50F8264E"/>
    <w:rsid w:val="52A9215F"/>
    <w:rsid w:val="53DF371D"/>
    <w:rsid w:val="541F2681"/>
    <w:rsid w:val="556F779D"/>
    <w:rsid w:val="57A057F0"/>
    <w:rsid w:val="57EA7E23"/>
    <w:rsid w:val="59CE2DF6"/>
    <w:rsid w:val="5C23580A"/>
    <w:rsid w:val="5C494F94"/>
    <w:rsid w:val="5CBCCF18"/>
    <w:rsid w:val="5CCA3E9E"/>
    <w:rsid w:val="5D2835E9"/>
    <w:rsid w:val="5DA70BE1"/>
    <w:rsid w:val="5DBF291A"/>
    <w:rsid w:val="61575656"/>
    <w:rsid w:val="656F6FA7"/>
    <w:rsid w:val="677E16DB"/>
    <w:rsid w:val="67E310E5"/>
    <w:rsid w:val="69204D3E"/>
    <w:rsid w:val="693F5039"/>
    <w:rsid w:val="69EE1440"/>
    <w:rsid w:val="69F2401A"/>
    <w:rsid w:val="6AA53325"/>
    <w:rsid w:val="6BBFF572"/>
    <w:rsid w:val="6CC6075A"/>
    <w:rsid w:val="6CFF74B3"/>
    <w:rsid w:val="6DA161F4"/>
    <w:rsid w:val="6DD96A77"/>
    <w:rsid w:val="6DF710BD"/>
    <w:rsid w:val="6F1E4912"/>
    <w:rsid w:val="6F52156F"/>
    <w:rsid w:val="6FB524F0"/>
    <w:rsid w:val="6FB86BF8"/>
    <w:rsid w:val="6FC7023F"/>
    <w:rsid w:val="6FEF964E"/>
    <w:rsid w:val="700F0CD0"/>
    <w:rsid w:val="703B6A30"/>
    <w:rsid w:val="70E632C0"/>
    <w:rsid w:val="71ADB7C9"/>
    <w:rsid w:val="723A4ABE"/>
    <w:rsid w:val="72B93408"/>
    <w:rsid w:val="737D00A8"/>
    <w:rsid w:val="762322C6"/>
    <w:rsid w:val="76402844"/>
    <w:rsid w:val="76835EC9"/>
    <w:rsid w:val="76BB132F"/>
    <w:rsid w:val="76BB3E68"/>
    <w:rsid w:val="76F53865"/>
    <w:rsid w:val="77FBDFF7"/>
    <w:rsid w:val="78B345B6"/>
    <w:rsid w:val="7A0C75E8"/>
    <w:rsid w:val="7B257F47"/>
    <w:rsid w:val="7B282473"/>
    <w:rsid w:val="7B6236A6"/>
    <w:rsid w:val="7B77F332"/>
    <w:rsid w:val="7B7DB019"/>
    <w:rsid w:val="7BEB5DF7"/>
    <w:rsid w:val="7BEE10E6"/>
    <w:rsid w:val="7BFCEF48"/>
    <w:rsid w:val="7C2607B9"/>
    <w:rsid w:val="7D5F51DB"/>
    <w:rsid w:val="7D7E9D6A"/>
    <w:rsid w:val="7DB7E396"/>
    <w:rsid w:val="7DFD4F0C"/>
    <w:rsid w:val="7EBF12C5"/>
    <w:rsid w:val="7EF44B16"/>
    <w:rsid w:val="7F0B1A83"/>
    <w:rsid w:val="7F53235B"/>
    <w:rsid w:val="7F7FE499"/>
    <w:rsid w:val="7FBDBCC8"/>
    <w:rsid w:val="7FDB163D"/>
    <w:rsid w:val="7FDB8A65"/>
    <w:rsid w:val="7FDC6A4C"/>
    <w:rsid w:val="7FFB4965"/>
    <w:rsid w:val="7FFFCD47"/>
    <w:rsid w:val="9F7F3BEB"/>
    <w:rsid w:val="9FDD436C"/>
    <w:rsid w:val="A1EBB7FC"/>
    <w:rsid w:val="A5CF96F4"/>
    <w:rsid w:val="A5DFEDF0"/>
    <w:rsid w:val="A9772E4D"/>
    <w:rsid w:val="AB35EBD7"/>
    <w:rsid w:val="AFFF2549"/>
    <w:rsid w:val="B3EB9D8E"/>
    <w:rsid w:val="B7BF3143"/>
    <w:rsid w:val="BBBF0189"/>
    <w:rsid w:val="BDFFE8F9"/>
    <w:rsid w:val="BE8F88C1"/>
    <w:rsid w:val="BEB59750"/>
    <w:rsid w:val="BF7BB1F7"/>
    <w:rsid w:val="BFBFB438"/>
    <w:rsid w:val="BFF70DE1"/>
    <w:rsid w:val="C9EE3773"/>
    <w:rsid w:val="CCFF4F5A"/>
    <w:rsid w:val="D2FFA891"/>
    <w:rsid w:val="D7FF39D9"/>
    <w:rsid w:val="DA276AC9"/>
    <w:rsid w:val="DEF350F7"/>
    <w:rsid w:val="DFFAFA6C"/>
    <w:rsid w:val="EAB34171"/>
    <w:rsid w:val="EEF6F380"/>
    <w:rsid w:val="EEFD21DE"/>
    <w:rsid w:val="EFBF8B06"/>
    <w:rsid w:val="EFFD9EE0"/>
    <w:rsid w:val="F1D67190"/>
    <w:rsid w:val="F4FDA89E"/>
    <w:rsid w:val="F7F7DC2F"/>
    <w:rsid w:val="F7FB6FB6"/>
    <w:rsid w:val="FBF7DCA7"/>
    <w:rsid w:val="FCD727EE"/>
    <w:rsid w:val="FD4F0067"/>
    <w:rsid w:val="FD7B3349"/>
    <w:rsid w:val="FD7F1AF4"/>
    <w:rsid w:val="FEBB5185"/>
    <w:rsid w:val="FF5B6C72"/>
    <w:rsid w:val="FF7BCCC9"/>
    <w:rsid w:val="FF7FE28C"/>
    <w:rsid w:val="FFDE4314"/>
    <w:rsid w:val="FFED1CEF"/>
    <w:rsid w:val="FFF6684C"/>
    <w:rsid w:val="FFF91261"/>
    <w:rsid w:val="FFFA9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1015</Words>
  <Characters>1061</Characters>
  <Lines>1</Lines>
  <Paragraphs>1</Paragraphs>
  <TotalTime>53</TotalTime>
  <ScaleCrop>false</ScaleCrop>
  <LinksUpToDate>false</LinksUpToDate>
  <CharactersWithSpaces>1206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Administrator.USER-20190114IR</dc:creator>
  <cp:lastModifiedBy>greatwall</cp:lastModifiedBy>
  <cp:lastPrinted>2025-04-10T09:11:00Z</cp:lastPrinted>
  <dcterms:modified xsi:type="dcterms:W3CDTF">2025-07-10T16:51:28Z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5096FE8958DC47F28D59DD51B2C66D9C</vt:lpwstr>
  </property>
</Properties>
</file>