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00" w:lineRule="exact"/>
        <w:rPr>
          <w:rFonts w:ascii="Times New Roman" w:hAnsi="Times New Roman"/>
          <w:sz w:val="24"/>
        </w:rPr>
      </w:pPr>
    </w:p>
    <w:p>
      <w:pPr>
        <w:spacing w:line="356" w:lineRule="exact"/>
        <w:rPr>
          <w:rFonts w:ascii="Times New Roman" w:hAnsi="Times New Roman"/>
          <w:sz w:val="24"/>
        </w:rPr>
      </w:pPr>
    </w:p>
    <w:p>
      <w:pPr>
        <w:spacing w:line="240" w:lineRule="atLeast"/>
        <w:jc w:val="center"/>
        <w:rPr>
          <w:rFonts w:ascii="宋体"/>
          <w:color w:val="FF0000"/>
          <w:sz w:val="69"/>
        </w:rPr>
      </w:pPr>
      <w:r>
        <w:rPr>
          <w:rFonts w:hint="eastAsia" w:ascii="宋体" w:hAnsi="宋体"/>
          <w:color w:val="FF0000"/>
          <w:sz w:val="69"/>
          <w:lang w:eastAsia="zh-CN"/>
        </w:rPr>
        <w:t>吕梁市市场</w:t>
      </w:r>
      <w:r>
        <w:rPr>
          <w:rFonts w:hint="eastAsia" w:ascii="宋体" w:hAnsi="宋体"/>
          <w:color w:val="FF0000"/>
          <w:sz w:val="69"/>
        </w:rPr>
        <w:t>监督管理局</w:t>
      </w:r>
    </w:p>
    <w:p>
      <w:pPr>
        <w:spacing w:line="200" w:lineRule="exact"/>
        <w:jc w:val="center"/>
        <w:rPr>
          <w:rFonts w:ascii="Times New Roman" w:hAnsi="Times New Roman"/>
          <w:sz w:val="24"/>
        </w:rPr>
      </w:pPr>
    </w:p>
    <w:p>
      <w:pPr>
        <w:spacing w:line="200" w:lineRule="exact"/>
        <w:rPr>
          <w:rFonts w:ascii="Times New Roman" w:hAnsi="Times New Roman"/>
          <w:sz w:val="24"/>
        </w:rPr>
      </w:pPr>
    </w:p>
    <w:p>
      <w:pPr>
        <w:spacing w:line="200" w:lineRule="exact"/>
        <w:rPr>
          <w:rFonts w:ascii="Times New Roman" w:hAnsi="Times New Roman"/>
          <w:sz w:val="24"/>
        </w:rPr>
      </w:pPr>
    </w:p>
    <w:p>
      <w:pPr>
        <w:spacing w:line="260" w:lineRule="exact"/>
        <w:rPr>
          <w:rFonts w:ascii="Times New Roman" w:hAnsi="Times New Roman"/>
          <w:sz w:val="24"/>
        </w:rPr>
      </w:pPr>
    </w:p>
    <w:p>
      <w:pPr>
        <w:tabs>
          <w:tab w:val="left" w:pos="4760"/>
        </w:tabs>
        <w:spacing w:line="240" w:lineRule="atLeast"/>
        <w:ind w:left="2680"/>
        <w:rPr>
          <w:rFonts w:ascii="宋体"/>
          <w:color w:val="FF0000"/>
          <w:sz w:val="84"/>
        </w:rPr>
      </w:pPr>
      <w:r>
        <w:rPr>
          <w:rFonts w:hint="eastAsia" w:ascii="宋体" w:hAnsi="宋体"/>
          <w:color w:val="FF0000"/>
          <w:sz w:val="84"/>
        </w:rPr>
        <w:t>公</w:t>
      </w:r>
      <w:r>
        <w:rPr>
          <w:rFonts w:ascii="Times New Roman" w:hAnsi="Times New Roman"/>
        </w:rPr>
        <w:tab/>
      </w:r>
      <w:r>
        <w:rPr>
          <w:rFonts w:hint="eastAsia" w:ascii="宋体" w:hAnsi="宋体"/>
          <w:color w:val="FF0000"/>
          <w:sz w:val="84"/>
        </w:rPr>
        <w:t>告</w:t>
      </w:r>
    </w:p>
    <w:p>
      <w:pPr>
        <w:spacing w:line="200" w:lineRule="exact"/>
        <w:rPr>
          <w:rFonts w:ascii="Times New Roman" w:hAnsi="Times New Roman"/>
          <w:sz w:val="24"/>
        </w:rPr>
      </w:pPr>
    </w:p>
    <w:p>
      <w:pPr>
        <w:spacing w:line="200" w:lineRule="exact"/>
        <w:rPr>
          <w:rFonts w:ascii="Times New Roman" w:hAnsi="Times New Roman"/>
          <w:sz w:val="24"/>
        </w:rPr>
      </w:pPr>
    </w:p>
    <w:p>
      <w:pPr>
        <w:spacing w:line="200" w:lineRule="exact"/>
        <w:rPr>
          <w:rFonts w:ascii="Times New Roman" w:hAnsi="Times New Roman"/>
          <w:sz w:val="24"/>
        </w:rPr>
      </w:pPr>
    </w:p>
    <w:p>
      <w:pPr>
        <w:spacing w:line="200" w:lineRule="exact"/>
        <w:rPr>
          <w:rFonts w:ascii="Times New Roman" w:hAnsi="Times New Roman"/>
          <w:sz w:val="24"/>
        </w:rPr>
      </w:pPr>
    </w:p>
    <w:p>
      <w:pPr>
        <w:spacing w:line="267" w:lineRule="exact"/>
        <w:rPr>
          <w:rFonts w:ascii="Times New Roman" w:hAnsi="Times New Roman"/>
          <w:sz w:val="24"/>
        </w:rPr>
      </w:pPr>
    </w:p>
    <w:p>
      <w:pPr>
        <w:spacing w:line="660" w:lineRule="exact"/>
        <w:jc w:val="center"/>
        <w:rPr>
          <w:rFonts w:hint="eastAsia" w:ascii="宋体" w:hAnsi="宋体"/>
          <w:b/>
          <w:color w:val="auto"/>
          <w:sz w:val="36"/>
          <w:szCs w:val="36"/>
        </w:rPr>
      </w:pPr>
      <w:r>
        <w:rPr>
          <w:rFonts w:hint="eastAsia" w:ascii="Arial" w:hAnsi="Arial" w:cs="Arial"/>
          <w:b/>
          <w:color w:val="auto"/>
          <w:sz w:val="36"/>
          <w:szCs w:val="36"/>
          <w:lang w:val="en-US" w:eastAsia="zh-CN"/>
        </w:rPr>
        <w:t>吕梁市市场监督管理局</w:t>
      </w:r>
    </w:p>
    <w:p>
      <w:pPr>
        <w:spacing w:line="660" w:lineRule="exact"/>
        <w:jc w:val="center"/>
        <w:rPr>
          <w:rFonts w:hint="eastAsia" w:ascii="宋体" w:hAnsi="宋体"/>
          <w:b/>
          <w:color w:val="auto"/>
          <w:sz w:val="36"/>
          <w:szCs w:val="36"/>
        </w:rPr>
      </w:pPr>
      <w:r>
        <w:rPr>
          <w:rFonts w:hint="eastAsia" w:ascii="宋体" w:hAnsi="宋体"/>
          <w:b/>
          <w:color w:val="auto"/>
          <w:sz w:val="36"/>
          <w:szCs w:val="36"/>
        </w:rPr>
        <w:t>201</w:t>
      </w:r>
      <w:r>
        <w:rPr>
          <w:rFonts w:hint="eastAsia" w:ascii="宋体" w:hAnsi="宋体"/>
          <w:b/>
          <w:color w:val="auto"/>
          <w:sz w:val="36"/>
          <w:szCs w:val="36"/>
          <w:lang w:val="en-US" w:eastAsia="zh-CN"/>
        </w:rPr>
        <w:t>9</w:t>
      </w:r>
      <w:r>
        <w:rPr>
          <w:rFonts w:hint="eastAsia" w:ascii="宋体" w:hAnsi="宋体"/>
          <w:b/>
          <w:color w:val="auto"/>
          <w:sz w:val="36"/>
          <w:szCs w:val="36"/>
        </w:rPr>
        <w:t>年食品安全监督抽检信息公告（第</w:t>
      </w:r>
      <w:r>
        <w:rPr>
          <w:rFonts w:hint="eastAsia" w:ascii="宋体" w:hAnsi="宋体"/>
          <w:b/>
          <w:color w:val="auto"/>
          <w:sz w:val="36"/>
          <w:szCs w:val="36"/>
          <w:lang w:val="en-US" w:eastAsia="zh-CN"/>
        </w:rPr>
        <w:t>4</w:t>
      </w:r>
      <w:r>
        <w:rPr>
          <w:rFonts w:hint="eastAsia" w:ascii="宋体" w:hAnsi="宋体"/>
          <w:b/>
          <w:color w:val="auto"/>
          <w:sz w:val="36"/>
          <w:szCs w:val="36"/>
        </w:rPr>
        <w:t>期）</w:t>
      </w:r>
    </w:p>
    <w:p>
      <w:pPr>
        <w:spacing w:line="68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  </w:t>
      </w:r>
    </w:p>
    <w:p>
      <w:pPr>
        <w:spacing w:line="640" w:lineRule="exact"/>
        <w:ind w:firstLine="627" w:firstLineChars="196"/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本期公布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批次监督抽检结果,涉及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食用农产品中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蔬菜类、水果、畜禽肉、水产品（淡水和海水）、豆类、鸡蛋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zh-CN"/>
        </w:rPr>
        <w:t>等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zh-CN"/>
        </w:rPr>
        <w:t>类。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根据食品安全国家标准，个别项目不合格，其产品即判定为不合格产品。其中：不合格样品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批次，合格样品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28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批次。</w:t>
      </w:r>
    </w:p>
    <w:p>
      <w:pPr>
        <w:spacing w:line="64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不合格样品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次，分别为：</w:t>
      </w:r>
    </w:p>
    <w:p>
      <w:pPr>
        <w:numPr>
          <w:ilvl w:val="0"/>
          <w:numId w:val="1"/>
        </w:numPr>
        <w:spacing w:line="64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水果2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批次，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柳林县翠连综合商店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销售的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香蕉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吡唑醚菌酯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超标，柳林县瑞明蔬菜水产店销售的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香蕉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吡唑醚菌酯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超标，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检验机构为河南华测检测技术有限公司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numPr>
          <w:ilvl w:val="0"/>
          <w:numId w:val="1"/>
        </w:numPr>
        <w:spacing w:line="64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蔬菜2批次，柳林县好又多超市有限责任公司销售的豆芽中4-氯苯氧乙酸钠超标，山西信恒鑫商贸有限公司销售的绿豆芽中4-氯苯氧乙酸钠超标，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检验机构为河南华测检测技术有限公司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numPr>
          <w:ilvl w:val="0"/>
          <w:numId w:val="1"/>
        </w:numPr>
        <w:spacing w:line="64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鲜蛋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1批次，石楼县建军水果蔬菜烟酒副食销售的鸡蛋恩诺沙星和环丙沙星超标，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检验机构为河南华测检测技术有限公司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spacing w:line="640" w:lineRule="exact"/>
        <w:ind w:left="420" w:leftChars="200" w:firstLine="160" w:firstLineChars="5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合格样品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批次，具体为：</w:t>
      </w:r>
    </w:p>
    <w:p>
      <w:pPr>
        <w:numPr>
          <w:ilvl w:val="0"/>
          <w:numId w:val="0"/>
        </w:numPr>
        <w:snapToGrid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蔬菜类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批次，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检测项目为：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灭多威、氯唑磷、甲氨基阿维菌素苯甲酸盐、氟虫腈、氟吡甲禾灵和高效氟吡甲禾灵、倍硫磷、哒螨灵、敌百虫、硫线磷、噻虫胺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甲拌磷、克百威、氧乐果、腐霉利、毒死蜱、水胺硫磷、阿维菌素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、6-苄基腺嘌呤、4-氯苯氧乙酸钠、铅（以Pb计）、镉（以Cd计）、总汞（以Hg计）、总砷（以As计）、氯氰菊酯和高效氯氰菊酯、氯氟氰菊酯和高效氯氟氰菊酯、氟氯氰菊酯和高效氟氯氰菊酯、二氧化硫残留量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等农药残留，经检验全部合格。</w:t>
      </w:r>
    </w:p>
    <w:p>
      <w:pPr>
        <w:numPr>
          <w:ilvl w:val="0"/>
          <w:numId w:val="0"/>
        </w:numPr>
        <w:snapToGrid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</w:rPr>
        <w:t>水果类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</w:rPr>
        <w:t>批次，检测项目为：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铅（以Pb计）、嘧菌酯、氯唑磷、氯氰菊酯和高效氯氰菊酯、联苯菊酯、克百威、毒死蜱、丙溴磷、苯醚甲环唑、阿维菌素、辛硫磷、氰戊菊酯和S-氰戊菊酯、氟虫腈、苯醚甲环唑、啶虫脒、乐果、多菌灵等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</w:rPr>
        <w:t>，经检验全部合格。</w:t>
      </w:r>
    </w:p>
    <w:p>
      <w:pPr>
        <w:spacing w:line="640" w:lineRule="exact"/>
        <w:ind w:firstLine="64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3.豆类1批次，检测项目为：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铅（以Pb计）、镉（以Cd计）、铬（以Cr计）、赭曲霉毒素A、烯草酮、丙炔氟草胺、氯嘧磺隆、氟磺胺草醚等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，经检验全部合格。</w:t>
      </w:r>
    </w:p>
    <w:p>
      <w:pPr>
        <w:numPr>
          <w:ilvl w:val="0"/>
          <w:numId w:val="0"/>
        </w:numPr>
        <w:snapToGrid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4.畜禽肉类2批次，检测项目为：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挥发性盐基氮、克伦特罗、沙丁胺醇、莱克多巴胺、氯霉素、氟苯尼考、恩诺沙星（以恩诺沙星与环丙沙星之和计）、洛美沙星、培氟沙星、氧氟沙星、地塞米松、林可霉素、五氯酚酸钠（以五氯酚计）、尼卡巴嗪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，经检验全部合格。</w:t>
      </w:r>
    </w:p>
    <w:p>
      <w:pPr>
        <w:numPr>
          <w:ilvl w:val="0"/>
          <w:numId w:val="0"/>
        </w:numPr>
        <w:snapToGrid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5.鸡蛋2批次，检测项目为：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氯霉素、恩诺沙星（以恩诺沙星与环丙沙星之和计）、洛美沙星、诺氟沙星、培氟沙星、氧氟沙星、呋喃它酮代谢物、呋喃妥因代谢物、呋喃西林代谢物、呋喃唑酮代谢物等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，经检验全部合格。</w:t>
      </w:r>
    </w:p>
    <w:p>
      <w:pPr>
        <w:numPr>
          <w:ilvl w:val="0"/>
          <w:numId w:val="0"/>
        </w:numPr>
        <w:snapToGrid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6.海水虾1批次，检验项目为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镉（以Cd计）、孔雀石绿、氯霉素、氟苯尼考、呋喃唑酮代谢物、呋喃它酮代谢物、呋喃西林代谢物、恩诺沙星（以恩诺沙星与环丙沙星之和计）、氧氟沙星、诺氟沙星、磺胺类（总量）、地西泮、甲硝唑、地美硝唑等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项目，经检验全部合格。</w:t>
      </w:r>
    </w:p>
    <w:p>
      <w:pPr>
        <w:numPr>
          <w:ilvl w:val="0"/>
          <w:numId w:val="0"/>
        </w:numPr>
        <w:snapToGrid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7.海水鱼1批次，检验项目为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镉（以Cd计）、孔雀石绿、氯霉素、氟苯尼考、呋喃唑酮代谢物、呋喃它酮代谢物、呋喃西林代谢物、恩诺沙星、氧氟沙星、诺氟沙星、磺胺类（总量）、地西泮、甲硝唑等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项目，经检验全部合格。</w:t>
      </w:r>
    </w:p>
    <w:p>
      <w:pPr>
        <w:spacing w:line="64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针对上述抽检中发现的不合格产品，我局已按照《中华</w:t>
      </w:r>
    </w:p>
    <w:p>
      <w:pPr>
        <w:spacing w:line="640" w:lineRule="exact"/>
        <w:rPr>
          <w:rFonts w:hint="eastAsia" w:ascii="新宋体" w:hAnsi="新宋体" w:eastAsia="新宋体" w:cs="新宋体"/>
          <w:b w:val="0"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人民共和国食品安全法》的规定，责成相关单位及时进行核查处置，采取封存、下架、召回问题产品等措施防控食品安全风险，督促企业查找原因，消除隐患。消费者如果在市场上发现被通报的不合格食品，</w:t>
      </w:r>
      <w:bookmarkStart w:id="1" w:name="_GoBack"/>
      <w:bookmarkEnd w:id="1"/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可拨打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123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投诉举报。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</w:rPr>
        <w:t xml:space="preserve">    </w:t>
      </w:r>
    </w:p>
    <w:p>
      <w:pPr>
        <w:autoSpaceDE w:val="0"/>
        <w:autoSpaceDN w:val="0"/>
        <w:adjustRightInd w:val="0"/>
        <w:spacing w:line="640" w:lineRule="exact"/>
        <w:ind w:firstLine="640" w:firstLineChars="200"/>
        <w:rPr>
          <w:rFonts w:hint="eastAsia" w:ascii="新宋体" w:hAnsi="新宋体" w:eastAsia="新宋体" w:cs="新宋体"/>
          <w:b w:val="0"/>
          <w:bCs/>
          <w:color w:val="auto"/>
          <w:sz w:val="32"/>
          <w:szCs w:val="32"/>
          <w:highlight w:val="none"/>
        </w:rPr>
      </w:pPr>
      <w:r>
        <w:rPr>
          <w:rFonts w:hint="eastAsia" w:ascii="新宋体" w:hAnsi="新宋体" w:eastAsia="新宋体" w:cs="新宋体"/>
          <w:b w:val="0"/>
          <w:bCs/>
          <w:color w:val="auto"/>
          <w:sz w:val="32"/>
          <w:szCs w:val="32"/>
          <w:highlight w:val="none"/>
        </w:rPr>
        <w:t>备注：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line="64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1.吡唑醚菌酯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line="640" w:lineRule="exact"/>
        <w:ind w:firstLine="640" w:firstLineChars="200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吡唑醚菌酯是一种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甲氧基丙烯酸酯类杀菌剂，具有杀菌谱广、提升作物抗逆性能力突出、促进作物生长、抗衰老等等优点，广泛应用于水稻、小麦、花生、蔬菜、果树、烟草、茶树等多种作物。主要用于防治子囊菌、半知菌、担子菌和卵菌纲等真菌引起的叶枯病、锈病、白粉病等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吡唑醚菌酯对眼睛和皮肤有一定的刺激作用，长时间超量摄入会造成人体蓄积性中毒。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line="64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吡唑醚菌酯超标可能是在种植过程中超量、超范围使用造成的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。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line="640" w:lineRule="exact"/>
        <w:ind w:left="640" w:leftChars="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2.4-氯苯氧乙酸钠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line="64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4-氯苯氧乙酸钠是中枢神经兴奋药甲氯芬酯的中间体，原用于植物生长调节，国内商品名为防落素、保果灵。4-氯苯氧乙酸可以促进植物体内的生物合成和生物转移，不仅可防止落花落果、提高做果率、增进果实生长速度、促进提前成熟，还能达到改善植物品质之目的，同时它还有除草剂的作用。但由于其对人体有一定积累毒性，国标已取消其作为食品添加剂的生产许可申请。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line="64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4-氯苯氧乙酸钠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超标可能是在生产过程中超量、超范围使用造成。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line="640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3.恩诺沙星和环丙沙星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line="640" w:lineRule="exact"/>
        <w:ind w:firstLine="700" w:firstLineChars="200"/>
        <w:rPr>
          <w:rFonts w:hint="eastAsia" w:ascii="仿宋" w:hAnsi="仿宋" w:eastAsia="仿宋" w:cs="仿宋"/>
          <w:i w:val="0"/>
          <w:caps w:val="0"/>
          <w:color w:val="000000"/>
          <w:spacing w:val="15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15"/>
          <w:sz w:val="32"/>
          <w:szCs w:val="32"/>
        </w:rPr>
        <w:t>恩诺沙星，又名恩氟奎林羧酸，属于氟喹诺酮类药物，化学合成广谱抑菌剂，在预防和治疗畜禽的细菌性感染及支原体病方面有良好效果。长期摄入喹诺酮类药物超标的动物性食品，可引起轻度胃肠道刺激或不适，头痛、头晕、睡眠不良等症状，大剂量或长期摄入还可能引起肝损害。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line="640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恩诺沙星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超标可能是在生产过程中超量、超范围使用造成。</w:t>
      </w:r>
    </w:p>
    <w:p>
      <w:pPr>
        <w:numPr>
          <w:ilvl w:val="0"/>
          <w:numId w:val="0"/>
        </w:numPr>
        <w:snapToGrid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</w:pPr>
    </w:p>
    <w:p>
      <w:pPr>
        <w:spacing w:line="640" w:lineRule="exact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</w:rPr>
        <w:t xml:space="preserve">  </w:t>
      </w:r>
    </w:p>
    <w:p>
      <w:pPr>
        <w:autoSpaceDE w:val="0"/>
        <w:autoSpaceDN w:val="0"/>
        <w:adjustRightInd w:val="0"/>
        <w:spacing w:line="640" w:lineRule="exact"/>
        <w:ind w:firstLine="4480" w:firstLineChars="1400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新宋体" w:hAnsi="新宋体" w:eastAsia="新宋体" w:cs="新宋体"/>
          <w:b w:val="0"/>
          <w:bCs/>
          <w:color w:val="auto"/>
          <w:sz w:val="32"/>
          <w:szCs w:val="32"/>
          <w:lang w:val="en-US" w:eastAsia="zh-CN"/>
        </w:rPr>
        <w:t xml:space="preserve"> 吕梁市市场监督管理局</w:t>
      </w:r>
    </w:p>
    <w:p>
      <w:pPr>
        <w:spacing w:line="640" w:lineRule="exact"/>
        <w:ind w:left="840" w:leftChars="400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 xml:space="preserve">                           2019年10月10日</w:t>
      </w:r>
    </w:p>
    <w:p>
      <w:pPr>
        <w:autoSpaceDE w:val="0"/>
        <w:autoSpaceDN w:val="0"/>
        <w:adjustRightInd w:val="0"/>
        <w:spacing w:line="640" w:lineRule="exact"/>
        <w:ind w:left="960" w:hanging="960" w:hangingChars="300"/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</w:pPr>
    </w:p>
    <w:p>
      <w:pPr>
        <w:autoSpaceDE w:val="0"/>
        <w:autoSpaceDN w:val="0"/>
        <w:adjustRightInd w:val="0"/>
        <w:spacing w:line="640" w:lineRule="exact"/>
        <w:ind w:left="960" w:hanging="960" w:hangingChars="3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附件：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1.本次检验项目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line="640" w:lineRule="exact"/>
        <w:ind w:left="958" w:leftChars="456" w:firstLine="0" w:firstLineChars="0"/>
        <w:rPr>
          <w:rFonts w:hint="default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201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年第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期食品监督抽检产品合格信息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 xml:space="preserve">    3.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201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年第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期食品监督抽检产品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不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合格信息</w:t>
      </w:r>
    </w:p>
    <w:p>
      <w:pPr>
        <w:spacing w:line="360" w:lineRule="auto"/>
        <w:rPr>
          <w:rFonts w:ascii="仿宋" w:hAnsi="仿宋" w:eastAsia="仿宋" w:cs="仿宋"/>
          <w:sz w:val="32"/>
          <w:szCs w:val="32"/>
        </w:rPr>
      </w:pPr>
    </w:p>
    <w:p>
      <w:pPr>
        <w:spacing w:line="360" w:lineRule="auto"/>
        <w:rPr>
          <w:rFonts w:hint="default" w:ascii="仿宋" w:hAnsi="仿宋" w:eastAsia="仿宋" w:cs="仿宋"/>
          <w:sz w:val="32"/>
          <w:szCs w:val="32"/>
          <w:lang w:val="en-US" w:eastAsia="zh-CN"/>
        </w:rPr>
        <w:sectPr>
          <w:pgSz w:w="11900" w:h="16838"/>
          <w:pgMar w:top="1440" w:right="1780" w:bottom="948" w:left="1800" w:header="0" w:footer="0" w:gutter="0"/>
          <w:cols w:equalWidth="0" w:num="1">
            <w:col w:w="8320"/>
          </w:cols>
          <w:docGrid w:linePitch="360" w:charSpace="0"/>
        </w:sectPr>
      </w:pPr>
    </w:p>
    <w:p>
      <w:pPr>
        <w:spacing w:line="360" w:lineRule="auto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  <w:bookmarkStart w:id="0" w:name="page3"/>
      <w:bookmarkEnd w:id="0"/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附件1</w:t>
      </w:r>
    </w:p>
    <w:p>
      <w:pPr>
        <w:spacing w:line="360" w:lineRule="auto"/>
        <w:rPr>
          <w:rFonts w:ascii="Times New Roman" w:hAnsi="Times New Roman"/>
        </w:rPr>
      </w:pPr>
    </w:p>
    <w:p>
      <w:pPr>
        <w:jc w:val="center"/>
        <w:rPr>
          <w:rFonts w:hint="eastAsia" w:ascii="宋体" w:hAnsi="宋体" w:eastAsia="宋体" w:cs="宋体"/>
          <w:color w:val="auto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color w:val="auto"/>
          <w:sz w:val="44"/>
          <w:szCs w:val="44"/>
          <w:lang w:eastAsia="zh-CN"/>
        </w:rPr>
        <w:t>本次检验项目</w:t>
      </w:r>
    </w:p>
    <w:p>
      <w:pPr>
        <w:numPr>
          <w:ilvl w:val="0"/>
          <w:numId w:val="0"/>
        </w:numPr>
        <w:snapToGrid w:val="0"/>
        <w:spacing w:line="600" w:lineRule="exact"/>
        <w:jc w:val="left"/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</w:pPr>
    </w:p>
    <w:p>
      <w:pPr>
        <w:numPr>
          <w:ilvl w:val="0"/>
          <w:numId w:val="0"/>
        </w:numPr>
        <w:snapToGrid w:val="0"/>
        <w:spacing w:line="600" w:lineRule="exact"/>
        <w:jc w:val="left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 xml:space="preserve"> 一、食用农产品</w:t>
      </w:r>
    </w:p>
    <w:p>
      <w:pPr>
        <w:numPr>
          <w:ilvl w:val="0"/>
          <w:numId w:val="0"/>
        </w:numPr>
        <w:snapToGrid w:val="0"/>
        <w:spacing w:line="600" w:lineRule="exact"/>
        <w:jc w:val="left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 xml:space="preserve">   （一）抽检依据</w:t>
      </w:r>
    </w:p>
    <w:p>
      <w:pPr>
        <w:numPr>
          <w:ilvl w:val="0"/>
          <w:numId w:val="0"/>
        </w:numPr>
        <w:snapToGrid w:val="0"/>
        <w:spacing w:line="600" w:lineRule="exact"/>
        <w:ind w:firstLine="640"/>
        <w:jc w:val="left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检验依据农业部公告第235号动物性食品中兽药最高残留限量；整顿办函（2011）1号《食品中可能违法添加的非食用物质和易滥用的食品添加剂品种名单（第五批）》；整顿办函（2010）50号《食品中可能违法添加的非食用物质和易滥用的食品添加剂品种名单（第四批）》；GB2763-2016《食品安全国家标准 食品中农药最大残留限量》；GB2762-2017《食品安全国家标准 食品中污染物限量》；GB19300-2014《食品安全国家标准 坚果与籽类食品》；GB2761-2017《食品安全国家标准 食品中真菌毒素限量》；国家食品药品监督管理总局、农业部、国家卫生和计划生育委员会关于豆芽生产过程中禁止使用6-苄基腺嘌呤等物质的公告（2015年第11号）。</w:t>
      </w:r>
    </w:p>
    <w:p>
      <w:pPr>
        <w:numPr>
          <w:ilvl w:val="0"/>
          <w:numId w:val="0"/>
        </w:numPr>
        <w:snapToGrid w:val="0"/>
        <w:spacing w:line="600" w:lineRule="exact"/>
        <w:ind w:firstLine="64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（二）检验项目</w:t>
      </w:r>
    </w:p>
    <w:p>
      <w:pPr>
        <w:numPr>
          <w:ilvl w:val="0"/>
          <w:numId w:val="0"/>
        </w:numPr>
        <w:snapToGrid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1.蔬菜类检测项目为：灭多威、氯唑磷、甲氨基阿维菌素苯甲酸盐、氟虫腈、氟吡甲禾灵和高效氟吡甲禾灵、倍硫磷、哒螨灵、敌百虫、硫线磷、噻虫胺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甲拌磷、克百威、氧乐果、腐霉利、毒死蜱、水胺硫磷、阿维菌素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、6-苄基腺嘌呤、4-氯苯氧乙酸钠、铅（以Pb计）、镉（以Cd计）、总汞（以Hg计）、总砷（以As计）、氯氰菊酯和高效氯氰菊酯、氯氟氰菊酯和高效氯氟氰菊酯、氟氯氰菊酯和高效氟氯氰菊酯、二氧化硫残留量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等。</w:t>
      </w:r>
    </w:p>
    <w:p>
      <w:pPr>
        <w:numPr>
          <w:ilvl w:val="0"/>
          <w:numId w:val="0"/>
        </w:numPr>
        <w:snapToGrid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.水果类检测项目为：铅（以Pb计）、嘧菌酯、氯唑磷、氯氰菊酯和高效氯氰菊酯、联苯菊酯、克百威、毒死蜱、丙溴磷、苯醚甲环唑、阿维菌素、辛硫磷、氰戊菊酯和S-氰戊菊酯、氟虫腈、苯醚甲环唑、啶虫脒、乐果、多菌灵等。</w:t>
      </w:r>
    </w:p>
    <w:p>
      <w:pPr>
        <w:numPr>
          <w:ilvl w:val="0"/>
          <w:numId w:val="0"/>
        </w:numPr>
        <w:snapToGrid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3.豆类检测项目为：铅（以Pb计）、镉（以Cd计）、铬（以Cr计）、赭曲霉毒素A、烯草酮、丙炔氟草胺、氯嘧磺隆、氟磺胺草醚等。</w:t>
      </w:r>
    </w:p>
    <w:p>
      <w:pPr>
        <w:numPr>
          <w:ilvl w:val="0"/>
          <w:numId w:val="0"/>
        </w:numPr>
        <w:snapToGrid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4.鲜食用菌检测项目为：铅（以Pb计）、镉（以Cd计）、总汞（以Hg计）、总砷（以As计）、氯氰菊酯和高效氯氰菊酯、氯氟氰菊酯和高效氯氟氰菊酯、氟氯氰菊酯和高效氟氯氰菊酯、二氧化硫残留量等。</w:t>
      </w:r>
    </w:p>
    <w:p>
      <w:pPr>
        <w:numPr>
          <w:ilvl w:val="0"/>
          <w:numId w:val="0"/>
        </w:numPr>
        <w:snapToGrid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5.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畜禽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肉类检测项目为：挥发性盐基氮、克伦特罗、沙丁胺醇、莱克多巴胺、氯霉素、氟苯尼考、恩诺沙星（以恩诺沙星与环丙沙星之和计）、洛美沙星、培氟沙星、氧氟沙星、地塞米松、林可霉素、五氯酚酸钠（以五氯酚计）、尼卡巴嗪等兽药残留。</w:t>
      </w:r>
    </w:p>
    <w:p>
      <w:pPr>
        <w:numPr>
          <w:ilvl w:val="0"/>
          <w:numId w:val="0"/>
        </w:numPr>
        <w:snapToGrid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.鸡蛋检测项目为：氯霉素、恩诺沙星（以恩诺沙星与环丙沙星之和计）、洛美沙星、诺氟沙星、培氟沙星、氧氟沙星、呋喃它酮代谢物、呋喃妥因代谢物、呋喃西林代谢物、呋喃唑酮代谢物等。</w:t>
      </w:r>
    </w:p>
    <w:p>
      <w:pPr>
        <w:numPr>
          <w:ilvl w:val="0"/>
          <w:numId w:val="0"/>
        </w:numPr>
        <w:snapToGrid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.淡水鱼检测项目为挥发性盐基氮、孔雀石绿、氯霉素、呋喃唑酮代谢物、呋喃它酮代谢物、呋喃西林代谢物、呋喃妥因代谢物、恩诺沙星（以恩诺沙星与环丙沙星之和计）、氧氟沙星、培氟沙星、磺胺类（总量）等。</w:t>
      </w:r>
    </w:p>
    <w:p>
      <w:pPr>
        <w:numPr>
          <w:ilvl w:val="0"/>
          <w:numId w:val="0"/>
        </w:numPr>
        <w:snapToGrid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.淡水虾检测项目为孔雀石绿、氯霉素、呋喃唑酮代谢物、呋喃它酮代谢物、呋喃西林代谢物、呋喃妥因代谢物、恩诺沙星（以恩诺沙星与环丙沙星之和计）、氧氟沙星、培氟沙星、洛美沙星等。</w:t>
      </w:r>
    </w:p>
    <w:p>
      <w:pPr>
        <w:numPr>
          <w:ilvl w:val="0"/>
          <w:numId w:val="0"/>
        </w:numPr>
        <w:snapToGrid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.海水虾检验项目为镉（以Cd计）、孔雀石绿、氯霉素、氟苯尼考、呋喃唑酮代谢物、呋喃它酮代谢物、呋喃西林代谢物、恩诺沙星（以恩诺沙星与环丙沙星之和计）、氧氟沙星、诺氟沙星、磺胺类（总量）、地西泮、甲硝唑、地美硝唑等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.海水鱼检验项目为镉（以Cd计）、孔雀石绿、氯霉素、氟苯尼考、呋喃唑酮代谢物、呋喃它酮代谢物、呋喃西林代谢物、恩诺沙星、氧氟沙星、诺氟沙星、磺胺类（总量）、地西泮、甲硝唑等。</w:t>
      </w:r>
    </w:p>
    <w:p>
      <w:pPr>
        <w:jc w:val="both"/>
        <w:rPr>
          <w:rFonts w:hint="eastAsia" w:ascii="宋体" w:hAnsi="宋体" w:cs="宋体"/>
          <w:b/>
          <w:bCs/>
          <w:sz w:val="36"/>
          <w:szCs w:val="36"/>
        </w:rPr>
      </w:pPr>
    </w:p>
    <w:p>
      <w:pPr>
        <w:jc w:val="both"/>
        <w:rPr>
          <w:rFonts w:hint="eastAsia" w:ascii="宋体" w:hAnsi="宋体" w:cs="宋体"/>
          <w:b/>
          <w:bCs/>
          <w:sz w:val="36"/>
          <w:szCs w:val="36"/>
        </w:rPr>
      </w:pPr>
    </w:p>
    <w:p>
      <w:pPr>
        <w:jc w:val="both"/>
        <w:rPr>
          <w:rFonts w:hint="eastAsia" w:ascii="宋体" w:hAnsi="宋体" w:cs="宋体"/>
          <w:b/>
          <w:bCs/>
          <w:sz w:val="36"/>
          <w:szCs w:val="36"/>
        </w:rPr>
      </w:pPr>
    </w:p>
    <w:p>
      <w:pPr>
        <w:jc w:val="both"/>
        <w:rPr>
          <w:rFonts w:hint="eastAsia" w:ascii="宋体" w:hAnsi="宋体" w:cs="宋体"/>
          <w:b/>
          <w:bCs/>
          <w:sz w:val="36"/>
          <w:szCs w:val="36"/>
        </w:rPr>
      </w:pPr>
    </w:p>
    <w:p>
      <w:pPr>
        <w:jc w:val="both"/>
        <w:rPr>
          <w:rFonts w:hint="eastAsia" w:ascii="宋体" w:hAnsi="宋体" w:cs="宋体"/>
          <w:b/>
          <w:bCs/>
          <w:sz w:val="36"/>
          <w:szCs w:val="36"/>
        </w:rPr>
      </w:pPr>
    </w:p>
    <w:p>
      <w:pPr>
        <w:jc w:val="both"/>
        <w:rPr>
          <w:rFonts w:hint="eastAsia" w:ascii="宋体" w:hAnsi="宋体" w:cs="宋体"/>
          <w:b/>
          <w:bCs/>
          <w:sz w:val="36"/>
          <w:szCs w:val="36"/>
        </w:rPr>
      </w:pPr>
    </w:p>
    <w:p>
      <w:pPr>
        <w:jc w:val="both"/>
        <w:rPr>
          <w:rFonts w:hint="eastAsia" w:ascii="宋体" w:hAnsi="宋体" w:cs="宋体"/>
          <w:b/>
          <w:bCs/>
          <w:sz w:val="36"/>
          <w:szCs w:val="36"/>
        </w:rPr>
      </w:pPr>
    </w:p>
    <w:p>
      <w:pPr>
        <w:jc w:val="both"/>
        <w:rPr>
          <w:rFonts w:hint="eastAsia" w:ascii="宋体" w:hAnsi="宋体" w:cs="宋体"/>
          <w:b/>
          <w:bCs/>
          <w:sz w:val="36"/>
          <w:szCs w:val="36"/>
        </w:rPr>
      </w:pPr>
    </w:p>
    <w:p>
      <w:pPr>
        <w:jc w:val="both"/>
        <w:rPr>
          <w:rFonts w:hint="eastAsia" w:ascii="宋体" w:hAnsi="宋体" w:cs="宋体"/>
          <w:b/>
          <w:bCs/>
          <w:sz w:val="36"/>
          <w:szCs w:val="36"/>
          <w:lang w:eastAsia="zh-CN"/>
        </w:rPr>
      </w:pPr>
      <w:r>
        <w:rPr>
          <w:rFonts w:hint="eastAsia" w:ascii="宋体" w:hAnsi="宋体" w:cs="宋体"/>
          <w:b/>
          <w:bCs/>
          <w:sz w:val="36"/>
          <w:szCs w:val="36"/>
          <w:lang w:eastAsia="zh-CN"/>
        </w:rPr>
        <w:t>附件二</w:t>
      </w:r>
    </w:p>
    <w:tbl>
      <w:tblPr>
        <w:tblStyle w:val="5"/>
        <w:tblW w:w="1407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75"/>
        <w:gridCol w:w="285"/>
        <w:gridCol w:w="630"/>
        <w:gridCol w:w="660"/>
        <w:gridCol w:w="1965"/>
        <w:gridCol w:w="705"/>
        <w:gridCol w:w="975"/>
        <w:gridCol w:w="915"/>
        <w:gridCol w:w="2280"/>
        <w:gridCol w:w="705"/>
        <w:gridCol w:w="705"/>
        <w:gridCol w:w="540"/>
        <w:gridCol w:w="1035"/>
        <w:gridCol w:w="49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407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2019年第4期食品监督抽检产品合格信息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抽样编号</w:t>
            </w: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标称生产企业名称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标称生产企业地址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被抽样单位名称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被抽样单位所在省份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食品名称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生产日期/批号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分类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公告号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公告日期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任务来源/项目名称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NCP19141100151400606</w:t>
            </w: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柳林县好又多超市有限责任公司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长山药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 2019年9月6日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吕梁市抽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NCP19141100151400607</w:t>
            </w: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柳林县好又多超市有限责任公司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韭菜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 2019年9月6日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吕梁市抽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NCP19141100151400608</w:t>
            </w: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柳林县好又多超市有限责任公司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芹菜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 2019年9月6日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吕梁市抽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NCP19141100151400609</w:t>
            </w: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柳林县好又多超市有限责任公司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铁棍长山药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 2019年9月6日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吕梁市抽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NCP19141100151400611</w:t>
            </w: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柳林县好又多超市有限责任公司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红心火龙果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 2019年9月6日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水果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吕梁市抽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NCP19141100151400612</w:t>
            </w: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柳林县好又多超市有限责任公司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柚子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 2019年9月6日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吕梁市抽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NCP19141100151400613</w:t>
            </w: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柳林县好又多超市有限责任公司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红鸡蛋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 2019年9月6日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鲜蛋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吕梁市抽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NCP19141100151400614</w:t>
            </w: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柳林县好又多超市有限责任公司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小红小豆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 2019年9月6日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豆类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吕梁市抽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NCP19141100151400615</w:t>
            </w: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柳林县好又多超市有限责任公司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软柿子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 2019年9月6日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水果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吕梁市抽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NCP19141100151400616</w:t>
            </w: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柳林县好又多超市有限责任公司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青李子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 2019年9月6日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水果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吕梁市抽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NCP19141100151400617</w:t>
            </w: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山西信恒鑫商贸有限公司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猪蹄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 2019年9月6日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畜禽肉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吕梁市抽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NCP19141100151400618</w:t>
            </w: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山西信恒鑫商贸有限公司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鸡大胸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 2019年9月6日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畜禽肉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吕梁市抽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NCP19141100151400619</w:t>
            </w: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山西信恒鑫商贸有限公司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大红虾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 2019年9月6日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海水虾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吕梁市抽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NCP19141100151400620</w:t>
            </w: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山西信恒鑫商贸有限公司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大带鱼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 2019年9月6日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海水鱼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吕梁市抽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NCP19141100151400622</w:t>
            </w: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山西信恒鑫商贸有限公司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小白菜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 2019年9月6日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吕梁市抽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NCP19141100151400623</w:t>
            </w: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山西信恒鑫商贸有限公司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大白菜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 2019年9月6日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吕梁市抽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NCP19141100151400624</w:t>
            </w: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山西信恒鑫商贸有限公司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油麦菜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 2019年9月6日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吕梁市抽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NCP19141100151400625</w:t>
            </w: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山西信恒鑫商贸有限公司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芹菜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 2019年9月6日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吕梁市抽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NCP19141100151400626</w:t>
            </w: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山西信恒鑫商贸有限公司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韭菜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 2019年9月6日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吕梁市抽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NCP19141100151400627</w:t>
            </w: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山西信恒鑫商贸有限公司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菜花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 2019年9月6日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吕梁市抽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NCP19141100151400628</w:t>
            </w: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山西信恒鑫商贸有限公司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澳芒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 2019年9月6日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水果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吕梁市抽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NCP19141100151400629</w:t>
            </w: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山西信恒鑫商贸有限公司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鸡蛋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 2019年9月6日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鲜蛋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吕梁市抽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NCP19141100151400630</w:t>
            </w: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山西信恒鑫商贸有限公司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黄油桃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 2019年9月6日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水果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吕梁市抽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NCP19141100151400631</w:t>
            </w: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山西信恒鑫商贸有限公司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龙眼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 2019年9月6日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水果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吕梁市抽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NCP19141100151400632</w:t>
            </w: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山西信恒鑫商贸有限公司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毛桃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 2019年9月6日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水果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吕梁市抽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NCP19141100151400633</w:t>
            </w: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山西信恒鑫商贸有限公司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凤梨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 2019年9月6日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水果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吕梁市抽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NCP19141100151400634</w:t>
            </w: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山西信恒鑫商贸有限公司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散柠檬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 2019年9月6日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水果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吕梁市抽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NCP19141100151400635</w:t>
            </w: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山西信恒鑫商贸有限公司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小凤西瓜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 2019年9月6日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水果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吕梁市抽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jc w:val="both"/>
        <w:rPr>
          <w:rFonts w:hint="eastAsia" w:ascii="宋体" w:hAnsi="宋体" w:cs="宋体"/>
          <w:b/>
          <w:bCs/>
          <w:sz w:val="36"/>
          <w:szCs w:val="36"/>
          <w:lang w:eastAsia="zh-CN"/>
        </w:rPr>
      </w:pPr>
    </w:p>
    <w:p>
      <w:pPr>
        <w:jc w:val="both"/>
        <w:rPr>
          <w:rFonts w:hint="eastAsia" w:ascii="宋体" w:hAnsi="宋体" w:cs="宋体"/>
          <w:b/>
          <w:bCs/>
          <w:sz w:val="36"/>
          <w:szCs w:val="36"/>
          <w:lang w:eastAsia="zh-CN"/>
        </w:rPr>
      </w:pPr>
    </w:p>
    <w:p>
      <w:pPr>
        <w:jc w:val="both"/>
        <w:rPr>
          <w:rFonts w:hint="eastAsia" w:ascii="宋体" w:hAnsi="宋体" w:cs="宋体"/>
          <w:b/>
          <w:bCs/>
          <w:sz w:val="36"/>
          <w:szCs w:val="36"/>
          <w:lang w:eastAsia="zh-CN"/>
        </w:rPr>
      </w:pPr>
    </w:p>
    <w:p>
      <w:pPr>
        <w:jc w:val="both"/>
        <w:rPr>
          <w:rFonts w:hint="eastAsia" w:ascii="宋体" w:hAnsi="宋体" w:cs="宋体"/>
          <w:b/>
          <w:bCs/>
          <w:sz w:val="36"/>
          <w:szCs w:val="36"/>
          <w:lang w:eastAsia="zh-CN"/>
        </w:rPr>
      </w:pPr>
    </w:p>
    <w:p>
      <w:pPr>
        <w:jc w:val="both"/>
        <w:rPr>
          <w:rFonts w:hint="eastAsia" w:ascii="宋体" w:hAnsi="宋体" w:cs="宋体"/>
          <w:b/>
          <w:bCs/>
          <w:sz w:val="36"/>
          <w:szCs w:val="36"/>
          <w:lang w:eastAsia="zh-CN"/>
        </w:rPr>
      </w:pPr>
    </w:p>
    <w:p>
      <w:pPr>
        <w:jc w:val="both"/>
        <w:rPr>
          <w:rFonts w:hint="eastAsia" w:ascii="宋体" w:hAnsi="宋体" w:cs="宋体"/>
          <w:b/>
          <w:bCs/>
          <w:sz w:val="36"/>
          <w:szCs w:val="36"/>
          <w:lang w:eastAsia="zh-CN"/>
        </w:rPr>
      </w:pPr>
    </w:p>
    <w:p>
      <w:pPr>
        <w:jc w:val="both"/>
        <w:rPr>
          <w:rFonts w:hint="eastAsia" w:ascii="宋体" w:hAnsi="宋体" w:cs="宋体"/>
          <w:b/>
          <w:bCs/>
          <w:sz w:val="36"/>
          <w:szCs w:val="36"/>
          <w:lang w:eastAsia="zh-CN"/>
        </w:rPr>
      </w:pPr>
      <w:r>
        <w:rPr>
          <w:rFonts w:hint="eastAsia" w:ascii="宋体" w:hAnsi="宋体" w:cs="宋体"/>
          <w:b/>
          <w:bCs/>
          <w:sz w:val="36"/>
          <w:szCs w:val="36"/>
          <w:lang w:eastAsia="zh-CN"/>
        </w:rPr>
        <w:t>附件三</w:t>
      </w:r>
    </w:p>
    <w:tbl>
      <w:tblPr>
        <w:tblStyle w:val="5"/>
        <w:tblW w:w="1363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75"/>
        <w:gridCol w:w="285"/>
        <w:gridCol w:w="705"/>
        <w:gridCol w:w="675"/>
        <w:gridCol w:w="1335"/>
        <w:gridCol w:w="615"/>
        <w:gridCol w:w="630"/>
        <w:gridCol w:w="495"/>
        <w:gridCol w:w="345"/>
        <w:gridCol w:w="1230"/>
        <w:gridCol w:w="1755"/>
        <w:gridCol w:w="495"/>
        <w:gridCol w:w="495"/>
        <w:gridCol w:w="495"/>
        <w:gridCol w:w="705"/>
        <w:gridCol w:w="705"/>
        <w:gridCol w:w="49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635" w:type="dxa"/>
            <w:gridSpan w:val="17"/>
            <w:vMerge w:val="restar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2019年第4期食品监督抽检产品不合格信息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3635" w:type="dxa"/>
            <w:gridSpan w:val="17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抽样编号</w:t>
            </w: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标称生产企业名称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标称生产企业地址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被抽样单位名称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被抽样单位地址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食品名称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生产日期/批号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不合格项目║检验结果║标准值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分类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公告号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公告日期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任务来源/项目名称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检验机构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NCP19141100151400520</w:t>
            </w: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石楼县建军水果蔬菜烟酒副食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鸡蛋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 2019年9月3日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恩诺沙星与环丙沙星║0.676mg/kg║不得检出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鲜蛋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吕梁市抽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河南华测检测技术有限公司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NCP19141100151400570</w:t>
            </w: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柳林县翠连综合商店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香蕉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 2019年9月5日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吡唑醚菌酯║0.12mg/kg║≤0.02mg/kg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水果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吕梁市抽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河南华测检测技术有限公司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NCP19141100151400585</w:t>
            </w: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柳林县瑞明蔬菜水产店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香蕉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 2019年9月5日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吡唑醚菌酯║0.43mg/kg║≤0.02mg/kg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水果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吕梁市抽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河南华测检测技术有限公司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NCP19141100151400610</w:t>
            </w: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柳林县好又多超市有限责任公司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豆芽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 2019年9月6日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4-氯苯氧乙酸钠║0.14mg/kg║≤不得检出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吕梁市抽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河南华测检测技术有限公司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NCP19141100151400621</w:t>
            </w: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山西信恒鑫商贸有限公司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绿豆芽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 2019年9月6日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4-氯苯氧乙酸钠║0.50mg/kg║≤不得检出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吕梁市抽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河南华测检测技术有限公司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jc w:val="both"/>
        <w:rPr>
          <w:rFonts w:hint="eastAsia" w:ascii="宋体" w:hAnsi="宋体" w:cs="宋体"/>
          <w:b/>
          <w:bCs/>
          <w:sz w:val="36"/>
          <w:szCs w:val="36"/>
          <w:lang w:eastAsia="zh-CN"/>
        </w:rPr>
      </w:pPr>
    </w:p>
    <w:p>
      <w:pPr>
        <w:snapToGrid w:val="0"/>
        <w:spacing w:line="560" w:lineRule="exact"/>
        <w:ind w:firstLine="2891" w:firstLineChars="800"/>
        <w:jc w:val="both"/>
        <w:rPr>
          <w:rFonts w:hint="eastAsia" w:ascii="宋体" w:hAnsi="宋体" w:cs="宋体"/>
          <w:b/>
          <w:bCs/>
          <w:sz w:val="36"/>
          <w:szCs w:val="36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both"/>
        <w:rPr>
          <w:rFonts w:hint="eastAsia" w:ascii="宋体" w:hAnsi="宋体" w:cs="宋体"/>
          <w:b/>
          <w:bCs/>
          <w:sz w:val="36"/>
          <w:szCs w:val="36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ZHTK--GBK1-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AA6AF6"/>
    <w:multiLevelType w:val="singleLevel"/>
    <w:tmpl w:val="58AA6AF6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1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68A9253F"/>
    <w:rsid w:val="00030DD2"/>
    <w:rsid w:val="0013063E"/>
    <w:rsid w:val="001E1C31"/>
    <w:rsid w:val="00263C06"/>
    <w:rsid w:val="00336E1A"/>
    <w:rsid w:val="00401A82"/>
    <w:rsid w:val="00412745"/>
    <w:rsid w:val="004216EF"/>
    <w:rsid w:val="00475540"/>
    <w:rsid w:val="004A4AEE"/>
    <w:rsid w:val="005272F9"/>
    <w:rsid w:val="005A28B3"/>
    <w:rsid w:val="005B5F11"/>
    <w:rsid w:val="006A21F6"/>
    <w:rsid w:val="006A26F5"/>
    <w:rsid w:val="006D0B31"/>
    <w:rsid w:val="006E5FC6"/>
    <w:rsid w:val="00743112"/>
    <w:rsid w:val="00756778"/>
    <w:rsid w:val="007A2A74"/>
    <w:rsid w:val="007E3AEE"/>
    <w:rsid w:val="00826176"/>
    <w:rsid w:val="00A12FCE"/>
    <w:rsid w:val="00A60795"/>
    <w:rsid w:val="00AC4308"/>
    <w:rsid w:val="00AC7FFD"/>
    <w:rsid w:val="00B870CD"/>
    <w:rsid w:val="00BB2350"/>
    <w:rsid w:val="00BD21CA"/>
    <w:rsid w:val="00C24F77"/>
    <w:rsid w:val="00D50641"/>
    <w:rsid w:val="00D51576"/>
    <w:rsid w:val="00EA678B"/>
    <w:rsid w:val="00EF23B0"/>
    <w:rsid w:val="00F44847"/>
    <w:rsid w:val="00F5343F"/>
    <w:rsid w:val="01DF082F"/>
    <w:rsid w:val="02B61F16"/>
    <w:rsid w:val="03342A36"/>
    <w:rsid w:val="040C2BFD"/>
    <w:rsid w:val="04BA7800"/>
    <w:rsid w:val="04CC676D"/>
    <w:rsid w:val="0535559B"/>
    <w:rsid w:val="06925618"/>
    <w:rsid w:val="09C46C96"/>
    <w:rsid w:val="0AA64651"/>
    <w:rsid w:val="0B6A0567"/>
    <w:rsid w:val="0D657646"/>
    <w:rsid w:val="0D9074A6"/>
    <w:rsid w:val="10A14F5D"/>
    <w:rsid w:val="135306A7"/>
    <w:rsid w:val="170D01DE"/>
    <w:rsid w:val="17590822"/>
    <w:rsid w:val="17C64181"/>
    <w:rsid w:val="18845676"/>
    <w:rsid w:val="1887347E"/>
    <w:rsid w:val="198A63B7"/>
    <w:rsid w:val="1B6620DE"/>
    <w:rsid w:val="1DD447EA"/>
    <w:rsid w:val="1E100996"/>
    <w:rsid w:val="211A2E89"/>
    <w:rsid w:val="21DA0F4B"/>
    <w:rsid w:val="21DF7FFC"/>
    <w:rsid w:val="220D36A6"/>
    <w:rsid w:val="22683EF9"/>
    <w:rsid w:val="23E11A72"/>
    <w:rsid w:val="251A3085"/>
    <w:rsid w:val="25E16FB0"/>
    <w:rsid w:val="265C3619"/>
    <w:rsid w:val="26EF55A1"/>
    <w:rsid w:val="27097D0B"/>
    <w:rsid w:val="276F7292"/>
    <w:rsid w:val="28236F83"/>
    <w:rsid w:val="2A550659"/>
    <w:rsid w:val="2C9013B0"/>
    <w:rsid w:val="2E626E3C"/>
    <w:rsid w:val="2E972C13"/>
    <w:rsid w:val="2EB31CD2"/>
    <w:rsid w:val="2EF77059"/>
    <w:rsid w:val="307D4D1A"/>
    <w:rsid w:val="3100553E"/>
    <w:rsid w:val="32794481"/>
    <w:rsid w:val="32C30CF2"/>
    <w:rsid w:val="32FD1F69"/>
    <w:rsid w:val="34004B38"/>
    <w:rsid w:val="366E4ACF"/>
    <w:rsid w:val="37C40388"/>
    <w:rsid w:val="3DCF299E"/>
    <w:rsid w:val="3F7E2296"/>
    <w:rsid w:val="3FC63BD6"/>
    <w:rsid w:val="40D00D59"/>
    <w:rsid w:val="41F724C7"/>
    <w:rsid w:val="422053E9"/>
    <w:rsid w:val="42BC5361"/>
    <w:rsid w:val="457B7A46"/>
    <w:rsid w:val="45AD0B17"/>
    <w:rsid w:val="483907DC"/>
    <w:rsid w:val="492C6705"/>
    <w:rsid w:val="4D8948CA"/>
    <w:rsid w:val="4DDD3786"/>
    <w:rsid w:val="4ECF1997"/>
    <w:rsid w:val="554D1BF6"/>
    <w:rsid w:val="558F3864"/>
    <w:rsid w:val="59405CE2"/>
    <w:rsid w:val="596557E9"/>
    <w:rsid w:val="5A530A36"/>
    <w:rsid w:val="5AC45602"/>
    <w:rsid w:val="5BDD661D"/>
    <w:rsid w:val="627838E3"/>
    <w:rsid w:val="62B72F63"/>
    <w:rsid w:val="636F2FA6"/>
    <w:rsid w:val="63E67378"/>
    <w:rsid w:val="646113CC"/>
    <w:rsid w:val="648B4035"/>
    <w:rsid w:val="64F10760"/>
    <w:rsid w:val="652A43E6"/>
    <w:rsid w:val="68A9253F"/>
    <w:rsid w:val="695050D5"/>
    <w:rsid w:val="69EB2086"/>
    <w:rsid w:val="6C5B5C1A"/>
    <w:rsid w:val="6C79721B"/>
    <w:rsid w:val="6C925CB2"/>
    <w:rsid w:val="6DC45FAF"/>
    <w:rsid w:val="6DD161A0"/>
    <w:rsid w:val="6E3B3A08"/>
    <w:rsid w:val="6F0338B8"/>
    <w:rsid w:val="6FBC2A60"/>
    <w:rsid w:val="6FBD3CCD"/>
    <w:rsid w:val="70162355"/>
    <w:rsid w:val="71505920"/>
    <w:rsid w:val="71966318"/>
    <w:rsid w:val="71EF6049"/>
    <w:rsid w:val="72241D7A"/>
    <w:rsid w:val="729B1435"/>
    <w:rsid w:val="733B4FFD"/>
    <w:rsid w:val="739905F9"/>
    <w:rsid w:val="73D36333"/>
    <w:rsid w:val="76F171B5"/>
    <w:rsid w:val="776F6F38"/>
    <w:rsid w:val="791866DF"/>
    <w:rsid w:val="79D04F20"/>
    <w:rsid w:val="7A354A01"/>
    <w:rsid w:val="7A422FDB"/>
    <w:rsid w:val="7C3D20E4"/>
    <w:rsid w:val="7C443BD1"/>
    <w:rsid w:val="7C50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iPriority="99" w:semiHidden="0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semiHidden="0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qFormat="1"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宋体" w:cs="Times New Roman"/>
      <w:kern w:val="0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Autospacing="1" w:afterAutospacing="1"/>
    </w:pPr>
    <w:rPr>
      <w:sz w:val="24"/>
    </w:rPr>
  </w:style>
  <w:style w:type="table" w:styleId="6">
    <w:name w:val="Table Grid"/>
    <w:basedOn w:val="5"/>
    <w:qFormat/>
    <w:locked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qFormat/>
    <w:locked/>
    <w:uiPriority w:val="99"/>
    <w:rPr>
      <w:color w:val="0000FF"/>
      <w:u w:val="single"/>
    </w:rPr>
  </w:style>
  <w:style w:type="character" w:customStyle="1" w:styleId="9">
    <w:name w:val="Footer Char"/>
    <w:basedOn w:val="7"/>
    <w:link w:val="2"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Header Char"/>
    <w:basedOn w:val="7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fontstyle01"/>
    <w:basedOn w:val="7"/>
    <w:qFormat/>
    <w:uiPriority w:val="0"/>
    <w:rPr>
      <w:rFonts w:ascii="FZHTK--GBK1-0" w:hAnsi="FZHTK--GBK1-0" w:eastAsia="FZHTK--GBK1-0" w:cs="FZHTK--GBK1-0"/>
      <w:color w:val="000000"/>
      <w:sz w:val="52"/>
      <w:szCs w:val="5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14</Pages>
  <Words>795</Words>
  <Characters>4537</Characters>
  <Lines>0</Lines>
  <Paragraphs>0</Paragraphs>
  <TotalTime>0</TotalTime>
  <ScaleCrop>false</ScaleCrop>
  <LinksUpToDate>false</LinksUpToDate>
  <CharactersWithSpaces>0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2017-07-12T03:04:00Z</dcterms:created>
  <dc:creator>PC</dc:creator>
  <cp:lastModifiedBy>红果果</cp:lastModifiedBy>
  <cp:lastPrinted>2019-10-10T06:42:00Z</cp:lastPrinted>
  <dcterms:modified xsi:type="dcterms:W3CDTF">2022-11-14T07:46:20Z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3B826E5B49ED483FB67197D8F4EBAEC3</vt:lpwstr>
  </property>
</Properties>
</file>