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356" w:lineRule="exact"/>
        <w:rPr>
          <w:rFonts w:ascii="Times New Roman" w:hAnsi="Times New Roman"/>
          <w:sz w:val="24"/>
        </w:rPr>
      </w:pPr>
    </w:p>
    <w:p>
      <w:pPr>
        <w:spacing w:line="240" w:lineRule="atLeast"/>
        <w:jc w:val="center"/>
        <w:rPr>
          <w:rFonts w:ascii="宋体"/>
          <w:b w:val="0"/>
          <w:bCs w:val="0"/>
          <w:color w:val="FF0000"/>
          <w:sz w:val="69"/>
        </w:rPr>
      </w:pPr>
      <w:r>
        <w:rPr>
          <w:rFonts w:hint="eastAsia" w:ascii="宋体" w:hAnsi="宋体"/>
          <w:b w:val="0"/>
          <w:bCs w:val="0"/>
          <w:color w:val="FF0000"/>
          <w:sz w:val="69"/>
          <w:lang w:eastAsia="zh-CN"/>
        </w:rPr>
        <w:t>吕梁市市场</w:t>
      </w:r>
      <w:r>
        <w:rPr>
          <w:rFonts w:hint="eastAsia" w:ascii="宋体" w:hAnsi="宋体"/>
          <w:b w:val="0"/>
          <w:bCs w:val="0"/>
          <w:color w:val="FF0000"/>
          <w:sz w:val="69"/>
        </w:rPr>
        <w:t>监督管理局</w:t>
      </w:r>
    </w:p>
    <w:p>
      <w:pPr>
        <w:spacing w:line="200" w:lineRule="exact"/>
        <w:jc w:val="center"/>
        <w:rPr>
          <w:rFonts w:ascii="Times New Roman" w:hAnsi="Times New Roman"/>
          <w:b w:val="0"/>
          <w:bCs w:val="0"/>
          <w:color w:val="FF0000"/>
          <w:sz w:val="24"/>
        </w:rPr>
      </w:pPr>
    </w:p>
    <w:p>
      <w:pPr>
        <w:spacing w:line="200" w:lineRule="exact"/>
        <w:rPr>
          <w:rFonts w:ascii="Times New Roman" w:hAnsi="Times New Roman"/>
          <w:b w:val="0"/>
          <w:bCs w:val="0"/>
          <w:color w:val="FF0000"/>
          <w:sz w:val="24"/>
        </w:rPr>
      </w:pPr>
    </w:p>
    <w:p>
      <w:pPr>
        <w:spacing w:line="200" w:lineRule="exact"/>
        <w:rPr>
          <w:rFonts w:ascii="Times New Roman" w:hAnsi="Times New Roman"/>
          <w:b w:val="0"/>
          <w:bCs w:val="0"/>
          <w:color w:val="FF0000"/>
          <w:sz w:val="24"/>
        </w:rPr>
      </w:pPr>
    </w:p>
    <w:p>
      <w:pPr>
        <w:spacing w:line="260" w:lineRule="exact"/>
        <w:rPr>
          <w:rFonts w:ascii="Times New Roman" w:hAnsi="Times New Roman"/>
          <w:b w:val="0"/>
          <w:bCs w:val="0"/>
          <w:color w:val="FF0000"/>
          <w:sz w:val="24"/>
        </w:rPr>
      </w:pPr>
    </w:p>
    <w:p>
      <w:pPr>
        <w:tabs>
          <w:tab w:val="left" w:pos="4760"/>
        </w:tabs>
        <w:spacing w:line="240" w:lineRule="atLeast"/>
        <w:ind w:left="2680"/>
        <w:rPr>
          <w:rFonts w:ascii="宋体"/>
          <w:b w:val="0"/>
          <w:bCs w:val="0"/>
          <w:color w:val="FF0000"/>
          <w:sz w:val="84"/>
        </w:rPr>
      </w:pPr>
      <w:r>
        <w:rPr>
          <w:rFonts w:hint="eastAsia" w:ascii="宋体" w:hAnsi="宋体"/>
          <w:b w:val="0"/>
          <w:bCs w:val="0"/>
          <w:color w:val="FF0000"/>
          <w:sz w:val="84"/>
        </w:rPr>
        <w:t>公</w:t>
      </w:r>
      <w:r>
        <w:rPr>
          <w:rFonts w:ascii="Times New Roman" w:hAnsi="Times New Roman"/>
          <w:b w:val="0"/>
          <w:bCs w:val="0"/>
          <w:color w:val="FF0000"/>
        </w:rPr>
        <w:tab/>
      </w:r>
      <w:r>
        <w:rPr>
          <w:rFonts w:hint="eastAsia" w:ascii="宋体" w:hAnsi="宋体"/>
          <w:b w:val="0"/>
          <w:bCs w:val="0"/>
          <w:color w:val="FF0000"/>
          <w:sz w:val="84"/>
        </w:rPr>
        <w:t>告</w:t>
      </w: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267" w:lineRule="exact"/>
        <w:rPr>
          <w:rFonts w:ascii="Times New Roman" w:hAnsi="Times New Roman"/>
          <w:sz w:val="24"/>
        </w:rPr>
      </w:pPr>
    </w:p>
    <w:p>
      <w:pPr>
        <w:spacing w:line="240" w:lineRule="atLeast"/>
        <w:ind w:left="1980"/>
        <w:rPr>
          <w:rFonts w:asci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吕梁市市场</w:t>
      </w:r>
      <w:r>
        <w:rPr>
          <w:rFonts w:hint="eastAsia" w:ascii="宋体" w:hAnsi="宋体"/>
          <w:b/>
          <w:sz w:val="36"/>
        </w:rPr>
        <w:t>监督管理局</w:t>
      </w:r>
    </w:p>
    <w:p>
      <w:pPr>
        <w:spacing w:line="244" w:lineRule="exact"/>
        <w:rPr>
          <w:rFonts w:ascii="Times New Roman" w:hAnsi="Times New Roman"/>
          <w:sz w:val="24"/>
        </w:rPr>
      </w:pPr>
    </w:p>
    <w:p>
      <w:pPr>
        <w:spacing w:line="240" w:lineRule="atLeast"/>
        <w:ind w:left="480"/>
        <w:rPr>
          <w:rFonts w:ascii="宋体"/>
          <w:b/>
          <w:sz w:val="36"/>
        </w:rPr>
      </w:pPr>
      <w:r>
        <w:rPr>
          <w:rFonts w:ascii="宋体" w:hAnsi="宋体"/>
          <w:b/>
          <w:sz w:val="36"/>
        </w:rPr>
        <w:t>201</w:t>
      </w:r>
      <w:r>
        <w:rPr>
          <w:rFonts w:hint="eastAsia" w:ascii="宋体" w:hAnsi="宋体"/>
          <w:b/>
          <w:sz w:val="36"/>
          <w:lang w:val="en-US" w:eastAsia="zh-CN"/>
        </w:rPr>
        <w:t>9</w:t>
      </w:r>
      <w:r>
        <w:rPr>
          <w:rFonts w:hint="eastAsia" w:ascii="宋体" w:hAnsi="宋体"/>
          <w:b/>
          <w:sz w:val="36"/>
        </w:rPr>
        <w:t>年食品安全监督抽检信息公告（第</w:t>
      </w:r>
      <w:r>
        <w:rPr>
          <w:rFonts w:hint="eastAsia" w:ascii="宋体" w:hAnsi="宋体"/>
          <w:b/>
          <w:sz w:val="36"/>
          <w:lang w:val="en-US" w:eastAsia="zh-CN"/>
        </w:rPr>
        <w:t>7</w:t>
      </w:r>
      <w:r>
        <w:rPr>
          <w:rFonts w:hint="eastAsia" w:ascii="宋体" w:hAnsi="宋体"/>
          <w:b/>
          <w:sz w:val="36"/>
        </w:rPr>
        <w:t>期）</w:t>
      </w: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480" w:lineRule="auto"/>
        <w:rPr>
          <w:rFonts w:ascii="Times New Roman" w:hAnsi="Times New Roman"/>
          <w:sz w:val="24"/>
        </w:rPr>
      </w:pPr>
    </w:p>
    <w:p>
      <w:pPr>
        <w:spacing w:line="360" w:lineRule="auto"/>
        <w:ind w:right="20" w:firstLine="62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本期公布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批次监督抽检结果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涉及食用农产品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个大类。根据食品安全国家标准，个别项目不合格，其产品即判定为不合格产品。其中：不合格样品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批次，合格样品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批次。</w:t>
      </w:r>
    </w:p>
    <w:p>
      <w:pPr>
        <w:spacing w:line="360" w:lineRule="auto"/>
        <w:ind w:left="5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合格样品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批次，具体为：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1.蔬菜 9批次，检验项目为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敌百虫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倍硫磷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灭多威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虫酰肼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甲霜灵和精甲霜灵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氯唑磷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内吸磷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杀扑磷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亚硫酸盐(以SO₂计)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6-苄基腺嘌呤(6-BA)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4-氯苯氧乙酸钠(以4-氯苯氧乙酸计)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久效磷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灭线磷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啶虫脒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伏杀硫磷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硫线磷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腐霉利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等全部检验合格。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.畜禽肉及副产品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批次，检验项目为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挥发性盐基氮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五氯酚酸钠(以五氯酚计)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恩诺沙星(以恩诺沙星与环丙沙星之和计)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培氟沙星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洛美沙星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诺氟沙星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磺胺类(总量)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尼卡巴嗪残留标志物</w:t>
      </w:r>
      <w:r>
        <w:rPr>
          <w:rFonts w:hint="eastAsia" w:ascii="仿宋" w:hAnsi="仿宋" w:eastAsia="仿宋" w:cs="仿宋"/>
          <w:sz w:val="32"/>
          <w:szCs w:val="32"/>
        </w:rPr>
        <w:t>等全部检验合格。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水产品1批次，检验项目为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挥发性盐基氮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孔雀石绿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氯霉素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呋喃唑酮代谢物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呋喃它酮代谢物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呋喃西林代谢物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呋喃妥因代谢物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恩诺沙星(以恩诺沙星与环丙沙星之和计)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培氟沙星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磺胺类(总量)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等全部检验合格。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4.水果类9批次，检验项目为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丙溴磷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辛硫磷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氟氯氰菊酯和高效氟氯氰菊酯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吡唑醚菌酯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烯酰吗啉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氰戊菊酯和S-氰戊菊酯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醚菌酯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乙酰甲胺磷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氯吡脲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溴氰菊酯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三唑磷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镉(以Cd计)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嘧菌酯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百菌清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啶虫脒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氯唑磷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联苯菊酯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水胺硫磷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等全</w:t>
      </w:r>
      <w:r>
        <w:rPr>
          <w:rFonts w:hint="eastAsia" w:ascii="仿宋" w:hAnsi="仿宋" w:eastAsia="仿宋" w:cs="仿宋"/>
          <w:sz w:val="32"/>
          <w:szCs w:val="32"/>
        </w:rPr>
        <w:t>部检验合格。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鲜蛋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3批次，检验项目为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恩诺沙星(以恩诺沙星与环丙沙星之和计)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培氟沙星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洛美沙星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诺氟沙星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氯霉素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氟苯尼考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呋喃唑酮代谢物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呋喃它酮代谢物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呋喃西林代谢物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呋喃妥因代谢物</w:t>
      </w:r>
      <w:r>
        <w:rPr>
          <w:rFonts w:hint="eastAsia" w:ascii="仿宋" w:hAnsi="仿宋" w:eastAsia="仿宋" w:cs="仿宋"/>
          <w:sz w:val="32"/>
          <w:szCs w:val="32"/>
        </w:rPr>
        <w:t>等全部检验合格。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6.豆类5批次，检验项目为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镉(以Cd计)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铬(以Cr计)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赭曲霉毒素A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烯草酮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丙炔氟草胺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氯嘧磺隆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氟磺胺草醚</w:t>
      </w:r>
      <w:r>
        <w:rPr>
          <w:rFonts w:hint="eastAsia" w:ascii="仿宋" w:hAnsi="仿宋" w:eastAsia="仿宋" w:cs="仿宋"/>
          <w:sz w:val="32"/>
          <w:szCs w:val="32"/>
        </w:rPr>
        <w:t>等全部检验合格。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不合格样品2批次，具体为：兴县俊青水产门市销售的短豆芽中的4-氯苯氧乙酸钠(以4-氯苯氧乙酸计)超标,绿豆芽中的4-氯苯氧乙酸钠(以4-氯苯氧乙酸计)超标。</w:t>
      </w:r>
    </w:p>
    <w:p>
      <w:pPr>
        <w:spacing w:line="360" w:lineRule="auto"/>
        <w:ind w:right="20" w:firstLine="641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 w:firstLine="675" w:firstLineChars="211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氯苯氧乙酸钠(以4-氯苯氧乙酸计)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别名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"https://baike.sogou.com/lemma/ShowInnerLink.htm?lemmaId=61572158&amp;ss_c=ssc.citiao.link" \t "https://baike.sogou.com/_blank"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对氯苯氧乙酸钠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为白色针状或棱状结晶，略有酚味。易溶于水，性质稳定，长期存放不变质。酸化后生成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"https://baike.sogou.com/lemma/ShowInnerLink.htm?lemmaId=7872443&amp;ss_c=ssc.citiao.link" \t "https://baike.sogou.com/_blank"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对氯苯氧乙酸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，溶于乙醚、乙醇等有机溶剂。在豆芽生产中，4-氯苯氧乙酸钠的应用十分广泛，它可以促进豆芽下胚抽粗大，减少根部萌发，加速细胞分裂。提高豆芽产量和质量，所生豆芽肥嫩、粗壮、爽口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但由于其对人体有一定积累毒性，国标已取消其作为食品添加剂的生产许可申请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但由于其对人体有一定积累毒性，国标已取消其作为食品添加剂的生产许可申请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“毒豆芽”案件多发的根本原因。商家为了增加豆芽的产量，生长速度、促进提前成熟，缩短豆芽的生长周期违规加入，导致超标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吕梁市市场监督管理局</w:t>
      </w:r>
    </w:p>
    <w:p>
      <w:pPr>
        <w:spacing w:line="360" w:lineRule="auto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2019年10月10日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、本次检验项目</w:t>
      </w:r>
    </w:p>
    <w:p>
      <w:pPr>
        <w:numPr>
          <w:ilvl w:val="0"/>
          <w:numId w:val="2"/>
        </w:numPr>
        <w:spacing w:line="360" w:lineRule="auto"/>
        <w:ind w:left="9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食品抽检合格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</w:t>
      </w:r>
    </w:p>
    <w:p>
      <w:pPr>
        <w:numPr>
          <w:ilvl w:val="0"/>
          <w:numId w:val="2"/>
        </w:numPr>
        <w:spacing w:line="360" w:lineRule="auto"/>
        <w:ind w:left="9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食品抽检不合格信息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（公开属性：主动公开）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pgSz w:w="11900" w:h="16838"/>
          <w:pgMar w:top="1440" w:right="1780" w:bottom="948" w:left="1800" w:header="0" w:footer="0" w:gutter="0"/>
          <w:cols w:equalWidth="0" w:num="1">
            <w:col w:w="8320"/>
          </w:cols>
          <w:docGrid w:linePitch="360" w:charSpace="0"/>
        </w:sect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page3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附件1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ind w:left="3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本次检验项目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一、食用农产品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ind w:left="64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(</w:t>
      </w:r>
      <w:r>
        <w:rPr>
          <w:rFonts w:hint="eastAsia" w:ascii="仿宋" w:hAnsi="仿宋" w:eastAsia="仿宋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抽检依据是GB 2762-2017《食品安全国家标准 食品中污染物限量》</w:t>
      </w:r>
      <w:r>
        <w:rPr>
          <w:rFonts w:hint="eastAsia" w:ascii="仿宋" w:hAnsi="仿宋" w:eastAsia="仿宋"/>
          <w:sz w:val="32"/>
          <w:lang w:eastAsia="zh-CN"/>
        </w:rPr>
        <w:t>、GB 2763-2016</w:t>
      </w:r>
      <w:r>
        <w:rPr>
          <w:rFonts w:hint="eastAsia" w:ascii="仿宋" w:hAnsi="仿宋" w:eastAsia="仿宋"/>
          <w:sz w:val="32"/>
        </w:rPr>
        <w:t>《食品安全国家标准 食品中农药最大残留限量》</w:t>
      </w:r>
      <w:r>
        <w:rPr>
          <w:rFonts w:hint="eastAsia" w:ascii="仿宋" w:hAnsi="仿宋" w:eastAsia="仿宋"/>
          <w:sz w:val="32"/>
          <w:lang w:eastAsia="zh-CN"/>
        </w:rPr>
        <w:t>GB 2733-2015《食品安全国家标准 鲜、冻动物性水产品》、</w:t>
      </w:r>
      <w:r>
        <w:rPr>
          <w:rFonts w:hint="eastAsia" w:ascii="仿宋" w:hAnsi="仿宋" w:eastAsia="仿宋"/>
          <w:sz w:val="32"/>
        </w:rPr>
        <w:t>中华人民共和国农业部第</w:t>
      </w:r>
      <w:r>
        <w:rPr>
          <w:rFonts w:ascii="仿宋" w:hAnsi="仿宋" w:eastAsia="仿宋"/>
          <w:sz w:val="32"/>
        </w:rPr>
        <w:t>235</w:t>
      </w:r>
      <w:r>
        <w:rPr>
          <w:rFonts w:hint="eastAsia" w:ascii="仿宋" w:hAnsi="仿宋" w:eastAsia="仿宋"/>
          <w:sz w:val="32"/>
        </w:rPr>
        <w:t>号《动物性食品中兽药最高残留量》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中华人民共和国农业部</w:t>
      </w:r>
      <w:r>
        <w:rPr>
          <w:rFonts w:hint="eastAsia" w:ascii="仿宋" w:hAnsi="仿宋" w:eastAsia="仿宋"/>
          <w:sz w:val="32"/>
          <w:lang w:eastAsia="zh-CN"/>
        </w:rPr>
        <w:t>第</w:t>
      </w:r>
      <w:r>
        <w:rPr>
          <w:rFonts w:hint="eastAsia" w:ascii="仿宋" w:hAnsi="仿宋" w:eastAsia="仿宋"/>
          <w:sz w:val="32"/>
          <w:lang w:val="en-US" w:eastAsia="zh-CN"/>
        </w:rPr>
        <w:t>560</w:t>
      </w:r>
      <w:r>
        <w:rPr>
          <w:rFonts w:hint="eastAsia" w:ascii="仿宋" w:hAnsi="仿宋" w:eastAsia="仿宋"/>
          <w:sz w:val="32"/>
        </w:rPr>
        <w:t>号《兽药地方标准废止目录》</w:t>
      </w:r>
      <w:r>
        <w:rPr>
          <w:rFonts w:hint="eastAsia" w:ascii="仿宋" w:hAnsi="仿宋" w:eastAsia="仿宋"/>
          <w:sz w:val="32"/>
          <w:lang w:eastAsia="zh-CN"/>
        </w:rPr>
        <w:t>、农业部公告第2292号《禁止在食品动物中使用洛美沙星等4种原料药的各种盐、脂及各种制剂的公告》、国家食品药品监督管理总局 农业部 国家卫生和计划生育委员会关于豆芽生产过程中禁止使用6-苄基腺嘌呤等物质的公告（2015 年第 11 号）、GB 22556-2008《豆芽卫生标准》、GB 2707-2016《食品安全国家标准 鲜（冻）畜、禽产品》。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(二）检验项目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蔬菜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敌百虫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倍硫磷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灭多威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虫酰肼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甲霜灵和精甲霜灵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氯唑磷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内吸磷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杀扑磷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亚硫酸盐(以SO₂计)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6-苄基腺嘌呤(6-BA)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4-氯苯氧乙酸钠(以4-氯苯氧乙酸计)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久效磷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灭线磷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啶虫脒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伏杀硫磷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硫线磷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腐霉利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.畜禽肉及副产品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检验项目为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挥发性盐基氮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五氯酚酸钠(以五氯酚计)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恩诺沙星(以恩诺沙星与环丙沙星之和计)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培氟沙星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洛美沙星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诺氟沙星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磺胺类(总量)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尼卡巴嗪残留标志物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水产品的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挥发性盐基氮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孔雀石绿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氯霉素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呋喃唑酮代谢物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呋喃它酮代谢物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呋喃西林代谢物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呋喃妥因代谢物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恩诺沙星(以恩诺沙星与环丙沙星之和计)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培氟沙星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磺胺类(总量)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4.水果类的检验项目为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丙溴磷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辛硫磷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氟氯氰菊酯和高效氟氯氰菊酯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吡唑醚菌酯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烯酰吗啉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氰戊菊酯和S-氰戊菊酯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醚菌酯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乙酰甲胺磷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氯吡脲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溴氰菊酯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三唑磷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镉(以Cd计)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嘧菌酯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百菌清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啶虫脒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氯唑磷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联苯菊酯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水胺硫磷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鲜蛋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的检验项目为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恩诺沙星(以恩诺沙星与环丙沙星之和计)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培氟沙星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洛美沙星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诺氟沙星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氯霉素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氟苯尼考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呋喃唑酮代谢物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呋喃它酮代谢物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呋喃西林代谢物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呋喃妥因代谢物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豆类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的检验项目为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镉(以Cd计)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铬(以Cr计)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赭曲霉毒素A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烯草酮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丙炔氟草胺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氯嘧磺隆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氟磺胺草醚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1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left="640"/>
        <w:rPr>
          <w:rFonts w:hint="eastAsia" w:ascii="仿宋" w:hAnsi="仿宋" w:eastAsia="仿宋"/>
          <w:sz w:val="32"/>
        </w:rPr>
      </w:pPr>
    </w:p>
    <w:p>
      <w:pPr>
        <w:spacing w:line="360" w:lineRule="auto"/>
        <w:ind w:left="640"/>
        <w:rPr>
          <w:rFonts w:hint="eastAsia" w:ascii="仿宋" w:hAnsi="仿宋" w:eastAsia="仿宋"/>
          <w:sz w:val="32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 xml:space="preserve">      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ind w:right="16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page4"/>
      <w:bookmarkEnd w:id="1"/>
    </w:p>
    <w:tbl>
      <w:tblPr>
        <w:tblStyle w:val="7"/>
        <w:tblW w:w="14513" w:type="dxa"/>
        <w:tblInd w:w="-44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769"/>
        <w:gridCol w:w="1031"/>
        <w:gridCol w:w="919"/>
        <w:gridCol w:w="1275"/>
        <w:gridCol w:w="1050"/>
        <w:gridCol w:w="675"/>
        <w:gridCol w:w="647"/>
        <w:gridCol w:w="1134"/>
        <w:gridCol w:w="740"/>
        <w:gridCol w:w="876"/>
        <w:gridCol w:w="1030"/>
        <w:gridCol w:w="1160"/>
        <w:gridCol w:w="116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2019年第7期食品监督抽检产品合格信息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  <w:r>
              <w:rPr>
                <w:rStyle w:val="15"/>
                <w:lang w:val="en-US" w:eastAsia="zh-CN" w:bidi="ar"/>
              </w:rPr>
              <w:t>/批号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</w:t>
            </w:r>
            <w:r>
              <w:rPr>
                <w:rStyle w:val="15"/>
                <w:lang w:val="en-US" w:eastAsia="zh-CN" w:bidi="ar"/>
              </w:rPr>
              <w:t>/项目名称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NCP19142300461630793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县城桥南社区向阳东路18号十字街口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2019-09-07（购进日期）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NCP19142300461630794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县城桥南社区向阳东路18号十字街口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红小豆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2019-09-07（购进日期）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NCP19142300461630795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县城桥南社区向阳东路18号十字街口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花豇豆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2019-09-07（购进日期）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NCP19142300461630796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县城桥南社区向阳东路18号十字街口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绿青豆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2019-09-07（购进日期）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NCP19142300461630797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县城桥南社区向阳东路18号十字街口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2019-09-07（购进日期）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NCP19142300461630798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县城桥南社区向阳东路18号十字街口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精品苹果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2019-09-10（购进日期）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7"/>
        <w:tblW w:w="14513" w:type="dxa"/>
        <w:tblInd w:w="-44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769"/>
        <w:gridCol w:w="1031"/>
        <w:gridCol w:w="919"/>
        <w:gridCol w:w="1275"/>
        <w:gridCol w:w="1050"/>
        <w:gridCol w:w="675"/>
        <w:gridCol w:w="647"/>
        <w:gridCol w:w="1134"/>
        <w:gridCol w:w="740"/>
        <w:gridCol w:w="876"/>
        <w:gridCol w:w="1030"/>
        <w:gridCol w:w="1160"/>
        <w:gridCol w:w="116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  <w:r>
              <w:rPr>
                <w:rStyle w:val="15"/>
                <w:lang w:val="en-US" w:eastAsia="zh-CN" w:bidi="ar"/>
              </w:rPr>
              <w:t>/批号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</w:t>
            </w:r>
            <w:r>
              <w:rPr>
                <w:rStyle w:val="15"/>
                <w:lang w:val="en-US" w:eastAsia="zh-CN" w:bidi="ar"/>
              </w:rPr>
              <w:t>/项目名称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NCP19142300461630799</w:t>
            </w:r>
          </w:p>
        </w:tc>
        <w:tc>
          <w:tcPr>
            <w:tcW w:w="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县城桥南社区向阳东路18号十字街口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</w:t>
            </w: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2019-09-10（购进日期）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县城桥南社区向阳东路18号十字街口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烟台富士（苹果）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2019-09-10（购进日期）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县城桥南社区向阳东路18号十字街口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2019-09-10（购进日期）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NCP19142300461630802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县城桥南社区向阳东路18号十字街口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进口香蕉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2019-09-10（购进日期）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NCP19142300461630803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县城桥南社区向阳东路18号十字街口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鸡脯肉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2019-09-08（购进日期）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NCP19142300461630804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县城桥南社区向阳东路18号十字街口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2019-09-07（购进日期）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NCP19142300461630815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兴县魏家滩镇魏家滩村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2019-09-09（购进日期）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NCP19142300461630818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兴县魏家滩镇魏家滩村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2019-09-11（购进日期）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  <w:r>
              <w:rPr>
                <w:rStyle w:val="15"/>
                <w:lang w:val="en-US" w:eastAsia="zh-CN" w:bidi="ar"/>
              </w:rPr>
              <w:t>/批号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</w:t>
            </w:r>
            <w:r>
              <w:rPr>
                <w:rStyle w:val="15"/>
                <w:lang w:val="en-US" w:eastAsia="zh-CN" w:bidi="ar"/>
              </w:rPr>
              <w:t>/项目名称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NCP19142300461630819</w:t>
            </w:r>
          </w:p>
        </w:tc>
        <w:tc>
          <w:tcPr>
            <w:tcW w:w="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兴县魏家滩镇魏家滩村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2019-09-11（购进日期）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兴县魏家滩镇魏家滩村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2019-09-11（购进日期）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NCP19142300461630821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兴县魏家滩镇魏家滩村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2019-09-11（购进日期）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NCP19142300461630822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兴县魏家滩镇魏家滩村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2019-09-11（购进日期）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NCP19142300461630823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兴县魏家滩镇魏家滩村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2019-09-11（购进日期）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NCP19142300461630824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兴县魏家滩镇魏家滩村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2019-09-11（购进日期）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NCP19142300461630807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山西省吕梁市临县临泉镇从龙北路58号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2019-09-12（购进日期）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NCP19142300461630808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山西省吕梁市临县临泉镇从龙北路58号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2019-09-10（购进日期）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tbl>
      <w:tblPr>
        <w:tblStyle w:val="7"/>
        <w:tblW w:w="14513" w:type="dxa"/>
        <w:tblInd w:w="-44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769"/>
        <w:gridCol w:w="1031"/>
        <w:gridCol w:w="919"/>
        <w:gridCol w:w="1275"/>
        <w:gridCol w:w="1050"/>
        <w:gridCol w:w="675"/>
        <w:gridCol w:w="647"/>
        <w:gridCol w:w="1134"/>
        <w:gridCol w:w="740"/>
        <w:gridCol w:w="876"/>
        <w:gridCol w:w="1030"/>
        <w:gridCol w:w="1160"/>
        <w:gridCol w:w="116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  <w:r>
              <w:rPr>
                <w:rStyle w:val="15"/>
                <w:lang w:val="en-US" w:eastAsia="zh-CN" w:bidi="ar"/>
              </w:rPr>
              <w:t>/批号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</w:t>
            </w:r>
            <w:r>
              <w:rPr>
                <w:rStyle w:val="15"/>
                <w:lang w:val="en-US" w:eastAsia="zh-CN" w:bidi="ar"/>
              </w:rPr>
              <w:t>/项目名称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NCP19142300461630809</w:t>
            </w:r>
          </w:p>
        </w:tc>
        <w:tc>
          <w:tcPr>
            <w:tcW w:w="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山西省吕梁市临县临泉镇从龙北路58号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笨鸡蛋</w:t>
            </w:r>
          </w:p>
        </w:tc>
        <w:tc>
          <w:tcPr>
            <w:tcW w:w="6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2019-09-11（购进日期）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山西省吕梁市临县临泉镇从龙北路58号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2019-09-12（购进日期）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NCP19142300461630811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山西省吕梁市临县临泉镇从龙北路58号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2019-09-10（购进日期）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NCP19142300461630812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山西省吕梁市临县临泉镇从龙北路58号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乳芽（黄豆芽）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2019-09-12（购进日期）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NCP19142300461630813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山西省吕梁市临县临泉镇从龙北路58号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2019-09-12（购进日期）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NCP19142300461630814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山西省吕梁市临县临泉镇从龙北路58号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2019-09-12（购进日期）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hd w:val="clear" w:fill="FFFFFF" w:themeFill="background1"/>
        <w:jc w:val="both"/>
        <w:rPr>
          <w:rFonts w:hint="eastAsia" w:ascii="仿宋" w:hAnsi="仿宋" w:eastAsia="仿宋" w:cs="仿宋"/>
          <w:b/>
          <w:bCs/>
          <w:sz w:val="21"/>
          <w:szCs w:val="21"/>
        </w:rPr>
      </w:pPr>
    </w:p>
    <w:tbl>
      <w:tblPr>
        <w:tblStyle w:val="7"/>
        <w:tblW w:w="15645" w:type="dxa"/>
        <w:jc w:val="center"/>
        <w:tblInd w:w="-82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854"/>
        <w:gridCol w:w="854"/>
        <w:gridCol w:w="854"/>
        <w:gridCol w:w="854"/>
        <w:gridCol w:w="855"/>
        <w:gridCol w:w="855"/>
        <w:gridCol w:w="855"/>
        <w:gridCol w:w="803"/>
        <w:gridCol w:w="1030"/>
        <w:gridCol w:w="1644"/>
        <w:gridCol w:w="855"/>
        <w:gridCol w:w="883"/>
        <w:gridCol w:w="1030"/>
        <w:gridCol w:w="855"/>
        <w:gridCol w:w="53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6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6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2019年第7期食品监督抽检产品不合格信息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不合格项目|检验结果|标准值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NCP19142300461630816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兴县俊青水产门市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兴县魏家滩镇魏家滩村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2019-09-11（购进日期）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4-氯苯氧乙酸钠(以4-氯苯氧乙酸计)|0.06mg/kg|不得使用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NCP19142300461630817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兴县俊青水产门市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兴县魏家滩镇魏家滩村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2019-09-11（购进日期）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4-氯苯氧乙酸钠(以4-氯苯氧乙酸计)|0.07mg/kg|不得使用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2019年第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吕梁市/市抽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26548B"/>
    <w:multiLevelType w:val="singleLevel"/>
    <w:tmpl w:val="D726548B"/>
    <w:lvl w:ilvl="0" w:tentative="0">
      <w:start w:val="4"/>
      <w:numFmt w:val="decimal"/>
      <w:suff w:val="nothing"/>
      <w:lvlText w:val="%1-"/>
      <w:lvlJc w:val="left"/>
    </w:lvl>
  </w:abstractNum>
  <w:abstractNum w:abstractNumId="1">
    <w:nsid w:val="59B73760"/>
    <w:multiLevelType w:val="singleLevel"/>
    <w:tmpl w:val="59B7376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8A9253F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88F62B6"/>
    <w:rsid w:val="0B1E0AD6"/>
    <w:rsid w:val="0C5A174C"/>
    <w:rsid w:val="0D9074A6"/>
    <w:rsid w:val="106F0795"/>
    <w:rsid w:val="108F473C"/>
    <w:rsid w:val="158945E1"/>
    <w:rsid w:val="1EAF57BE"/>
    <w:rsid w:val="251A3085"/>
    <w:rsid w:val="27097D0B"/>
    <w:rsid w:val="28236F83"/>
    <w:rsid w:val="2DDD3A00"/>
    <w:rsid w:val="2EF77059"/>
    <w:rsid w:val="31040682"/>
    <w:rsid w:val="32FD1F69"/>
    <w:rsid w:val="3C14732D"/>
    <w:rsid w:val="3C3B7A6C"/>
    <w:rsid w:val="3DCF299E"/>
    <w:rsid w:val="3FC63BD6"/>
    <w:rsid w:val="42241921"/>
    <w:rsid w:val="42BC5361"/>
    <w:rsid w:val="44651141"/>
    <w:rsid w:val="45AD0B17"/>
    <w:rsid w:val="477E20CC"/>
    <w:rsid w:val="4A4C3B62"/>
    <w:rsid w:val="4ECF1997"/>
    <w:rsid w:val="57F13BF3"/>
    <w:rsid w:val="58831C13"/>
    <w:rsid w:val="5A705060"/>
    <w:rsid w:val="5AC45602"/>
    <w:rsid w:val="5AEF1B34"/>
    <w:rsid w:val="5B6F657A"/>
    <w:rsid w:val="63E67378"/>
    <w:rsid w:val="64F10760"/>
    <w:rsid w:val="68A9253F"/>
    <w:rsid w:val="69EB2086"/>
    <w:rsid w:val="6B7910FA"/>
    <w:rsid w:val="6C7C2BC9"/>
    <w:rsid w:val="6C925CB2"/>
    <w:rsid w:val="6F0338B8"/>
    <w:rsid w:val="71916CCF"/>
    <w:rsid w:val="71EF6049"/>
    <w:rsid w:val="7A422FDB"/>
    <w:rsid w:val="7C503814"/>
    <w:rsid w:val="7FA514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6">
    <w:name w:val="Hyperlink"/>
    <w:basedOn w:val="5"/>
    <w:unhideWhenUsed/>
    <w:qFormat/>
    <w:locked/>
    <w:uiPriority w:val="99"/>
    <w:rPr>
      <w:color w:val="0000FF"/>
      <w:u w:val="single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14</Pages>
  <Words>795</Words>
  <Characters>4537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2017-07-12T03:04:00Z</dcterms:created>
  <dc:creator>PC</dc:creator>
  <cp:lastModifiedBy>Administrator</cp:lastModifiedBy>
  <cp:lastPrinted>2018-12-03T00:58:00Z</cp:lastPrinted>
  <dcterms:modified xsi:type="dcterms:W3CDTF">2019-10-12T01:48:43Z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