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黑体" w:hAnsi="黑体" w:eastAsia="黑体" w:cs="黑体"/>
          <w:snapToGrid/>
          <w:color w:val="auto"/>
          <w:spacing w:val="0"/>
          <w:w w:val="100"/>
          <w:kern w:val="0"/>
          <w:position w:val="0"/>
          <w:sz w:val="32"/>
          <w:szCs w:val="32"/>
          <w:u w:val="none" w:color="auto"/>
          <w:vertAlign w:val="baseline"/>
          <w:lang w:val="en-US" w:eastAsia="zh-CN" w:bidi="ar-SA"/>
        </w:rPr>
      </w:pPr>
      <w:r>
        <w:rPr>
          <w:rFonts w:hint="eastAsia" w:ascii="黑体" w:hAnsi="黑体" w:eastAsia="黑体" w:cs="黑体"/>
          <w:snapToGrid/>
          <w:color w:val="auto"/>
          <w:spacing w:val="0"/>
          <w:w w:val="100"/>
          <w:kern w:val="0"/>
          <w:position w:val="0"/>
          <w:sz w:val="32"/>
          <w:szCs w:val="32"/>
          <w:u w:val="none" w:color="auto"/>
          <w:vertAlign w:val="baseline"/>
          <w:lang w:val="en-US" w:eastAsia="zh-CN" w:bidi="ar-SA"/>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snapToGrid/>
          <w:color w:val="auto"/>
          <w:spacing w:val="0"/>
          <w:w w:val="100"/>
          <w:kern w:val="0"/>
          <w:position w:val="0"/>
          <w:sz w:val="44"/>
          <w:szCs w:val="44"/>
          <w:u w:val="none" w:color="auto"/>
          <w:vertAlign w:val="baseline"/>
          <w:lang w:val="en-US" w:eastAsia="zh-CN" w:bidi="ar-SA"/>
        </w:rPr>
      </w:pPr>
      <w:r>
        <w:rPr>
          <w:rFonts w:hint="eastAsia" w:ascii="方正小标宋简体" w:hAnsi="方正小标宋简体" w:eastAsia="方正小标宋简体" w:cs="方正小标宋简体"/>
          <w:snapToGrid/>
          <w:color w:val="auto"/>
          <w:spacing w:val="0"/>
          <w:w w:val="100"/>
          <w:kern w:val="0"/>
          <w:position w:val="0"/>
          <w:sz w:val="44"/>
          <w:szCs w:val="44"/>
          <w:u w:val="none" w:color="auto"/>
          <w:vertAlign w:val="baseline"/>
          <w:lang w:val="en-US" w:eastAsia="zh-CN" w:bidi="ar-SA"/>
        </w:rPr>
        <w:t>重点任务分工</w:t>
      </w:r>
    </w:p>
    <w:tbl>
      <w:tblPr>
        <w:tblStyle w:val="11"/>
        <w:tblpPr w:leftFromText="180" w:rightFromText="180" w:vertAnchor="page" w:horzAnchor="page" w:tblpXSpec="center" w:tblpY="3316"/>
        <w:tblOverlap w:val="never"/>
        <w:tblW w:w="14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01"/>
        <w:gridCol w:w="9533"/>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jc w:val="center"/>
        </w:trPr>
        <w:tc>
          <w:tcPr>
            <w:tcW w:w="756" w:type="dxa"/>
            <w:tcBorders>
              <w:top w:val="single" w:color="auto" w:sz="4" w:space="0"/>
            </w:tcBorders>
            <w:noWrap/>
            <w:vAlign w:val="center"/>
          </w:tcPr>
          <w:p>
            <w:pPr>
              <w:jc w:val="center"/>
              <w:rPr>
                <w:rFonts w:hint="eastAsia" w:ascii="黑体" w:hAnsi="黑体" w:eastAsia="黑体" w:cs="黑体"/>
                <w:color w:val="auto"/>
                <w:sz w:val="24"/>
                <w:szCs w:val="24"/>
                <w:u w:val="none" w:color="auto"/>
                <w:vertAlign w:val="baseline"/>
              </w:rPr>
            </w:pPr>
            <w:r>
              <w:rPr>
                <w:rFonts w:hint="eastAsia" w:ascii="黑体" w:hAnsi="黑体" w:eastAsia="黑体" w:cs="黑体"/>
                <w:color w:val="auto"/>
                <w:sz w:val="24"/>
                <w:szCs w:val="24"/>
                <w:u w:val="none" w:color="auto"/>
                <w:vertAlign w:val="baseline"/>
              </w:rPr>
              <w:t>序号</w:t>
            </w:r>
          </w:p>
        </w:tc>
        <w:tc>
          <w:tcPr>
            <w:tcW w:w="1101" w:type="dxa"/>
            <w:tcBorders>
              <w:top w:val="single" w:color="auto" w:sz="4" w:space="0"/>
            </w:tcBorders>
            <w:noWrap/>
            <w:vAlign w:val="center"/>
          </w:tcPr>
          <w:p>
            <w:pPr>
              <w:jc w:val="center"/>
              <w:rPr>
                <w:rFonts w:hint="eastAsia" w:ascii="黑体" w:hAnsi="黑体" w:eastAsia="黑体" w:cs="黑体"/>
                <w:color w:val="auto"/>
                <w:sz w:val="24"/>
                <w:szCs w:val="24"/>
                <w:u w:val="none" w:color="auto"/>
                <w:vertAlign w:val="baseline"/>
              </w:rPr>
            </w:pPr>
            <w:r>
              <w:rPr>
                <w:rFonts w:hint="eastAsia" w:ascii="黑体" w:hAnsi="黑体" w:eastAsia="黑体" w:cs="黑体"/>
                <w:color w:val="auto"/>
                <w:sz w:val="24"/>
                <w:szCs w:val="24"/>
                <w:u w:val="none" w:color="auto"/>
                <w:vertAlign w:val="baseline"/>
              </w:rPr>
              <w:t>任务</w:t>
            </w:r>
          </w:p>
        </w:tc>
        <w:tc>
          <w:tcPr>
            <w:tcW w:w="9533" w:type="dxa"/>
            <w:tcBorders>
              <w:top w:val="single" w:color="auto" w:sz="4" w:space="0"/>
            </w:tcBorders>
            <w:noWrap/>
            <w:vAlign w:val="center"/>
          </w:tcPr>
          <w:p>
            <w:pPr>
              <w:jc w:val="center"/>
              <w:rPr>
                <w:rFonts w:hint="eastAsia" w:ascii="黑体" w:hAnsi="黑体" w:eastAsia="黑体" w:cs="黑体"/>
                <w:color w:val="auto"/>
                <w:sz w:val="24"/>
                <w:szCs w:val="24"/>
                <w:u w:val="none" w:color="auto"/>
                <w:vertAlign w:val="baseline"/>
              </w:rPr>
            </w:pPr>
            <w:r>
              <w:rPr>
                <w:rFonts w:hint="eastAsia" w:ascii="黑体" w:hAnsi="黑体" w:eastAsia="黑体" w:cs="黑体"/>
                <w:color w:val="auto"/>
                <w:sz w:val="24"/>
                <w:szCs w:val="24"/>
                <w:u w:val="none" w:color="auto"/>
                <w:vertAlign w:val="baseline"/>
              </w:rPr>
              <w:t>主要内容</w:t>
            </w:r>
          </w:p>
        </w:tc>
        <w:tc>
          <w:tcPr>
            <w:tcW w:w="3313" w:type="dxa"/>
            <w:tcBorders>
              <w:top w:val="single" w:color="auto" w:sz="4" w:space="0"/>
            </w:tcBorders>
            <w:noWrap/>
            <w:vAlign w:val="center"/>
          </w:tcPr>
          <w:p>
            <w:pPr>
              <w:jc w:val="center"/>
              <w:rPr>
                <w:rFonts w:hint="eastAsia" w:ascii="黑体" w:hAnsi="黑体" w:eastAsia="黑体" w:cs="黑体"/>
                <w:color w:val="auto"/>
                <w:sz w:val="24"/>
                <w:szCs w:val="24"/>
                <w:u w:val="none" w:color="auto"/>
                <w:vertAlign w:val="baseline"/>
              </w:rPr>
            </w:pPr>
            <w:r>
              <w:rPr>
                <w:rFonts w:hint="eastAsia" w:ascii="黑体" w:hAnsi="黑体" w:eastAsia="黑体" w:cs="黑体"/>
                <w:color w:val="auto"/>
                <w:sz w:val="24"/>
                <w:szCs w:val="24"/>
                <w:u w:val="none" w:color="auto"/>
                <w:vertAlign w:val="baseli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1</w:t>
            </w:r>
          </w:p>
        </w:tc>
        <w:tc>
          <w:tcPr>
            <w:tcW w:w="1101" w:type="dxa"/>
            <w:tcBorders>
              <w:top w:val="single" w:color="auto" w:sz="4" w:space="0"/>
              <w:left w:val="single" w:color="auto" w:sz="4" w:space="0"/>
              <w:right w:val="single" w:color="auto" w:sz="4" w:space="0"/>
            </w:tcBorders>
            <w:noWrap/>
            <w:vAlign w:val="center"/>
          </w:tcPr>
          <w:p>
            <w:pPr>
              <w:ind w:left="0" w:right="0" w:firstLine="0"/>
              <w:jc w:val="center"/>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b w:val="0"/>
                <w:bCs w:val="0"/>
                <w:color w:val="auto"/>
                <w:sz w:val="20"/>
                <w:szCs w:val="20"/>
                <w:u w:val="none" w:color="auto"/>
                <w:lang w:eastAsia="zh-CN" w:bidi="ar-SA"/>
              </w:rPr>
              <w:t>提高</w:t>
            </w:r>
            <w:r>
              <w:rPr>
                <w:rFonts w:hint="eastAsia" w:ascii="仿宋_GB2312" w:hAnsi="仿宋_GB2312" w:eastAsia="仿宋_GB2312" w:cs="仿宋_GB2312"/>
                <w:b w:val="0"/>
                <w:bCs w:val="0"/>
                <w:color w:val="auto"/>
                <w:sz w:val="20"/>
                <w:szCs w:val="20"/>
                <w:u w:val="none" w:color="auto"/>
                <w:lang w:bidi="ar-SA"/>
              </w:rPr>
              <w:t>政治站位</w:t>
            </w:r>
          </w:p>
        </w:tc>
        <w:tc>
          <w:tcPr>
            <w:tcW w:w="9533"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snapToGrid/>
                <w:color w:val="auto"/>
                <w:spacing w:val="0"/>
                <w:w w:val="100"/>
                <w:kern w:val="0"/>
                <w:position w:val="0"/>
                <w:sz w:val="20"/>
                <w:szCs w:val="20"/>
                <w:u w:val="none" w:color="auto"/>
                <w:vertAlign w:val="baseline"/>
                <w:lang w:val="en-US" w:eastAsia="zh-CN" w:bidi="ar-SA"/>
              </w:rPr>
              <w:t>各级各部门各单位要认真贯彻落实习近平总书记关于安全生产重要论述，将其作为政治理论学习的重要内容，坚持“人民至上、生命至上”，以“两个确立”、“两个维护”的政治自觉，扛起“促一方发展、保一方平安”的政治责任，统筹发展和安全，标本兼治、精准防控、社会共治，坚决把安全生产要求贯穿各项工作全过程各环节。</w:t>
            </w:r>
          </w:p>
        </w:tc>
        <w:tc>
          <w:tcPr>
            <w:tcW w:w="3313" w:type="dxa"/>
            <w:tcBorders>
              <w:top w:val="single" w:color="auto" w:sz="4" w:space="0"/>
              <w:left w:val="single" w:color="auto" w:sz="4" w:space="0"/>
              <w:right w:val="single" w:color="auto" w:sz="4" w:space="0"/>
            </w:tcBorders>
            <w:noWrap/>
            <w:vAlign w:val="center"/>
          </w:tcPr>
          <w:p>
            <w:pPr>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市直各部门，各县（市、区）政府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2</w:t>
            </w:r>
          </w:p>
        </w:tc>
        <w:tc>
          <w:tcPr>
            <w:tcW w:w="1101" w:type="dxa"/>
            <w:vMerge w:val="restart"/>
            <w:tcBorders>
              <w:top w:val="single" w:color="auto" w:sz="4" w:space="0"/>
              <w:left w:val="single" w:color="auto" w:sz="4" w:space="0"/>
              <w:right w:val="single" w:color="auto" w:sz="4" w:space="0"/>
            </w:tcBorders>
            <w:noWrap/>
            <w:vAlign w:val="center"/>
          </w:tcPr>
          <w:p>
            <w:pPr>
              <w:ind w:left="0" w:right="0" w:firstLine="0"/>
              <w:jc w:val="center"/>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rPr>
              <w:t>严格党政领导责任</w:t>
            </w:r>
          </w:p>
        </w:tc>
        <w:tc>
          <w:tcPr>
            <w:tcW w:w="9533" w:type="dxa"/>
            <w:tcBorders>
              <w:top w:val="single" w:color="auto" w:sz="4" w:space="0"/>
              <w:left w:val="single" w:color="auto" w:sz="4" w:space="0"/>
              <w:right w:val="single" w:color="auto" w:sz="4" w:space="0"/>
            </w:tcBorders>
            <w:noWrap/>
            <w:vAlign w:val="center"/>
          </w:tcPr>
          <w:p>
            <w:pPr>
              <w:numPr>
                <w:ilvl w:val="-1"/>
                <w:numId w:val="0"/>
              </w:numPr>
              <w:ind w:left="0" w:firstLine="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按照地方党政领导干部安全生产责任制规定，认真落实安全生产职责清单和年度重点工作任务清单。</w:t>
            </w:r>
          </w:p>
        </w:tc>
        <w:tc>
          <w:tcPr>
            <w:tcW w:w="3313" w:type="dxa"/>
            <w:tcBorders>
              <w:top w:val="single" w:color="auto" w:sz="4" w:space="0"/>
              <w:left w:val="single" w:color="auto" w:sz="4" w:space="0"/>
              <w:right w:val="single" w:color="auto" w:sz="4" w:space="0"/>
            </w:tcBorders>
            <w:noWrap/>
            <w:vAlign w:val="center"/>
          </w:tcPr>
          <w:p>
            <w:pPr>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市、县（市、区）安委办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ind w:left="0" w:firstLine="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各级安委会每月至少召开一次会议，分析安全形势，解决重大问题。</w:t>
            </w:r>
          </w:p>
        </w:tc>
        <w:tc>
          <w:tcPr>
            <w:tcW w:w="3313" w:type="dxa"/>
            <w:tcBorders>
              <w:top w:val="single" w:color="auto" w:sz="4" w:space="0"/>
              <w:left w:val="single" w:color="auto" w:sz="4" w:space="0"/>
              <w:right w:val="single" w:color="auto" w:sz="4" w:space="0"/>
            </w:tcBorders>
            <w:noWrap/>
            <w:vAlign w:val="center"/>
          </w:tcPr>
          <w:p>
            <w:pPr>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firstLine="0"/>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3</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lang w:eastAsia="zh-CN"/>
              </w:rPr>
              <w:t>在孝义市先行先试，</w:t>
            </w:r>
            <w:r>
              <w:rPr>
                <w:rFonts w:hint="eastAsia" w:ascii="仿宋_GB2312" w:hAnsi="仿宋_GB2312" w:eastAsia="仿宋_GB2312" w:cs="仿宋_GB2312"/>
                <w:color w:val="auto"/>
                <w:sz w:val="20"/>
                <w:szCs w:val="20"/>
                <w:u w:val="none" w:color="auto"/>
                <w:vertAlign w:val="baseline"/>
              </w:rPr>
              <w:t>推进安委办实体化运行</w:t>
            </w:r>
            <w:r>
              <w:rPr>
                <w:rFonts w:hint="eastAsia" w:ascii="仿宋_GB2312" w:hAnsi="仿宋_GB2312" w:eastAsia="仿宋_GB2312" w:cs="仿宋_GB2312"/>
                <w:color w:val="auto"/>
                <w:sz w:val="20"/>
                <w:szCs w:val="20"/>
                <w:u w:val="none" w:color="auto"/>
                <w:vertAlign w:val="baseline"/>
                <w:lang w:eastAsia="zh-CN"/>
              </w:rPr>
              <w:t>；根据试点效果，在其他县（市、区）跟进推动；</w:t>
            </w:r>
            <w:r>
              <w:rPr>
                <w:rFonts w:hint="eastAsia" w:ascii="仿宋_GB2312" w:hAnsi="仿宋_GB2312" w:eastAsia="仿宋_GB2312" w:cs="仿宋_GB2312"/>
                <w:color w:val="auto"/>
                <w:sz w:val="20"/>
                <w:szCs w:val="20"/>
                <w:u w:val="none" w:color="auto"/>
                <w:vertAlign w:val="baseline"/>
              </w:rPr>
              <w:t>强化全市各级安委办牵头抓总作用，加强对同级部门和下级政府的指导协调、监督检查、巡查考核，定期上报安全履职及督查考核情况。</w:t>
            </w:r>
          </w:p>
        </w:tc>
        <w:tc>
          <w:tcPr>
            <w:tcW w:w="3313" w:type="dxa"/>
            <w:tcBorders>
              <w:top w:val="single" w:color="auto" w:sz="4" w:space="0"/>
              <w:left w:val="single" w:color="auto" w:sz="4" w:space="0"/>
              <w:right w:val="single" w:color="auto" w:sz="4" w:space="0"/>
            </w:tcBorders>
            <w:noWrap/>
            <w:vAlign w:val="center"/>
          </w:tcPr>
          <w:p>
            <w:pPr>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孝义市政府及孝义市安委办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lang w:eastAsia="zh-CN"/>
              </w:rPr>
            </w:pPr>
            <w:r>
              <w:rPr>
                <w:rFonts w:hint="eastAsia" w:ascii="仿宋_GB2312" w:hAnsi="仿宋_GB2312" w:cs="仿宋_GB2312"/>
                <w:color w:val="auto"/>
                <w:sz w:val="36"/>
                <w:u w:val="none" w:color="auto"/>
                <w:lang w:eastAsia="zh-CN"/>
              </w:rPr>
              <w:t>（）</w:t>
            </w:r>
          </w:p>
        </w:tc>
        <w:tc>
          <w:tcPr>
            <w:tcW w:w="1101"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ind w:left="0" w:firstLine="0"/>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cs="仿宋_GB2312"/>
                <w:color w:val="auto"/>
                <w:sz w:val="20"/>
                <w:szCs w:val="20"/>
                <w:u w:val="none" w:color="auto"/>
                <w:vertAlign w:val="baseline"/>
                <w:lang w:val="en-US" w:eastAsia="zh-CN"/>
              </w:rPr>
              <w:t>（4）</w:t>
            </w:r>
            <w:r>
              <w:rPr>
                <w:rFonts w:hint="eastAsia" w:ascii="仿宋_GB2312" w:hAnsi="仿宋_GB2312" w:eastAsia="仿宋_GB2312" w:cs="仿宋_GB2312"/>
                <w:color w:val="auto"/>
                <w:sz w:val="20"/>
                <w:szCs w:val="20"/>
                <w:u w:val="none" w:color="auto"/>
                <w:vertAlign w:val="baseline"/>
                <w:lang w:val="en-US" w:eastAsia="zh-CN"/>
              </w:rPr>
              <w:t>市县两级党政领导干部每月至少深入一线调研指导一次安全生产工作，以点带面、探索解决实际问题。</w:t>
            </w:r>
          </w:p>
        </w:tc>
        <w:tc>
          <w:tcPr>
            <w:tcW w:w="3313" w:type="dxa"/>
            <w:tcBorders>
              <w:top w:val="single" w:color="auto" w:sz="4" w:space="0"/>
              <w:left w:val="single" w:color="auto" w:sz="4" w:space="0"/>
              <w:right w:val="single" w:color="auto" w:sz="4" w:space="0"/>
            </w:tcBorders>
            <w:noWrap/>
            <w:vAlign w:val="center"/>
          </w:tcPr>
          <w:p>
            <w:pPr>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3</w:t>
            </w:r>
          </w:p>
        </w:tc>
        <w:tc>
          <w:tcPr>
            <w:tcW w:w="1101" w:type="dxa"/>
            <w:vMerge w:val="restart"/>
            <w:tcBorders>
              <w:top w:val="single" w:color="auto" w:sz="4" w:space="0"/>
              <w:left w:val="single" w:color="auto" w:sz="4" w:space="0"/>
              <w:right w:val="single" w:color="auto" w:sz="4" w:space="0"/>
            </w:tcBorders>
            <w:noWrap/>
            <w:vAlign w:val="center"/>
          </w:tcPr>
          <w:p>
            <w:pPr>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rPr>
              <w:t>落实部门监管责任</w:t>
            </w:r>
          </w:p>
        </w:tc>
        <w:tc>
          <w:tcPr>
            <w:tcW w:w="9533" w:type="dxa"/>
            <w:tcBorders>
              <w:top w:val="single" w:color="auto" w:sz="4" w:space="0"/>
              <w:left w:val="single" w:color="auto" w:sz="4" w:space="0"/>
              <w:right w:val="single" w:color="auto" w:sz="4" w:space="0"/>
            </w:tcBorders>
            <w:noWrap/>
            <w:vAlign w:val="center"/>
          </w:tcPr>
          <w:p>
            <w:pPr>
              <w:numPr>
                <w:ilvl w:val="-1"/>
                <w:numId w:val="0"/>
              </w:numPr>
              <w:ind w:left="0" w:firstLine="0"/>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eastAsia="仿宋_GB2312" w:cs="仿宋_GB2312"/>
                <w:color w:val="auto"/>
                <w:sz w:val="20"/>
                <w:szCs w:val="20"/>
                <w:u w:val="none" w:color="auto"/>
                <w:vertAlign w:val="baseline"/>
                <w:lang w:val="en-US" w:eastAsia="zh-CN"/>
              </w:rPr>
              <w:t>制定完善并落实各级监管部门安全生产工作权力和责任清单，规范实施安全生产挂牌责任制。健全完善并严格落实重点行业领域分级分类监管和企业主要负责人安全生产考核记分办法。</w:t>
            </w:r>
          </w:p>
        </w:tc>
        <w:tc>
          <w:tcPr>
            <w:tcW w:w="3313" w:type="dxa"/>
            <w:tcBorders>
              <w:top w:val="single" w:color="auto" w:sz="4" w:space="0"/>
              <w:left w:val="single" w:color="auto" w:sz="4" w:space="0"/>
              <w:right w:val="single" w:color="auto" w:sz="4" w:space="0"/>
            </w:tcBorders>
            <w:noWrap/>
            <w:vAlign w:val="center"/>
          </w:tcPr>
          <w:p>
            <w:pPr>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市直负有安全监管职责的部门，各县（市、区）政府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ind w:left="0" w:firstLine="0"/>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eastAsia="仿宋_GB2312" w:cs="仿宋_GB2312"/>
                <w:color w:val="auto"/>
                <w:sz w:val="20"/>
                <w:szCs w:val="20"/>
                <w:u w:val="none" w:color="auto"/>
                <w:vertAlign w:val="baseline"/>
                <w:lang w:val="en-US" w:eastAsia="zh-CN"/>
              </w:rPr>
              <w:t>对危险化学品、燃气、道路运输、电动自行车等环节多的领域，抓实全链条安全管理和监督。</w:t>
            </w:r>
          </w:p>
        </w:tc>
        <w:tc>
          <w:tcPr>
            <w:tcW w:w="3313"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市工信局、市公安局、市生态环境局、市住建局、市交通局、市商务局、市应急管理局、市市场监管局、市行政审批局、市能源局、市公安局交警支队、市消防救援支队等部门，各县（市、区）政府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36"/>
                <w:u w:val="none" w:color="auto"/>
              </w:rPr>
            </w:pPr>
            <w:r>
              <w:rPr>
                <w:rFonts w:hint="eastAsia" w:ascii="黑体" w:hAnsi="黑体" w:eastAsia="黑体" w:cs="黑体"/>
                <w:color w:val="auto"/>
                <w:sz w:val="24"/>
                <w:szCs w:val="24"/>
                <w:u w:val="none" w:color="auto"/>
                <w:vertAlign w:val="baseline"/>
              </w:rPr>
              <w:t>序号</w:t>
            </w:r>
          </w:p>
        </w:tc>
        <w:tc>
          <w:tcPr>
            <w:tcW w:w="1101"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36"/>
                <w:u w:val="none" w:color="auto"/>
              </w:rPr>
            </w:pPr>
            <w:r>
              <w:rPr>
                <w:rFonts w:hint="eastAsia" w:ascii="黑体" w:hAnsi="黑体" w:eastAsia="黑体" w:cs="黑体"/>
                <w:color w:val="auto"/>
                <w:sz w:val="24"/>
                <w:szCs w:val="24"/>
                <w:u w:val="none" w:color="auto"/>
                <w:vertAlign w:val="baseline"/>
              </w:rPr>
              <w:t>任务</w:t>
            </w:r>
          </w:p>
        </w:tc>
        <w:tc>
          <w:tcPr>
            <w:tcW w:w="9533" w:type="dxa"/>
            <w:tcBorders>
              <w:top w:val="single" w:color="auto" w:sz="4" w:space="0"/>
              <w:left w:val="single" w:color="auto" w:sz="4" w:space="0"/>
              <w:right w:val="single" w:color="auto" w:sz="4" w:space="0"/>
            </w:tcBorders>
            <w:noWrap/>
            <w:vAlign w:val="center"/>
          </w:tcPr>
          <w:p>
            <w:pPr>
              <w:numPr>
                <w:ilvl w:val="-1"/>
                <w:numId w:val="0"/>
              </w:numPr>
              <w:ind w:left="0" w:firstLine="0"/>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黑体" w:hAnsi="黑体" w:eastAsia="黑体" w:cs="黑体"/>
                <w:color w:val="auto"/>
                <w:sz w:val="24"/>
                <w:szCs w:val="24"/>
                <w:u w:val="none" w:color="auto"/>
                <w:vertAlign w:val="baseline"/>
              </w:rPr>
              <w:t>主要内容</w:t>
            </w:r>
          </w:p>
        </w:tc>
        <w:tc>
          <w:tcPr>
            <w:tcW w:w="3313"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36"/>
                <w:u w:val="none" w:color="auto"/>
              </w:rPr>
            </w:pPr>
            <w:r>
              <w:rPr>
                <w:rFonts w:hint="eastAsia" w:ascii="仿宋_GB2312" w:hAnsi="仿宋_GB2312" w:eastAsia="仿宋_GB2312" w:cs="仿宋_GB2312"/>
                <w:color w:val="auto"/>
                <w:sz w:val="20"/>
                <w:szCs w:val="20"/>
                <w:u w:val="none" w:color="auto"/>
                <w:vertAlign w:val="baseline"/>
                <w:lang w:val="en-US" w:eastAsia="zh-CN"/>
              </w:rPr>
              <w:t>3</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leftChars="0" w:right="0" w:rightChars="0" w:firstLine="0" w:firstLineChars="0"/>
              <w:jc w:val="center"/>
              <w:rPr>
                <w:rFonts w:hint="eastAsia" w:ascii="仿宋_GB2312" w:hAnsi="仿宋_GB2312" w:eastAsia="仿宋_GB2312" w:cs="仿宋_GB2312"/>
                <w:color w:val="auto"/>
                <w:sz w:val="36"/>
                <w:u w:val="none" w:color="auto"/>
                <w:lang w:eastAsia="zh-CN"/>
              </w:rPr>
            </w:pPr>
            <w:r>
              <w:rPr>
                <w:rFonts w:hint="eastAsia" w:ascii="仿宋_GB2312" w:hAnsi="仿宋_GB2312" w:eastAsia="仿宋_GB2312" w:cs="仿宋_GB2312"/>
                <w:color w:val="auto"/>
                <w:sz w:val="20"/>
                <w:szCs w:val="20"/>
                <w:u w:val="none" w:color="auto"/>
                <w:vertAlign w:val="baseline"/>
              </w:rPr>
              <w:t>落实部门监管责任</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firstLine="0"/>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cs="仿宋_GB2312"/>
                <w:color w:val="auto"/>
                <w:sz w:val="20"/>
                <w:szCs w:val="20"/>
                <w:u w:val="none" w:color="auto"/>
                <w:vertAlign w:val="baseline"/>
                <w:lang w:val="en-US" w:eastAsia="zh-CN"/>
              </w:rPr>
              <w:t>（3）</w:t>
            </w:r>
            <w:r>
              <w:rPr>
                <w:rFonts w:hint="eastAsia" w:ascii="仿宋_GB2312" w:hAnsi="仿宋_GB2312" w:eastAsia="仿宋_GB2312" w:cs="仿宋_GB2312"/>
                <w:color w:val="auto"/>
                <w:sz w:val="20"/>
                <w:szCs w:val="20"/>
                <w:u w:val="none" w:color="auto"/>
                <w:vertAlign w:val="baseline"/>
                <w:lang w:val="en-US" w:eastAsia="zh-CN"/>
              </w:rPr>
              <w:t>要根据经济社会发展实际，及时明确新兴行业领域和职能交叉行业领域的安全监管职责。</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市安委办及有关部门，各县（市、区）政府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jc w:val="center"/>
        </w:trPr>
        <w:tc>
          <w:tcPr>
            <w:tcW w:w="756" w:type="dxa"/>
            <w:vMerge w:val="continue"/>
            <w:tcBorders>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1101" w:type="dxa"/>
            <w:vMerge w:val="continue"/>
            <w:tcBorders>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firstLine="0"/>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cs="仿宋_GB2312"/>
                <w:color w:val="auto"/>
                <w:sz w:val="20"/>
                <w:szCs w:val="20"/>
                <w:u w:val="none" w:color="auto"/>
                <w:vertAlign w:val="baseline"/>
                <w:lang w:val="en-US" w:eastAsia="zh-CN"/>
              </w:rPr>
              <w:t>（4）</w:t>
            </w:r>
            <w:r>
              <w:rPr>
                <w:rFonts w:hint="eastAsia" w:ascii="仿宋_GB2312" w:hAnsi="仿宋_GB2312" w:eastAsia="仿宋_GB2312" w:cs="仿宋_GB2312"/>
                <w:color w:val="auto"/>
                <w:sz w:val="20"/>
                <w:szCs w:val="20"/>
                <w:u w:val="none" w:color="auto"/>
                <w:vertAlign w:val="baseline"/>
                <w:lang w:val="en-US" w:eastAsia="zh-CN"/>
              </w:rPr>
              <w:t>严格落实矿山安全监管专员制度。</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市应急管理局、市能源局，各县（市、区）政府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restart"/>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4</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rPr>
              <w:t>突出企业主体责任</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firstLine="0"/>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eastAsia="仿宋_GB2312" w:cs="仿宋_GB2312"/>
                <w:color w:val="auto"/>
                <w:sz w:val="20"/>
                <w:szCs w:val="20"/>
                <w:u w:val="none" w:color="auto"/>
                <w:vertAlign w:val="baseline"/>
                <w:lang w:val="en-US" w:eastAsia="zh-CN"/>
              </w:rPr>
              <w:t>企业法定代表人、实际控制人、实际负责人等“拥有者和管理者”要严格履行安全生产第一责任人责任，落实主要负责人安全生产责任制规定和履职尽责承诺等规章制度。</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各行业主管部门、负有安全监职责的部门督促企业落实并纳入检查内容开展检查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firstLine="0"/>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eastAsia="仿宋_GB2312" w:cs="仿宋_GB2312"/>
                <w:color w:val="auto"/>
                <w:sz w:val="20"/>
                <w:szCs w:val="20"/>
                <w:u w:val="none" w:color="auto"/>
                <w:vertAlign w:val="baseline"/>
                <w:lang w:val="en-US" w:eastAsia="zh-CN"/>
              </w:rPr>
              <w:t>依法设立安全管理专职机构，依法配齐配强安全管理人员，高危行业企业依法设置安全总监，健全完善从主要负责人到一线从业人员的安全生产责任体系，持续深化反“三违”活动，依法做到安全责任、投入、培训、管理和应急救援“五到位”。</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各行业主管部门。负有安全监职责的部门督促企业落实并纳入检查内容开展检查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5</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rPr>
              <w:t>做好源头把关</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firstLine="0"/>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eastAsia="仿宋_GB2312" w:cs="仿宋_GB2312"/>
                <w:color w:val="auto"/>
                <w:sz w:val="20"/>
                <w:szCs w:val="20"/>
                <w:u w:val="none" w:color="auto"/>
                <w:vertAlign w:val="baseline"/>
                <w:lang w:val="en-US" w:eastAsia="zh-CN"/>
              </w:rPr>
              <w:t>发展改革、工业和信息化、行政审批等部门要严格规划、立项、建设等源头环节安全管控，要建立完善并严格落实安全风险评估与论证机制，实施联合审查，认真执行安全设施“三同时”和安全生产许可制度。</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市发展改革委、市工信局、市行政审批局、市应急管理局等部门，各县（市、区）政府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firstLine="0"/>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eastAsia="仿宋_GB2312" w:cs="仿宋_GB2312"/>
                <w:color w:val="auto"/>
                <w:sz w:val="20"/>
                <w:szCs w:val="20"/>
                <w:u w:val="none" w:color="auto"/>
                <w:vertAlign w:val="baseline"/>
                <w:lang w:val="en-US" w:eastAsia="zh-CN"/>
              </w:rPr>
              <w:t>严格落实危险化学品“禁限控”措施，严禁承接其他地区转移的淘汰落后项目，严禁在化工集中区外设立新的危险化学品生产、储存项目。</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eastAsia="zh-CN"/>
              </w:rPr>
              <w:t>市工信局、市应急管理局、市交通局、市市场监管局等部门分工负责，各县（市、区）政府、工业类经济开发区（省级）、化工园区管委会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6</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rPr>
              <w:t>研判评估风险</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left"/>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各县（市、区）政府及市县两级有关部门要建立并严格落实安全风险会商研判机制</w:t>
            </w:r>
          </w:p>
        </w:tc>
        <w:tc>
          <w:tcPr>
            <w:tcW w:w="3313" w:type="dxa"/>
            <w:tcBorders>
              <w:top w:val="single" w:color="auto" w:sz="4" w:space="0"/>
              <w:left w:val="single" w:color="auto" w:sz="4" w:space="0"/>
              <w:right w:val="single" w:color="auto" w:sz="4" w:space="0"/>
            </w:tcBorders>
            <w:noWrap/>
            <w:vAlign w:val="center"/>
          </w:tcPr>
          <w:p>
            <w:pPr>
              <w:spacing w:line="340" w:lineRule="exact"/>
              <w:jc w:val="left"/>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市直有关部门，各县（市、区）政府及其有关部门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left"/>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督促企业建立完善安全风险防控体系，落实全过程安全管理、全员安全生产责任制度。高危行业企业要强化一线岗位操作规范，按照全员、全过程、全岗位要求，完善落实“岗位”安全风险评估、危害辨识、分级分类和风险告知等制度。</w:t>
            </w:r>
          </w:p>
        </w:tc>
        <w:tc>
          <w:tcPr>
            <w:tcW w:w="3313" w:type="dxa"/>
            <w:tcBorders>
              <w:top w:val="single" w:color="auto" w:sz="4" w:space="0"/>
              <w:left w:val="single" w:color="auto" w:sz="4" w:space="0"/>
              <w:right w:val="single" w:color="auto" w:sz="4" w:space="0"/>
            </w:tcBorders>
            <w:noWrap/>
            <w:vAlign w:val="center"/>
          </w:tcPr>
          <w:p>
            <w:pPr>
              <w:spacing w:line="340" w:lineRule="exact"/>
              <w:jc w:val="left"/>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各行业主管部门、负有安全监职责的部门督促企业落实并纳入检查内容开展专项检查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36"/>
                <w:u w:val="none" w:color="auto"/>
              </w:rPr>
            </w:pPr>
            <w:r>
              <w:rPr>
                <w:rFonts w:hint="eastAsia" w:ascii="黑体" w:hAnsi="黑体" w:eastAsia="黑体" w:cs="黑体"/>
                <w:color w:val="auto"/>
                <w:sz w:val="24"/>
                <w:szCs w:val="24"/>
                <w:u w:val="none" w:color="auto"/>
                <w:vertAlign w:val="baseline"/>
              </w:rPr>
              <w:t>序号</w:t>
            </w:r>
          </w:p>
        </w:tc>
        <w:tc>
          <w:tcPr>
            <w:tcW w:w="1101"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36"/>
                <w:u w:val="none" w:color="auto"/>
              </w:rPr>
            </w:pPr>
            <w:r>
              <w:rPr>
                <w:rFonts w:hint="eastAsia" w:ascii="黑体" w:hAnsi="黑体" w:eastAsia="黑体" w:cs="黑体"/>
                <w:color w:val="auto"/>
                <w:sz w:val="24"/>
                <w:szCs w:val="24"/>
                <w:u w:val="none" w:color="auto"/>
                <w:vertAlign w:val="baseline"/>
              </w:rPr>
              <w:t>任务</w:t>
            </w:r>
          </w:p>
        </w:tc>
        <w:tc>
          <w:tcPr>
            <w:tcW w:w="9533" w:type="dxa"/>
            <w:tcBorders>
              <w:top w:val="single" w:color="auto" w:sz="4" w:space="0"/>
              <w:left w:val="single" w:color="auto" w:sz="4" w:space="0"/>
              <w:right w:val="single" w:color="auto" w:sz="4" w:space="0"/>
            </w:tcBorders>
            <w:noWrap/>
            <w:vAlign w:val="center"/>
          </w:tcPr>
          <w:p>
            <w:pPr>
              <w:numPr>
                <w:ilvl w:val="-1"/>
                <w:numId w:val="0"/>
              </w:numPr>
              <w:ind w:left="0" w:leftChars="0" w:firstLine="0" w:firstLineChars="0"/>
              <w:jc w:val="center"/>
              <w:rPr>
                <w:rFonts w:hint="eastAsia" w:ascii="仿宋_GB2312" w:hAnsi="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主要内容</w:t>
            </w:r>
          </w:p>
        </w:tc>
        <w:tc>
          <w:tcPr>
            <w:tcW w:w="3313"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blHeader/>
          <w:jc w:val="center"/>
        </w:trPr>
        <w:tc>
          <w:tcPr>
            <w:tcW w:w="756" w:type="dxa"/>
            <w:tcBorders>
              <w:top w:val="single" w:color="auto" w:sz="4" w:space="0"/>
              <w:left w:val="single" w:color="auto" w:sz="4" w:space="0"/>
              <w:right w:val="single" w:color="auto" w:sz="4" w:space="0"/>
            </w:tcBorders>
            <w:noWrap/>
            <w:vAlign w:val="center"/>
          </w:tcPr>
          <w:p>
            <w:pPr>
              <w:spacing w:line="320" w:lineRule="exact"/>
              <w:jc w:val="center"/>
              <w:rPr>
                <w:rFonts w:hint="eastAsia" w:ascii="仿宋_GB2312" w:hAnsi="仿宋_GB2312" w:eastAsia="仿宋_GB2312" w:cs="仿宋_GB2312"/>
                <w:color w:val="auto"/>
                <w:kern w:val="2"/>
                <w:sz w:val="20"/>
                <w:szCs w:val="20"/>
                <w:u w:val="none" w:color="auto"/>
                <w:vertAlign w:val="baseline"/>
                <w:lang w:val="en-US" w:eastAsia="zh-CN" w:bidi="ar-SA"/>
              </w:rPr>
            </w:pPr>
            <w:r>
              <w:rPr>
                <w:rFonts w:hint="eastAsia" w:ascii="仿宋_GB2312" w:hAnsi="仿宋_GB2312" w:eastAsia="仿宋_GB2312" w:cs="仿宋_GB2312"/>
                <w:color w:val="auto"/>
                <w:sz w:val="20"/>
                <w:szCs w:val="20"/>
                <w:u w:val="none" w:color="auto"/>
                <w:vertAlign w:val="baseline"/>
                <w:lang w:val="en-US" w:eastAsia="zh-CN"/>
              </w:rPr>
              <w:t>6</w:t>
            </w:r>
          </w:p>
        </w:tc>
        <w:tc>
          <w:tcPr>
            <w:tcW w:w="1101" w:type="dxa"/>
            <w:tcBorders>
              <w:top w:val="single" w:color="auto" w:sz="4" w:space="0"/>
              <w:left w:val="single" w:color="auto" w:sz="4" w:space="0"/>
              <w:right w:val="single" w:color="auto" w:sz="4" w:space="0"/>
            </w:tcBorders>
            <w:noWrap/>
            <w:vAlign w:val="center"/>
          </w:tcPr>
          <w:p>
            <w:pPr>
              <w:spacing w:line="320" w:lineRule="exact"/>
              <w:ind w:left="0" w:leftChars="0" w:right="0" w:rightChars="0" w:firstLine="0" w:firstLineChars="0"/>
              <w:jc w:val="center"/>
              <w:rPr>
                <w:rFonts w:hint="eastAsia" w:ascii="仿宋_GB2312" w:hAnsi="仿宋_GB2312" w:eastAsia="仿宋_GB2312" w:cs="仿宋_GB2312"/>
                <w:color w:val="auto"/>
                <w:kern w:val="2"/>
                <w:sz w:val="20"/>
                <w:szCs w:val="20"/>
                <w:u w:val="none" w:color="auto"/>
                <w:vertAlign w:val="baseline"/>
                <w:lang w:val="en-US" w:eastAsia="zh-CN" w:bidi="ar-SA"/>
              </w:rPr>
            </w:pPr>
            <w:r>
              <w:rPr>
                <w:rFonts w:hint="eastAsia" w:ascii="仿宋_GB2312" w:hAnsi="仿宋_GB2312" w:eastAsia="仿宋_GB2312" w:cs="仿宋_GB2312"/>
                <w:color w:val="auto"/>
                <w:sz w:val="20"/>
                <w:szCs w:val="20"/>
                <w:u w:val="none" w:color="auto"/>
                <w:vertAlign w:val="baseline"/>
              </w:rPr>
              <w:t>研判评估风险</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20" w:lineRule="exact"/>
              <w:ind w:left="0" w:leftChars="0" w:firstLine="0" w:firstLineChars="0"/>
              <w:jc w:val="left"/>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3</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建立政府购买服务和实施第三方协助检查会诊评估机制，聘请专业技术服务机构，定期对全市煤炭、</w:t>
            </w:r>
            <w:r>
              <w:rPr>
                <w:rFonts w:hint="default" w:ascii="仿宋_GB2312" w:hAnsi="仿宋_GB2312" w:eastAsia="仿宋_GB2312" w:cs="仿宋_GB2312"/>
                <w:color w:val="auto"/>
                <w:sz w:val="20"/>
                <w:szCs w:val="20"/>
                <w:u w:val="none" w:color="auto"/>
                <w:vertAlign w:val="baseline"/>
                <w:lang w:val="en"/>
              </w:rPr>
              <w:t>非煤、危险化学品、冶金工贸、消防等重点行业领域安全</w:t>
            </w:r>
            <w:r>
              <w:rPr>
                <w:rFonts w:hint="eastAsia" w:ascii="仿宋_GB2312" w:hAnsi="仿宋_GB2312" w:eastAsia="仿宋_GB2312" w:cs="仿宋_GB2312"/>
                <w:color w:val="auto"/>
                <w:sz w:val="20"/>
                <w:szCs w:val="20"/>
                <w:u w:val="none" w:color="auto"/>
                <w:vertAlign w:val="baseline"/>
              </w:rPr>
              <w:t>风险防范以及自然灾害防控情况开展评估会诊活动，涵盖组织、制度、技术、工程治理、风险辨识管控措施落实情况等各个方面和各个环节，指导开展有针对性的专项整治工作。</w:t>
            </w:r>
          </w:p>
        </w:tc>
        <w:tc>
          <w:tcPr>
            <w:tcW w:w="3313" w:type="dxa"/>
            <w:tcBorders>
              <w:top w:val="single" w:color="auto" w:sz="4" w:space="0"/>
              <w:left w:val="single" w:color="auto" w:sz="4" w:space="0"/>
              <w:right w:val="single" w:color="auto" w:sz="4" w:space="0"/>
            </w:tcBorders>
            <w:noWrap/>
            <w:vAlign w:val="center"/>
          </w:tcPr>
          <w:p>
            <w:pPr>
              <w:spacing w:line="320" w:lineRule="exact"/>
              <w:jc w:val="left"/>
              <w:rPr>
                <w:rFonts w:hint="eastAsia" w:ascii="仿宋_GB2312" w:hAnsi="仿宋_GB2312" w:eastAsia="仿宋_GB2312" w:cs="仿宋_GB2312"/>
                <w:color w:val="auto"/>
                <w:spacing w:val="-6"/>
                <w:sz w:val="20"/>
                <w:szCs w:val="20"/>
                <w:u w:val="none" w:color="auto"/>
                <w:vertAlign w:val="baseline"/>
                <w:lang w:eastAsia="zh-CN"/>
              </w:rPr>
            </w:pPr>
            <w:r>
              <w:rPr>
                <w:rFonts w:hint="eastAsia" w:ascii="仿宋_GB2312" w:hAnsi="仿宋_GB2312" w:eastAsia="仿宋_GB2312" w:cs="仿宋_GB2312"/>
                <w:color w:val="auto"/>
                <w:spacing w:val="-6"/>
                <w:sz w:val="20"/>
                <w:szCs w:val="20"/>
                <w:u w:val="none" w:color="auto"/>
                <w:vertAlign w:val="baseline"/>
                <w:lang w:eastAsia="zh-CN"/>
              </w:rPr>
              <w:t>市应急管理局、市规划和自然资源局、市气象局、市水利局、市消防救援支队等部门，各县（市、区）政府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tblHeader/>
          <w:jc w:val="center"/>
        </w:trPr>
        <w:tc>
          <w:tcPr>
            <w:tcW w:w="756" w:type="dxa"/>
            <w:tcBorders>
              <w:top w:val="single" w:color="auto" w:sz="4" w:space="0"/>
              <w:left w:val="single" w:color="auto" w:sz="4" w:space="0"/>
              <w:right w:val="single" w:color="auto" w:sz="4" w:space="0"/>
            </w:tcBorders>
            <w:noWrap/>
            <w:vAlign w:val="center"/>
          </w:tcPr>
          <w:p>
            <w:pPr>
              <w:spacing w:line="32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7</w:t>
            </w:r>
          </w:p>
        </w:tc>
        <w:tc>
          <w:tcPr>
            <w:tcW w:w="1101" w:type="dxa"/>
            <w:tcBorders>
              <w:top w:val="single" w:color="auto" w:sz="4" w:space="0"/>
              <w:left w:val="single" w:color="auto" w:sz="4" w:space="0"/>
              <w:right w:val="single" w:color="auto" w:sz="4" w:space="0"/>
            </w:tcBorders>
            <w:noWrap/>
            <w:vAlign w:val="center"/>
          </w:tcPr>
          <w:p>
            <w:pPr>
              <w:spacing w:line="320" w:lineRule="exact"/>
              <w:ind w:left="0" w:right="0" w:firstLine="0"/>
              <w:jc w:val="center"/>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rPr>
              <w:t>深化“三年行动”巩固治理</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20" w:lineRule="exact"/>
              <w:ind w:left="0" w:leftChars="0" w:firstLine="0" w:firstLineChars="0"/>
              <w:jc w:val="left"/>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立足从根本上消除隐患，从根本上解决问题，巩固“三年行动”成效，对安全生产专项整治“三年行动”开展情况进行全面评估，对行之有效的经验做法与创新成果固化为制度进行推广，对存在问题与工作短板提出改进措施和建议，着力构建安全整治长效机制。</w:t>
            </w:r>
          </w:p>
        </w:tc>
        <w:tc>
          <w:tcPr>
            <w:tcW w:w="3313" w:type="dxa"/>
            <w:tcBorders>
              <w:top w:val="single" w:color="auto" w:sz="4" w:space="0"/>
              <w:left w:val="single" w:color="auto" w:sz="4" w:space="0"/>
              <w:right w:val="single" w:color="auto" w:sz="4" w:space="0"/>
            </w:tcBorders>
            <w:noWrap/>
            <w:vAlign w:val="center"/>
          </w:tcPr>
          <w:p>
            <w:pPr>
              <w:spacing w:line="320" w:lineRule="exact"/>
              <w:jc w:val="left"/>
              <w:rPr>
                <w:rFonts w:hint="eastAsia" w:ascii="仿宋_GB2312" w:hAnsi="仿宋_GB2312" w:eastAsia="仿宋_GB2312" w:cs="仿宋_GB2312"/>
                <w:color w:val="auto"/>
                <w:spacing w:val="-6"/>
                <w:sz w:val="20"/>
                <w:szCs w:val="20"/>
                <w:u w:val="none" w:color="auto"/>
                <w:vertAlign w:val="baseline"/>
                <w:lang w:val="en-US" w:eastAsia="zh-CN"/>
              </w:rPr>
            </w:pPr>
            <w:r>
              <w:rPr>
                <w:rFonts w:hint="eastAsia" w:ascii="仿宋_GB2312" w:hAnsi="仿宋_GB2312" w:eastAsia="仿宋_GB2312" w:cs="仿宋_GB2312"/>
                <w:color w:val="auto"/>
                <w:spacing w:val="-6"/>
                <w:sz w:val="20"/>
                <w:szCs w:val="20"/>
                <w:u w:val="none" w:color="auto"/>
                <w:vertAlign w:val="baseline"/>
                <w:lang w:eastAsia="zh-CN"/>
              </w:rPr>
              <w:t>市安委办、市应急管理局、市住建局、市城市管理局、市消防救援支队、市市场监管局、市工信局、市商务局、市生态环境局、市交通局、市公安局交警支队，各县（市、区）政府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spacing w:line="32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8</w:t>
            </w:r>
          </w:p>
        </w:tc>
        <w:tc>
          <w:tcPr>
            <w:tcW w:w="1101" w:type="dxa"/>
            <w:vMerge w:val="restart"/>
            <w:tcBorders>
              <w:top w:val="single" w:color="auto" w:sz="4" w:space="0"/>
              <w:left w:val="single" w:color="auto" w:sz="4" w:space="0"/>
              <w:right w:val="single" w:color="auto" w:sz="4" w:space="0"/>
            </w:tcBorders>
            <w:noWrap/>
            <w:vAlign w:val="center"/>
          </w:tcPr>
          <w:p>
            <w:pPr>
              <w:spacing w:line="320" w:lineRule="exact"/>
              <w:ind w:left="0" w:right="0" w:firstLine="0"/>
              <w:jc w:val="center"/>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rPr>
              <w:t>精准治理隐患</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20" w:lineRule="exact"/>
              <w:ind w:left="0" w:leftChars="0" w:firstLine="0" w:firstLineChars="0"/>
              <w:jc w:val="left"/>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深入开展安全生产隐患排查整治行动，严格落实事故隐患排查治理制度，做到责任、措施、资金、时限和预案“五到位”；</w:t>
            </w:r>
          </w:p>
        </w:tc>
        <w:tc>
          <w:tcPr>
            <w:tcW w:w="3313" w:type="dxa"/>
            <w:tcBorders>
              <w:top w:val="single" w:color="auto" w:sz="4" w:space="0"/>
              <w:left w:val="single" w:color="auto" w:sz="4" w:space="0"/>
              <w:right w:val="single" w:color="auto" w:sz="4" w:space="0"/>
            </w:tcBorders>
            <w:noWrap/>
            <w:vAlign w:val="center"/>
          </w:tcPr>
          <w:p>
            <w:pPr>
              <w:spacing w:line="320" w:lineRule="exact"/>
              <w:jc w:val="left"/>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各行业主管部门、负有安全监职责的部门组织开展，督促企业落实“五到位”并对企业隐患排查治理情况开展检查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20" w:lineRule="exact"/>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2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20" w:lineRule="exact"/>
              <w:ind w:left="0" w:leftChars="0" w:firstLine="0" w:firstLineChars="0"/>
              <w:jc w:val="left"/>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立足查大风险、治大隐患、</w:t>
            </w:r>
            <w:r>
              <w:rPr>
                <w:rFonts w:hint="eastAsia" w:ascii="仿宋_GB2312" w:hAnsi="仿宋_GB2312" w:eastAsia="仿宋_GB2312" w:cs="仿宋_GB2312"/>
                <w:color w:val="auto"/>
                <w:sz w:val="20"/>
                <w:szCs w:val="20"/>
                <w:u w:val="none" w:color="auto"/>
                <w:vertAlign w:val="baseline"/>
                <w:lang w:eastAsia="zh-CN"/>
              </w:rPr>
              <w:t>防大事故</w:t>
            </w:r>
            <w:r>
              <w:rPr>
                <w:rFonts w:hint="eastAsia" w:ascii="仿宋_GB2312" w:hAnsi="仿宋_GB2312" w:eastAsia="仿宋_GB2312" w:cs="仿宋_GB2312"/>
                <w:color w:val="auto"/>
                <w:sz w:val="20"/>
                <w:szCs w:val="20"/>
                <w:u w:val="none" w:color="auto"/>
                <w:vertAlign w:val="baseline"/>
              </w:rPr>
              <w:t>，突出事故多发、易发、频发的重点领域、重点环节，精准排查治理重大事故隐患，并向监管部门和企业职工“双报告”，监管部门挂牌跟踪督办。</w:t>
            </w:r>
          </w:p>
        </w:tc>
        <w:tc>
          <w:tcPr>
            <w:tcW w:w="3313" w:type="dxa"/>
            <w:tcBorders>
              <w:top w:val="single" w:color="auto" w:sz="4" w:space="0"/>
              <w:left w:val="single" w:color="auto" w:sz="4" w:space="0"/>
              <w:right w:val="single" w:color="auto" w:sz="4" w:space="0"/>
            </w:tcBorders>
            <w:noWrap/>
            <w:vAlign w:val="center"/>
          </w:tcPr>
          <w:p>
            <w:pPr>
              <w:spacing w:line="320" w:lineRule="exact"/>
              <w:jc w:val="left"/>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各行业主管部门、负有安全监职责的部门督促企业落实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spacing w:line="32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9</w:t>
            </w:r>
          </w:p>
        </w:tc>
        <w:tc>
          <w:tcPr>
            <w:tcW w:w="1101" w:type="dxa"/>
            <w:vMerge w:val="restart"/>
            <w:tcBorders>
              <w:top w:val="single" w:color="auto" w:sz="4" w:space="0"/>
              <w:left w:val="single" w:color="auto" w:sz="4" w:space="0"/>
              <w:right w:val="single" w:color="auto" w:sz="4" w:space="0"/>
            </w:tcBorders>
            <w:noWrap/>
            <w:vAlign w:val="center"/>
          </w:tcPr>
          <w:p>
            <w:pPr>
              <w:spacing w:line="32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rPr>
              <w:t>推进安全生产依法治理</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2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严格实施《安全生产法》《山西省安全生产条例》等法律条例，根据工作需要修订完善相关配套制度。负有安全生产监管职责的部门要编制并落实年度执法计划，推广应用“互联网＋执法”系统，严格规范公正文明执法。</w:t>
            </w:r>
          </w:p>
        </w:tc>
        <w:tc>
          <w:tcPr>
            <w:tcW w:w="3313" w:type="dxa"/>
            <w:tcBorders>
              <w:top w:val="single" w:color="auto" w:sz="4" w:space="0"/>
              <w:left w:val="single" w:color="auto" w:sz="4" w:space="0"/>
              <w:right w:val="single" w:color="auto" w:sz="4" w:space="0"/>
            </w:tcBorders>
            <w:noWrap/>
            <w:vAlign w:val="center"/>
          </w:tcPr>
          <w:p>
            <w:pPr>
              <w:spacing w:line="320" w:lineRule="exact"/>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各负有安全监职责的部门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20" w:lineRule="exact"/>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2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2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对非法生产经营建设和不符合安全生产条件经停产整顿仍未达到要求的，依法关闭取缔；对非法违法生产经营建设的有关单位和责任人，依法从严从重处罚；对存在违法生产经营建设行为和存在重大事故隐患的单位，依法责令停产停业整顿，并严格落实挂牌督办等措施；对存在严重违法违规行为的企业，依法纳入“黑名单”实施联合惩戒。</w:t>
            </w:r>
          </w:p>
        </w:tc>
        <w:tc>
          <w:tcPr>
            <w:tcW w:w="3313" w:type="dxa"/>
            <w:tcBorders>
              <w:top w:val="single" w:color="auto" w:sz="4" w:space="0"/>
              <w:left w:val="single" w:color="auto" w:sz="4" w:space="0"/>
              <w:right w:val="single" w:color="auto" w:sz="4" w:space="0"/>
            </w:tcBorders>
            <w:noWrap/>
            <w:vAlign w:val="center"/>
          </w:tcPr>
          <w:p>
            <w:pPr>
              <w:spacing w:line="320" w:lineRule="exact"/>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各负有安全监职责的部门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20" w:lineRule="exact"/>
              <w:rPr>
                <w:rFonts w:hint="eastAsia" w:ascii="仿宋_GB2312" w:hAnsi="仿宋_GB2312" w:eastAsia="仿宋_GB2312" w:cs="仿宋_GB2312"/>
                <w:color w:val="auto"/>
                <w:sz w:val="36"/>
                <w:u w:val="none" w:color="auto"/>
                <w:lang w:eastAsia="zh-CN"/>
              </w:rPr>
            </w:pPr>
            <w:r>
              <w:rPr>
                <w:rFonts w:hint="eastAsia" w:ascii="仿宋_GB2312" w:hAnsi="仿宋_GB2312" w:cs="仿宋_GB2312"/>
                <w:color w:val="auto"/>
                <w:sz w:val="36"/>
                <w:u w:val="none" w:color="auto"/>
                <w:lang w:eastAsia="zh-CN"/>
              </w:rPr>
              <w:t>（）</w:t>
            </w:r>
          </w:p>
        </w:tc>
        <w:tc>
          <w:tcPr>
            <w:tcW w:w="1101" w:type="dxa"/>
            <w:vMerge w:val="continue"/>
            <w:tcBorders>
              <w:top w:val="single" w:color="auto" w:sz="4" w:space="0"/>
              <w:left w:val="single" w:color="auto" w:sz="4" w:space="0"/>
              <w:right w:val="single" w:color="auto" w:sz="4" w:space="0"/>
            </w:tcBorders>
            <w:noWrap/>
            <w:vAlign w:val="center"/>
          </w:tcPr>
          <w:p>
            <w:pPr>
              <w:spacing w:line="32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2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3</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建立完善并落实安全生产“吹哨人”和举报奖励制度。</w:t>
            </w:r>
          </w:p>
        </w:tc>
        <w:tc>
          <w:tcPr>
            <w:tcW w:w="3313" w:type="dxa"/>
            <w:tcBorders>
              <w:top w:val="single" w:color="auto" w:sz="4" w:space="0"/>
              <w:left w:val="single" w:color="auto" w:sz="4" w:space="0"/>
              <w:right w:val="single" w:color="auto" w:sz="4" w:space="0"/>
            </w:tcBorders>
            <w:noWrap/>
            <w:vAlign w:val="center"/>
          </w:tcPr>
          <w:p>
            <w:pPr>
              <w:spacing w:line="32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各行业主管部门、负有安全监职责的部门、市政务服务中心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cs="仿宋_GB2312"/>
                <w:color w:val="auto"/>
                <w:sz w:val="36"/>
                <w:u w:val="none" w:color="auto"/>
                <w:lang w:eastAsia="zh-CN"/>
              </w:rPr>
            </w:pPr>
            <w:r>
              <w:rPr>
                <w:rFonts w:hint="eastAsia" w:ascii="黑体" w:hAnsi="黑体" w:eastAsia="黑体" w:cs="黑体"/>
                <w:color w:val="auto"/>
                <w:sz w:val="24"/>
                <w:szCs w:val="24"/>
                <w:u w:val="none" w:color="auto"/>
                <w:vertAlign w:val="baseline"/>
              </w:rPr>
              <w:t>序号</w:t>
            </w:r>
          </w:p>
        </w:tc>
        <w:tc>
          <w:tcPr>
            <w:tcW w:w="1101"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36"/>
                <w:u w:val="none" w:color="auto"/>
              </w:rPr>
            </w:pPr>
            <w:r>
              <w:rPr>
                <w:rFonts w:hint="eastAsia" w:ascii="黑体" w:hAnsi="黑体" w:eastAsia="黑体" w:cs="黑体"/>
                <w:color w:val="auto"/>
                <w:sz w:val="24"/>
                <w:szCs w:val="24"/>
                <w:u w:val="none" w:color="auto"/>
                <w:vertAlign w:val="baseline"/>
              </w:rPr>
              <w:t>任务</w:t>
            </w:r>
          </w:p>
        </w:tc>
        <w:tc>
          <w:tcPr>
            <w:tcW w:w="9533" w:type="dxa"/>
            <w:tcBorders>
              <w:top w:val="single" w:color="auto" w:sz="4" w:space="0"/>
              <w:left w:val="single" w:color="auto" w:sz="4" w:space="0"/>
              <w:right w:val="single" w:color="auto" w:sz="4" w:space="0"/>
            </w:tcBorders>
            <w:noWrap/>
            <w:vAlign w:val="center"/>
          </w:tcPr>
          <w:p>
            <w:pPr>
              <w:numPr>
                <w:ilvl w:val="-1"/>
                <w:numId w:val="0"/>
              </w:numPr>
              <w:ind w:left="0" w:leftChars="0" w:firstLine="0" w:firstLineChars="0"/>
              <w:jc w:val="center"/>
              <w:rPr>
                <w:rFonts w:hint="eastAsia" w:ascii="仿宋_GB2312" w:hAnsi="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主要内容</w:t>
            </w:r>
          </w:p>
        </w:tc>
        <w:tc>
          <w:tcPr>
            <w:tcW w:w="3313"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10</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rPr>
              <w:t>提升企业安全基础管理</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pacing w:val="-6"/>
                <w:sz w:val="20"/>
                <w:szCs w:val="20"/>
                <w:u w:val="none" w:color="auto"/>
                <w:vertAlign w:val="baseline"/>
                <w:lang w:eastAsia="zh-CN"/>
              </w:rPr>
              <w:t>（</w:t>
            </w:r>
            <w:r>
              <w:rPr>
                <w:rFonts w:hint="eastAsia" w:ascii="仿宋_GB2312" w:hAnsi="仿宋_GB2312" w:cs="仿宋_GB2312"/>
                <w:color w:val="auto"/>
                <w:spacing w:val="-6"/>
                <w:sz w:val="20"/>
                <w:szCs w:val="20"/>
                <w:u w:val="none" w:color="auto"/>
                <w:vertAlign w:val="baseline"/>
                <w:lang w:val="en-US" w:eastAsia="zh-CN"/>
              </w:rPr>
              <w:t>1</w:t>
            </w:r>
            <w:r>
              <w:rPr>
                <w:rFonts w:hint="eastAsia" w:ascii="仿宋_GB2312" w:hAnsi="仿宋_GB2312" w:cs="仿宋_GB2312"/>
                <w:color w:val="auto"/>
                <w:spacing w:val="-6"/>
                <w:sz w:val="20"/>
                <w:szCs w:val="20"/>
                <w:u w:val="none" w:color="auto"/>
                <w:vertAlign w:val="baseline"/>
                <w:lang w:eastAsia="zh-CN"/>
              </w:rPr>
              <w:t>）</w:t>
            </w:r>
            <w:r>
              <w:rPr>
                <w:rFonts w:hint="eastAsia" w:ascii="仿宋_GB2312" w:hAnsi="仿宋_GB2312" w:eastAsia="仿宋_GB2312" w:cs="仿宋_GB2312"/>
                <w:color w:val="auto"/>
                <w:spacing w:val="-6"/>
                <w:sz w:val="20"/>
                <w:szCs w:val="20"/>
                <w:u w:val="none" w:color="auto"/>
                <w:vertAlign w:val="baseline"/>
              </w:rPr>
              <w:t>狠抓安全管理制度落实，全力推动企业安全生产标准化建设和双重预防机制</w:t>
            </w:r>
            <w:r>
              <w:rPr>
                <w:rFonts w:hint="eastAsia" w:ascii="仿宋_GB2312" w:hAnsi="仿宋_GB2312" w:eastAsia="仿宋_GB2312" w:cs="仿宋_GB2312"/>
                <w:color w:val="auto"/>
                <w:spacing w:val="-6"/>
                <w:sz w:val="20"/>
                <w:szCs w:val="20"/>
                <w:u w:val="none" w:color="auto"/>
                <w:vertAlign w:val="baseline"/>
                <w:lang w:eastAsia="zh-CN"/>
              </w:rPr>
              <w:t>提质增效</w:t>
            </w:r>
            <w:r>
              <w:rPr>
                <w:rFonts w:hint="eastAsia" w:ascii="仿宋_GB2312" w:hAnsi="仿宋_GB2312" w:eastAsia="仿宋_GB2312" w:cs="仿宋_GB2312"/>
                <w:color w:val="auto"/>
                <w:spacing w:val="-6"/>
                <w:sz w:val="20"/>
                <w:szCs w:val="20"/>
                <w:u w:val="none" w:color="auto"/>
                <w:vertAlign w:val="baseline"/>
              </w:rPr>
              <w:t>。高危行业企业要强化一线岗位操作规范，推行“岗位安全风险清单、岗位安全职责清单”和“岗位操作卡、应急处置卡”“两清单两卡”制度，其风险与职责内容、范围、操作规范、处置要领要简明扼要、通俗易懂、清晰明确、便于操作、适时更新，做到人人记得住、说得明、做得到。鼓励高危行业领域探索建立双重预防机制信息化系统</w:t>
            </w:r>
            <w:r>
              <w:rPr>
                <w:rFonts w:hint="eastAsia" w:ascii="仿宋_GB2312" w:hAnsi="仿宋_GB2312" w:eastAsia="仿宋_GB2312" w:cs="仿宋_GB2312"/>
                <w:color w:val="auto"/>
                <w:sz w:val="20"/>
                <w:szCs w:val="20"/>
                <w:u w:val="none" w:color="auto"/>
                <w:vertAlign w:val="baseline"/>
              </w:rPr>
              <w:t>。</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各行业主管部门、负有安全监职责的部门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11</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rPr>
              <w:t>煤矿</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要持续强化煤矿重大灾害超前治理和系统性安全风险防范，强化隐蔽致灾因素普查治理。突出以瓦斯、水害、顶板、火灾等易造成群死群伤的灾害为重点，推进煤矿防治水“三区”管理，严格落实防治水“三专两探一撤”和“五必须、六严禁”要求；强化顶板支护技术支撑、质量管控、现场管理和观测监测；加强机电和运输管理，落实井下辅助运输安全措施。</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市应急管理局、国家矿监局山西局执法五处，各县（市、区）政府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lang w:eastAsia="zh-CN"/>
              </w:rPr>
            </w:pPr>
            <w:r>
              <w:rPr>
                <w:rFonts w:hint="eastAsia" w:ascii="仿宋_GB2312" w:hAnsi="仿宋_GB2312" w:cs="仿宋_GB2312"/>
                <w:color w:val="auto"/>
                <w:sz w:val="36"/>
                <w:u w:val="none" w:color="auto"/>
                <w:lang w:eastAsia="zh-CN"/>
              </w:rPr>
              <w:t>（）</w:t>
            </w: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全面推进煤矿智能化建设，加快推动井下固定岗位无人值守、采掘工作面智能化</w:t>
            </w:r>
            <w:r>
              <w:rPr>
                <w:rFonts w:hint="eastAsia" w:ascii="仿宋_GB2312" w:hAnsi="仿宋_GB2312" w:eastAsia="仿宋_GB2312" w:cs="仿宋_GB2312"/>
                <w:color w:val="auto"/>
                <w:sz w:val="20"/>
                <w:szCs w:val="20"/>
                <w:u w:val="none" w:color="auto"/>
                <w:vertAlign w:val="baseline"/>
                <w:lang w:eastAsia="zh-CN"/>
              </w:rPr>
              <w:t>减</w:t>
            </w:r>
            <w:r>
              <w:rPr>
                <w:rFonts w:hint="eastAsia" w:ascii="仿宋_GB2312" w:hAnsi="仿宋_GB2312" w:eastAsia="仿宋_GB2312" w:cs="仿宋_GB2312"/>
                <w:color w:val="auto"/>
                <w:sz w:val="20"/>
                <w:szCs w:val="20"/>
                <w:u w:val="none" w:color="auto"/>
                <w:vertAlign w:val="baseline"/>
              </w:rPr>
              <w:t>人，提升本质安全水平。</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市能源局牵头、其他部门根据工作职能做好配合，各县（市、区）政府落实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3</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强化煤矿安全监管专员和包保责任履职，持续加大部门监管执法力度，扎实开展煤矿安全生产隐患排查整治和安全生产检查评估，确保全市煤矿安全</w:t>
            </w:r>
            <w:r>
              <w:rPr>
                <w:rFonts w:hint="eastAsia" w:ascii="仿宋_GB2312" w:hAnsi="仿宋_GB2312" w:eastAsia="仿宋_GB2312" w:cs="仿宋_GB2312"/>
                <w:color w:val="auto"/>
                <w:sz w:val="20"/>
                <w:szCs w:val="20"/>
                <w:u w:val="none" w:color="auto"/>
                <w:vertAlign w:val="baseline"/>
                <w:lang w:eastAsia="zh-CN"/>
              </w:rPr>
              <w:t>处于</w:t>
            </w:r>
            <w:r>
              <w:rPr>
                <w:rFonts w:hint="eastAsia" w:ascii="仿宋_GB2312" w:hAnsi="仿宋_GB2312" w:eastAsia="仿宋_GB2312" w:cs="仿宋_GB2312"/>
                <w:color w:val="auto"/>
                <w:sz w:val="20"/>
                <w:szCs w:val="20"/>
                <w:u w:val="none" w:color="auto"/>
                <w:vertAlign w:val="baseline"/>
              </w:rPr>
              <w:t>受控状态。</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市应急管理局、市能源局，各县（市、区）政府有关部门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12</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rPr>
              <w:t>金属非金属矿山和尾矿库</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强化非煤矿山转型升级，推动落实淘汰退出、整合重组、改造提升“三个一批”。落实非煤矿山最低生产建设规模、最低服务年限标准，推进矿产资源整合，优化开采布局，实现矿权、规划、生产系统、开采主体、管理经营“五统一”，力争我市非煤露天矿山生产规模达到50万吨/年，地下非煤矿山生产规模达到30万吨/年，且服务年限不少于5年。</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市规划和自然资源局、市应急管理局、市能源局等部门分工负责，各县（市、区）政府落实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lang w:eastAsia="zh-CN"/>
              </w:rPr>
            </w:pPr>
            <w:r>
              <w:rPr>
                <w:rFonts w:hint="eastAsia" w:ascii="仿宋_GB2312" w:hAnsi="仿宋_GB2312" w:cs="仿宋_GB2312"/>
                <w:color w:val="auto"/>
                <w:sz w:val="36"/>
                <w:u w:val="none" w:color="auto"/>
                <w:lang w:eastAsia="zh-CN"/>
              </w:rPr>
              <w:t>（）</w:t>
            </w: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推进地下矿山采空区治理，新改扩建以及整合的地下矿山优先采用尾矿充填采矿法。新建尾矿库应采用干式排尾技术，新建、改建、扩建尾矿库必须有配套矿山；</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市应急管理局、国家矿监局山西局执法五处，各县（市、区）政府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lang w:eastAsia="zh-CN"/>
              </w:rPr>
            </w:pPr>
            <w:r>
              <w:rPr>
                <w:rFonts w:hint="eastAsia" w:ascii="仿宋_GB2312" w:hAnsi="仿宋_GB2312" w:cs="仿宋_GB2312"/>
                <w:color w:val="auto"/>
                <w:sz w:val="36"/>
                <w:u w:val="none" w:color="auto"/>
                <w:lang w:eastAsia="zh-CN"/>
              </w:rPr>
              <w:t>（）</w:t>
            </w: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3</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推进岚县、方山、交城无生产经营主体和停用时间超过3年的3座尾矿库的闭库治理和销号工作。</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市应急管理局、市规划和自然资源局，岚县、方山</w:t>
            </w:r>
            <w:r>
              <w:rPr>
                <w:rFonts w:hint="eastAsia" w:ascii="仿宋_GB2312" w:hAnsi="仿宋_GB2312" w:eastAsia="仿宋_GB2312" w:cs="仿宋_GB2312"/>
                <w:color w:val="auto"/>
                <w:sz w:val="20"/>
                <w:szCs w:val="20"/>
                <w:u w:val="none" w:color="auto"/>
                <w:vertAlign w:val="baseline"/>
                <w:lang w:val="en-US" w:eastAsia="zh-CN"/>
              </w:rPr>
              <w:t>县</w:t>
            </w:r>
            <w:r>
              <w:rPr>
                <w:rFonts w:hint="eastAsia" w:ascii="仿宋_GB2312" w:hAnsi="仿宋_GB2312" w:eastAsia="仿宋_GB2312" w:cs="仿宋_GB2312"/>
                <w:color w:val="auto"/>
                <w:sz w:val="20"/>
                <w:szCs w:val="20"/>
                <w:u w:val="none" w:color="auto"/>
                <w:vertAlign w:val="baseline"/>
                <w:lang w:eastAsia="zh-CN"/>
              </w:rPr>
              <w:t>、交城县政府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lang w:eastAsia="zh-CN"/>
              </w:rPr>
            </w:pPr>
            <w:r>
              <w:rPr>
                <w:rFonts w:hint="eastAsia" w:ascii="仿宋_GB2312" w:hAnsi="仿宋_GB2312" w:cs="仿宋_GB2312"/>
                <w:color w:val="auto"/>
                <w:sz w:val="36"/>
                <w:u w:val="none" w:color="auto"/>
                <w:lang w:eastAsia="zh-CN"/>
              </w:rPr>
              <w:t>（）</w:t>
            </w: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4</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选择试点企业探索推动信息化建设，运用大数据、5G等提升风险分析和实时预警能力，进一步提高24小时全方位精准监控水平。</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市应急管理局，各县（市、区）政府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cs="仿宋_GB2312"/>
                <w:color w:val="auto"/>
                <w:sz w:val="36"/>
                <w:u w:val="none" w:color="auto"/>
                <w:lang w:eastAsia="zh-CN"/>
              </w:rPr>
            </w:pPr>
            <w:r>
              <w:rPr>
                <w:rFonts w:hint="eastAsia" w:ascii="黑体" w:hAnsi="黑体" w:eastAsia="黑体" w:cs="黑体"/>
                <w:color w:val="auto"/>
                <w:sz w:val="24"/>
                <w:szCs w:val="24"/>
                <w:u w:val="none" w:color="auto"/>
                <w:vertAlign w:val="baseline"/>
              </w:rPr>
              <w:t>序号</w:t>
            </w:r>
          </w:p>
        </w:tc>
        <w:tc>
          <w:tcPr>
            <w:tcW w:w="1101"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36"/>
                <w:u w:val="none" w:color="auto"/>
              </w:rPr>
            </w:pPr>
            <w:r>
              <w:rPr>
                <w:rFonts w:hint="eastAsia" w:ascii="黑体" w:hAnsi="黑体" w:eastAsia="黑体" w:cs="黑体"/>
                <w:color w:val="auto"/>
                <w:sz w:val="24"/>
                <w:szCs w:val="24"/>
                <w:u w:val="none" w:color="auto"/>
                <w:vertAlign w:val="baseline"/>
              </w:rPr>
              <w:t>任务</w:t>
            </w:r>
          </w:p>
        </w:tc>
        <w:tc>
          <w:tcPr>
            <w:tcW w:w="9533" w:type="dxa"/>
            <w:tcBorders>
              <w:top w:val="single" w:color="auto" w:sz="4" w:space="0"/>
              <w:left w:val="single" w:color="auto" w:sz="4" w:space="0"/>
              <w:right w:val="single" w:color="auto" w:sz="4" w:space="0"/>
            </w:tcBorders>
            <w:noWrap/>
            <w:vAlign w:val="center"/>
          </w:tcPr>
          <w:p>
            <w:pPr>
              <w:numPr>
                <w:ilvl w:val="-1"/>
                <w:numId w:val="0"/>
              </w:numPr>
              <w:ind w:left="0" w:leftChars="0" w:firstLine="0" w:firstLineChars="0"/>
              <w:jc w:val="center"/>
              <w:rPr>
                <w:rFonts w:hint="eastAsia" w:ascii="仿宋_GB2312" w:hAnsi="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主要内容</w:t>
            </w:r>
          </w:p>
        </w:tc>
        <w:tc>
          <w:tcPr>
            <w:tcW w:w="3313"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13</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rPr>
              <w:t>危险化学品</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深入开展化工园区整治提升、非法违法“小化工”整治攻坚、特殊作业专项整治和重点县专家指导服务，提升化工从业准入门槛和企业本质安全水平。要聘请一流技术服务机构对危化生产企业开展专家会诊式安全评估</w:t>
            </w:r>
            <w:r>
              <w:rPr>
                <w:rFonts w:hint="eastAsia" w:ascii="仿宋_GB2312" w:hAnsi="仿宋_GB2312" w:eastAsia="仿宋_GB2312" w:cs="仿宋_GB2312"/>
                <w:color w:val="auto"/>
                <w:sz w:val="20"/>
                <w:szCs w:val="20"/>
                <w:u w:val="none" w:color="auto"/>
                <w:vertAlign w:val="baseline"/>
                <w:lang w:eastAsia="zh-CN"/>
              </w:rPr>
              <w:t>检查</w:t>
            </w:r>
            <w:r>
              <w:rPr>
                <w:rFonts w:hint="eastAsia" w:ascii="仿宋_GB2312" w:hAnsi="仿宋_GB2312" w:eastAsia="仿宋_GB2312" w:cs="仿宋_GB2312"/>
                <w:color w:val="auto"/>
                <w:sz w:val="20"/>
                <w:szCs w:val="20"/>
                <w:u w:val="none" w:color="auto"/>
                <w:vertAlign w:val="baseline"/>
              </w:rPr>
              <w:t>。重大危险源企业全部落实重大危险源包保责任制。继续推进“工业互联网+安全生产”试点建设和双重预防机制数字化建设</w:t>
            </w:r>
            <w:r>
              <w:rPr>
                <w:rFonts w:hint="eastAsia" w:ascii="仿宋_GB2312" w:hAnsi="仿宋_GB2312" w:eastAsia="仿宋_GB2312" w:cs="仿宋_GB2312"/>
                <w:color w:val="auto"/>
                <w:sz w:val="20"/>
                <w:szCs w:val="20"/>
                <w:u w:val="none" w:color="auto"/>
                <w:vertAlign w:val="baseline"/>
                <w:lang w:eastAsia="zh-CN"/>
              </w:rPr>
              <w:t>。</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市应急管理局、市工信局，各县（市、区）政府及化工园区管委会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完成重点化工企业重点人员工伤预防能力提升培训。</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市应急管理局、市人社局，各县（市、区）政府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14</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rPr>
              <w:t>冶金工贸</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要紧抓标准化创建，制定建立一批符合企业实际的规章制度和管理规范，有效改善企业安全基础条件，整治一批设备事故隐患，从而有效服务企业安全生产工作，力争2023年行业企业标准化创建率达50%。</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市应急管理局，各县（市、区）政府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15</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rPr>
              <w:t>交通运输</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持续开展重点营运车辆和重点驾驶人源头治理行动。紧盯“两客一危一货”等重点车辆，从严查处“三超一疲劳”、酒驾醉驾、无证驾驶、逆向行驶等交通违法行为。深化“一盔一带”安全守护行动。强化农村交通安全综合治理，持续开展农用车违法载人专项整治。继续推广道路交通事故重伤员“预担保、快抢救、后付费”机制。</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市公安局交警支队、市交通局、市卫健委、市农业农村局，各县（市、区）政府落实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lang w:eastAsia="zh-CN"/>
              </w:rPr>
            </w:pPr>
            <w:r>
              <w:rPr>
                <w:rFonts w:hint="eastAsia" w:ascii="仿宋_GB2312" w:hAnsi="仿宋_GB2312" w:cs="仿宋_GB2312"/>
                <w:color w:val="auto"/>
                <w:sz w:val="36"/>
                <w:u w:val="none" w:color="auto"/>
                <w:lang w:eastAsia="zh-CN"/>
              </w:rPr>
              <w:t>（）</w:t>
            </w: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加快推进普通国省干线公路、农村公路安全生命防护工程和危旧桥梁改造。推进公路安全防护设施和交通秩序管理精细化提升行动，在农村公路路堤高度超过30米的险要路段安装护栏。</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市交通局、市公安局交警支队、吕梁公路分局等部门配合，各县（市、区）政府落实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16</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rPr>
              <w:t>建设工程施工</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持续开展房屋市政工程安全生产治理行动，压实参建方主体责任，严格管控“危大工程”以及高风险作业环节，严厉打击转包、挂靠、违法分包等违法违规行为。</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市住建局、市城市管理局分工负责，各县（市、区）政府落实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17</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rPr>
              <w:t>经营性自建房</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加强经营性自建房安全隐患排查整治，落实“双通知、一报告”要求，突出房屋所有人（使用人）的主体责任，压实属地责任和行业监管责任，制定“一栋一策”整治措施，实施分类整治、逐栋验收、对帐销号。经营性自建房必须具有房屋安全合格证明，并依法办理相关证照手续。</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市住建局牵头，市公安局、市规划和自然资源局、市农业农村局、市市场监管局、市消防救援支队等部门分工负责，各县（市、区）政府落实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黑体" w:hAnsi="黑体" w:eastAsia="黑体" w:cs="黑体"/>
                <w:color w:val="auto"/>
                <w:sz w:val="24"/>
                <w:szCs w:val="24"/>
                <w:u w:val="none" w:color="auto"/>
                <w:vertAlign w:val="baseline"/>
              </w:rPr>
              <w:t>序号</w:t>
            </w:r>
          </w:p>
        </w:tc>
        <w:tc>
          <w:tcPr>
            <w:tcW w:w="1101"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rPr>
            </w:pPr>
            <w:r>
              <w:rPr>
                <w:rFonts w:hint="eastAsia" w:ascii="黑体" w:hAnsi="黑体" w:eastAsia="黑体" w:cs="黑体"/>
                <w:color w:val="auto"/>
                <w:sz w:val="24"/>
                <w:szCs w:val="24"/>
                <w:u w:val="none" w:color="auto"/>
                <w:vertAlign w:val="baseline"/>
              </w:rPr>
              <w:t>任务</w:t>
            </w:r>
          </w:p>
        </w:tc>
        <w:tc>
          <w:tcPr>
            <w:tcW w:w="9533" w:type="dxa"/>
            <w:tcBorders>
              <w:top w:val="single" w:color="auto" w:sz="4" w:space="0"/>
              <w:left w:val="single" w:color="auto" w:sz="4" w:space="0"/>
              <w:right w:val="single" w:color="auto" w:sz="4" w:space="0"/>
            </w:tcBorders>
            <w:noWrap/>
            <w:vAlign w:val="center"/>
          </w:tcPr>
          <w:p>
            <w:pPr>
              <w:numPr>
                <w:ilvl w:val="-1"/>
                <w:numId w:val="0"/>
              </w:numPr>
              <w:ind w:left="0" w:leftChars="0" w:firstLine="0" w:firstLineChars="0"/>
              <w:jc w:val="center"/>
              <w:rPr>
                <w:rFonts w:hint="eastAsia" w:ascii="仿宋_GB2312" w:hAnsi="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主要内容</w:t>
            </w:r>
          </w:p>
        </w:tc>
        <w:tc>
          <w:tcPr>
            <w:tcW w:w="3313"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18</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rPr>
              <w:t>燃气</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lang w:eastAsia="zh-CN"/>
              </w:rPr>
              <w:t>持续推进</w:t>
            </w:r>
            <w:r>
              <w:rPr>
                <w:rFonts w:hint="eastAsia" w:ascii="仿宋_GB2312" w:hAnsi="仿宋_GB2312" w:eastAsia="仿宋_GB2312" w:cs="仿宋_GB2312"/>
                <w:color w:val="auto"/>
                <w:sz w:val="20"/>
                <w:szCs w:val="20"/>
                <w:u w:val="none" w:color="auto"/>
                <w:vertAlign w:val="baseline"/>
              </w:rPr>
              <w:t>管网更新改造、“三项强制措施”。深化液化石油气安全整治。扎实排查治理商住混合体、餐饮场所、农贸市场等燃气使用事故隐患。加强燃气企业经营许可动态考核，推进燃气企业信息化、智慧化建设。</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市城市管理局、市市场监管局、市商务局、市应急管理局等部门分工负责，各县（市、区）政府落实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4"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19</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rPr>
              <w:t>消防</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围绕“防大火、控小火、遏亡人”，紧盯人员密集场所、高层建筑、大型商业综合体、文博单位、石油化工企业、劳动密集型企业等高风险场所和经营性自建房、群租房、“多合一”等低设防区域以及剧本娱乐经营场所、电化学储能电站、</w:t>
            </w:r>
            <w:r>
              <w:rPr>
                <w:rFonts w:hint="eastAsia" w:ascii="仿宋_GB2312" w:hAnsi="仿宋_GB2312" w:eastAsia="仿宋_GB2312" w:cs="仿宋_GB2312"/>
                <w:color w:val="auto"/>
                <w:sz w:val="20"/>
                <w:szCs w:val="20"/>
                <w:u w:val="none" w:color="auto"/>
                <w:vertAlign w:val="baseline"/>
                <w:lang w:eastAsia="zh-CN"/>
              </w:rPr>
              <w:t>大型仓储物流等新业态</w:t>
            </w:r>
            <w:r>
              <w:rPr>
                <w:rFonts w:hint="eastAsia" w:ascii="仿宋_GB2312" w:hAnsi="仿宋_GB2312" w:eastAsia="仿宋_GB2312" w:cs="仿宋_GB2312"/>
                <w:color w:val="auto"/>
                <w:sz w:val="20"/>
                <w:szCs w:val="20"/>
                <w:u w:val="none" w:color="auto"/>
                <w:vertAlign w:val="baseline"/>
              </w:rPr>
              <w:t>新领域，分级分类实施差异化监管。持续深化畅通消防“生命通道”工程，整治电动自行车进楼入户、占用堵塞消防车通道等突出问题。分批分类完成全市高层公共建筑消防安全评估和高层民用建筑消防安全管理达标建设任务。</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消防救援支队牵头，市住建局、市城市管理局、市教育局、市民政局、市商务局、市文旅局、市卫健委、市能源局、市应急管理局、市农业农村局、市市场监管局、市交通局等部门配合，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20</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其他</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特种设备、民爆物品、文化旅游、农机等其他行业领域也要结合实际开展专项整治。</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市市场监管局、市公安局、市文旅局、市农业农村局等部门分工负责，各县（市、区）政府落实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1"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21</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提升应对自然灾害能力</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加强各灾种应急指挥体系建设，厘清相关部门职责边界，形成工作合力。推进综合减灾示范社区创建，年内完成不少于</w:t>
            </w:r>
            <w:r>
              <w:rPr>
                <w:rFonts w:hint="eastAsia" w:ascii="仿宋_GB2312" w:hAnsi="仿宋_GB2312" w:eastAsia="仿宋_GB2312" w:cs="仿宋_GB2312"/>
                <w:color w:val="auto"/>
                <w:sz w:val="20"/>
                <w:szCs w:val="20"/>
                <w:u w:val="none" w:color="auto"/>
                <w:vertAlign w:val="baseline"/>
                <w:lang w:val="en-US" w:eastAsia="zh-CN"/>
              </w:rPr>
              <w:t>8</w:t>
            </w:r>
            <w:r>
              <w:rPr>
                <w:rFonts w:hint="eastAsia" w:ascii="仿宋_GB2312" w:hAnsi="仿宋_GB2312" w:eastAsia="仿宋_GB2312" w:cs="仿宋_GB2312"/>
                <w:color w:val="auto"/>
                <w:sz w:val="20"/>
                <w:szCs w:val="20"/>
                <w:u w:val="none" w:color="auto"/>
                <w:vertAlign w:val="baseline"/>
              </w:rPr>
              <w:t>个综合减灾示范社区创建，进一步推进灾害综合监测预警系统等自然灾害防治重点工程建设，配合上级部门开展第一次全国自然灾害综合风险普查成果</w:t>
            </w:r>
            <w:r>
              <w:rPr>
                <w:rFonts w:hint="eastAsia" w:ascii="仿宋_GB2312" w:hAnsi="仿宋_GB2312" w:eastAsia="仿宋_GB2312" w:cs="仿宋_GB2312"/>
                <w:color w:val="auto"/>
                <w:sz w:val="20"/>
                <w:szCs w:val="20"/>
                <w:u w:val="none" w:color="auto"/>
                <w:vertAlign w:val="baseline"/>
                <w:lang w:eastAsia="zh-CN"/>
              </w:rPr>
              <w:t>推广应用</w:t>
            </w:r>
            <w:r>
              <w:rPr>
                <w:rFonts w:hint="eastAsia" w:ascii="仿宋_GB2312" w:hAnsi="仿宋_GB2312" w:eastAsia="仿宋_GB2312" w:cs="仿宋_GB2312"/>
                <w:color w:val="auto"/>
                <w:sz w:val="20"/>
                <w:szCs w:val="20"/>
                <w:u w:val="none" w:color="auto"/>
                <w:vertAlign w:val="baseline"/>
              </w:rPr>
              <w:t>，全面提升灾害防治水平。</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eastAsia="zh-CN"/>
              </w:rPr>
              <w:t>市减灾委办公室牵头，市教育局、市财政局、市规划和自然资源局、市生态环境局、市住建局、市城市管理局、市交通局、市应急管理局、市气象局分工负责，各县（市、区）政府落实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22</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森林草原火灾</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严格落实林长制和森林草原防灭火行政首长负责制，强化群防群控、网格化管理和巡护巡查。加快防火通道、防火隔离带、蓄水池、直升机临时起降点等防火基础设施建设，绘制森林草原防灭火“一张图”。严格执行省、市禁止野外用火的决定，</w:t>
            </w:r>
            <w:r>
              <w:rPr>
                <w:rFonts w:hint="eastAsia" w:ascii="仿宋_GB2312" w:hAnsi="仿宋_GB2312" w:eastAsia="仿宋_GB2312" w:cs="仿宋_GB2312"/>
                <w:color w:val="auto"/>
                <w:sz w:val="20"/>
                <w:szCs w:val="20"/>
                <w:u w:val="none" w:color="auto"/>
                <w:vertAlign w:val="baseline"/>
                <w:lang w:eastAsia="zh-CN"/>
              </w:rPr>
              <w:t>严厉</w:t>
            </w:r>
            <w:r>
              <w:rPr>
                <w:rFonts w:hint="eastAsia" w:ascii="仿宋_GB2312" w:hAnsi="仿宋_GB2312" w:eastAsia="仿宋_GB2312" w:cs="仿宋_GB2312"/>
                <w:color w:val="auto"/>
                <w:sz w:val="20"/>
                <w:szCs w:val="20"/>
                <w:u w:val="none" w:color="auto"/>
                <w:vertAlign w:val="baseline"/>
              </w:rPr>
              <w:t>查处野外违法违规用火行为。</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市规划和自然资源局牵头，市公安局、市农业农村局、市应急管理局、市能源局、市气象局等部门配合，各县（市、区）政府落实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黑体" w:hAnsi="黑体" w:eastAsia="黑体" w:cs="黑体"/>
                <w:color w:val="auto"/>
                <w:sz w:val="24"/>
                <w:szCs w:val="24"/>
                <w:u w:val="none" w:color="auto"/>
                <w:vertAlign w:val="baseline"/>
              </w:rPr>
              <w:t>序号</w:t>
            </w:r>
          </w:p>
        </w:tc>
        <w:tc>
          <w:tcPr>
            <w:tcW w:w="1101"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任务</w:t>
            </w:r>
          </w:p>
        </w:tc>
        <w:tc>
          <w:tcPr>
            <w:tcW w:w="9533" w:type="dxa"/>
            <w:tcBorders>
              <w:top w:val="single" w:color="auto" w:sz="4" w:space="0"/>
              <w:left w:val="single" w:color="auto" w:sz="4" w:space="0"/>
              <w:right w:val="single" w:color="auto" w:sz="4" w:space="0"/>
            </w:tcBorders>
            <w:noWrap/>
            <w:vAlign w:val="center"/>
          </w:tcPr>
          <w:p>
            <w:pPr>
              <w:numPr>
                <w:ilvl w:val="-1"/>
                <w:numId w:val="0"/>
              </w:numPr>
              <w:ind w:left="0" w:leftChars="0" w:firstLine="0" w:firstLineChars="0"/>
              <w:jc w:val="center"/>
              <w:rPr>
                <w:rFonts w:hint="eastAsia" w:ascii="仿宋_GB2312" w:hAnsi="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主要内容</w:t>
            </w:r>
          </w:p>
        </w:tc>
        <w:tc>
          <w:tcPr>
            <w:tcW w:w="3313"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23</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水旱灾害</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3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实施水库和淤地坝除险加固、中小河流治理、河道堤防维修、山洪沟道治理、汾河流域防洪能力提升等工程。压实各级河长责任和河道堤防安全包保责任，推进涉河建筑物、河道内林木等阻水问题清理整治。强化暴雨预警和应急响应，健全临灾关、停机制。统筹做好抗旱保供水工作。</w:t>
            </w:r>
          </w:p>
        </w:tc>
        <w:tc>
          <w:tcPr>
            <w:tcW w:w="3313" w:type="dxa"/>
            <w:tcBorders>
              <w:top w:val="single" w:color="auto" w:sz="4" w:space="0"/>
              <w:left w:val="single" w:color="auto" w:sz="4" w:space="0"/>
              <w:right w:val="single" w:color="auto" w:sz="4" w:space="0"/>
            </w:tcBorders>
            <w:noWrap/>
            <w:vAlign w:val="center"/>
          </w:tcPr>
          <w:p>
            <w:pPr>
              <w:spacing w:line="330" w:lineRule="exact"/>
              <w:jc w:val="both"/>
              <w:rPr>
                <w:rFonts w:hint="eastAsia" w:ascii="仿宋_GB2312" w:hAnsi="仿宋_GB2312" w:eastAsia="仿宋_GB2312" w:cs="仿宋_GB2312"/>
                <w:color w:val="auto"/>
                <w:spacing w:val="-6"/>
                <w:sz w:val="20"/>
                <w:szCs w:val="20"/>
                <w:u w:val="none" w:color="auto"/>
                <w:vertAlign w:val="baseline"/>
                <w:lang w:eastAsia="zh-CN"/>
              </w:rPr>
            </w:pPr>
            <w:r>
              <w:rPr>
                <w:rFonts w:hint="eastAsia" w:ascii="仿宋_GB2312" w:hAnsi="仿宋_GB2312" w:eastAsia="仿宋_GB2312" w:cs="仿宋_GB2312"/>
                <w:color w:val="auto"/>
                <w:spacing w:val="-6"/>
                <w:sz w:val="20"/>
                <w:szCs w:val="20"/>
                <w:u w:val="none" w:color="auto"/>
                <w:vertAlign w:val="baseline"/>
                <w:lang w:eastAsia="zh-CN"/>
              </w:rPr>
              <w:t>市水利局牵头，市规划和自然资源局、市住建局、市城市管理局、市农业农村局、市应急管理局、市气象局等部门配合，各县（市、区）政府落实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24</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地震灾害</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3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eastAsia="仿宋_GB2312" w:cs="仿宋_GB2312"/>
                <w:color w:val="auto"/>
                <w:sz w:val="20"/>
                <w:szCs w:val="20"/>
                <w:u w:val="none" w:color="auto"/>
                <w:vertAlign w:val="baseline"/>
                <w:lang w:val="en-US" w:eastAsia="zh-CN"/>
              </w:rPr>
              <w:t>推进“一县一台”建设，完善震情监视跟踪工作方案，加强异常核实和会商研判，做好年度地震重点危险区震情跟踪工作。推进矿震监测预警示范系统建设，力争建设两个以上矿震监测示范点。强化群测群防工作，做好地震应急准备与突发事件处置。统筹推进地震灾害风险普查和房屋设施加固工程，加强地震灾害风险普查成果发布与推广应用，在8度区县（市、区）开展试点服务。持续推进交城断裂（文水—汾阳段）活断层探测。8度区重点县（市、区）开展县级地震灾害精细化预评估。开展建设工程抗震设防要求和地震安全性评价工作。</w:t>
            </w:r>
          </w:p>
        </w:tc>
        <w:tc>
          <w:tcPr>
            <w:tcW w:w="3313" w:type="dxa"/>
            <w:tcBorders>
              <w:top w:val="single" w:color="auto" w:sz="4" w:space="0"/>
              <w:left w:val="single" w:color="auto" w:sz="4" w:space="0"/>
              <w:right w:val="single" w:color="auto" w:sz="4" w:space="0"/>
            </w:tcBorders>
            <w:noWrap/>
            <w:vAlign w:val="center"/>
          </w:tcPr>
          <w:p>
            <w:pPr>
              <w:spacing w:line="330" w:lineRule="exact"/>
              <w:jc w:val="both"/>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eastAsia="zh-CN"/>
              </w:rPr>
              <w:t>市应急管理局牵头，市防震减灾中心和相关部门按照职责做好配合，各县（市、区）政府落实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25</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地质灾害</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3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加强地质灾害趋势研判会商和风险调查评价，及时预警，建立应对处置行动联动机制，推动地质灾害高易发区区域间救援协同。做好冻融期、汛期等重点时段防范。开展重点区域地质灾害风险“隐患点+风险区”双控试点，</w:t>
            </w:r>
            <w:r>
              <w:rPr>
                <w:rFonts w:hint="eastAsia" w:ascii="仿宋_GB2312" w:hAnsi="仿宋_GB2312" w:eastAsia="仿宋_GB2312" w:cs="仿宋_GB2312"/>
                <w:color w:val="auto"/>
                <w:sz w:val="20"/>
                <w:szCs w:val="20"/>
                <w:u w:val="none" w:color="auto"/>
                <w:vertAlign w:val="baseline"/>
                <w:lang w:eastAsia="zh-CN"/>
              </w:rPr>
              <w:t>开展</w:t>
            </w:r>
            <w:r>
              <w:rPr>
                <w:rFonts w:hint="eastAsia" w:ascii="仿宋_GB2312" w:hAnsi="仿宋_GB2312" w:eastAsia="仿宋_GB2312" w:cs="仿宋_GB2312"/>
                <w:color w:val="auto"/>
                <w:sz w:val="20"/>
                <w:szCs w:val="20"/>
                <w:u w:val="none" w:color="auto"/>
                <w:vertAlign w:val="baseline"/>
              </w:rPr>
              <w:t>地质灾害隐患点监测网点建设。</w:t>
            </w:r>
          </w:p>
        </w:tc>
        <w:tc>
          <w:tcPr>
            <w:tcW w:w="3313" w:type="dxa"/>
            <w:tcBorders>
              <w:top w:val="single" w:color="auto" w:sz="4" w:space="0"/>
              <w:left w:val="single" w:color="auto" w:sz="4" w:space="0"/>
              <w:right w:val="single" w:color="auto" w:sz="4" w:space="0"/>
            </w:tcBorders>
            <w:noWrap/>
            <w:vAlign w:val="center"/>
          </w:tcPr>
          <w:p>
            <w:pPr>
              <w:spacing w:line="33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市规划和自然资源局、市应急管理局牵头，市住建局、市城市管理局、市交通局、市水利局、市文旅局、市气象局等部门分工负责，各县（市、区）政府落实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26</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气象灾害</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3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完善气象监测预报预警联动机制，加强县城、重点乡镇及重点区域监测预警基础设施和重点行业领域企业防雷设施建设，严格气象灾害风险防控，积极开展人工增雨防雹，助力减灾救灾工作。</w:t>
            </w:r>
          </w:p>
        </w:tc>
        <w:tc>
          <w:tcPr>
            <w:tcW w:w="3313" w:type="dxa"/>
            <w:tcBorders>
              <w:top w:val="single" w:color="auto" w:sz="4" w:space="0"/>
              <w:left w:val="single" w:color="auto" w:sz="4" w:space="0"/>
              <w:right w:val="single" w:color="auto" w:sz="4" w:space="0"/>
            </w:tcBorders>
            <w:noWrap/>
            <w:vAlign w:val="center"/>
          </w:tcPr>
          <w:p>
            <w:pPr>
              <w:spacing w:line="33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市气象局牵头，市住建局、市交通局、市农业农村局、市应急管理局等部门配合，各县（市、区）政府落实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27</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完善预警响应衔接联动机制</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3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健全多部门、多媒体预警信息即时共享机制，完善发布渠道，打通预警信息发布的“最后一公里”。健全灾害预警“叫应”和应急响应联动机制，强化预警行动措施落实，必要时采取关闭易受灾区域的公共场所、转移疏散受威胁群众，以及停工、停学、停业、停运、交通管控等刚性措施，做到精准响应。</w:t>
            </w:r>
          </w:p>
        </w:tc>
        <w:tc>
          <w:tcPr>
            <w:tcW w:w="3313" w:type="dxa"/>
            <w:tcBorders>
              <w:top w:val="single" w:color="auto" w:sz="4" w:space="0"/>
              <w:left w:val="single" w:color="auto" w:sz="4" w:space="0"/>
              <w:right w:val="single" w:color="auto" w:sz="4" w:space="0"/>
            </w:tcBorders>
            <w:noWrap/>
            <w:vAlign w:val="center"/>
          </w:tcPr>
          <w:p>
            <w:pPr>
              <w:spacing w:line="33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市规划和自然资源局、市生态环境局、市住建局、市城市管理局、市水利局、市农业农村局、市应急管理局、市气象局等部门分工负责，各县（市、区）政府落实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黑体" w:hAnsi="黑体" w:eastAsia="黑体" w:cs="黑体"/>
                <w:color w:val="auto"/>
                <w:sz w:val="24"/>
                <w:szCs w:val="24"/>
                <w:u w:val="none" w:color="auto"/>
                <w:vertAlign w:val="baseline"/>
              </w:rPr>
              <w:t>序号</w:t>
            </w:r>
          </w:p>
        </w:tc>
        <w:tc>
          <w:tcPr>
            <w:tcW w:w="1101"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任务</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center"/>
              <w:rPr>
                <w:rFonts w:hint="eastAsia" w:ascii="仿宋_GB2312" w:hAnsi="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主要内容</w:t>
            </w:r>
          </w:p>
        </w:tc>
        <w:tc>
          <w:tcPr>
            <w:tcW w:w="3313"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28</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构建“大应急”框架</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着力推</w:t>
            </w:r>
            <w:r>
              <w:rPr>
                <w:rFonts w:hint="eastAsia" w:ascii="仿宋_GB2312" w:hAnsi="仿宋_GB2312" w:eastAsia="仿宋_GB2312" w:cs="仿宋_GB2312"/>
                <w:color w:val="auto"/>
                <w:sz w:val="20"/>
                <w:szCs w:val="20"/>
                <w:u w:val="none" w:color="auto"/>
                <w:vertAlign w:val="baseline"/>
                <w:lang w:eastAsia="zh-CN"/>
              </w:rPr>
              <w:t>动</w:t>
            </w:r>
            <w:r>
              <w:rPr>
                <w:rFonts w:hint="eastAsia" w:ascii="仿宋_GB2312" w:hAnsi="仿宋_GB2312" w:eastAsia="仿宋_GB2312" w:cs="仿宋_GB2312"/>
                <w:color w:val="auto"/>
                <w:sz w:val="20"/>
                <w:szCs w:val="20"/>
                <w:u w:val="none" w:color="auto"/>
                <w:vertAlign w:val="baseline"/>
              </w:rPr>
              <w:t>全灾种指挥、全要素调度响应的应急指挥平台建设，形成分级指挥、专常兼备、上下联动、运转高效的“大应急”管理框架。加大应急预案演练力度，修正完善严格落实会商研判、信息共享、军地联动、临灾预警“叫应”和联动响应等工作机制。</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市应急管理局、市规划和自然资源局、市水利局、市气象局等部门分工负责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29</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发挥专业优势</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要充分发挥行业领域组织和专业优势，尽快完成各专委会的建立并推动制度化运行。重点行业领域专业委员会要根据需要，不定期组织召开会议，分析研判、协调处理相关问题，充分发挥群测群防监管合力，形成齐抓共管的工作局面。</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市应急管理局、市住建局、市交通局、市公安局、市教育局、市能源局、市商务局、市农业农村局、市市场监管局、市文旅局、市消防救援支队等部门分工负责，各县（市、区）政府落实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30</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推进基层建设</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要结合乡镇（街道）执法队伍改革工作的推进，明确乡镇（街道）执法队伍的应急管理工作职责，做到乡镇（街道）应急管理工作有队伍、有职能、有制度、有装备、有经费、有固定的办公场所；</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市应急管理局、市消防救援支队、市财政局、市司法局，各县（市、区）政府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推动基层安全生产网格化管理，每个村和居委会要确定安全网格员，充分发挥前哨作用，将安全生产监管服务向小微化和农村地区延伸。</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市应急管理局、市消防救援支队、市财政局、市委政法委，各县（市、区）政府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31</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加强科技信息支撑</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加快突发事件现场指挥信息系统和应急PDT窄带无线通信网建设。推进消防物联网远程监控系统和安全监测预警中心建设。推广“智慧应急”建设成果应用。在高危重点行业领域分批推进一批安全风险监测预警项目建设，提升重大安全风险的监测预警的精准性、有效性；推动城市安全风险综合监测预警平台建设，提升城市安全治理水平。</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市应急管理局，市城市管理局、市消防救援支队、市财政局，各县（市、区）政府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32</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推动标准化创建</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做好煤矿安全生产标准化管理体系达标创建工作，生产煤矿全部达到二级及以上标准，其他高危行业企业达到三级或者合格以上标准，推进新材料、新业态和新领域消防标准化建设。切实将企业标准化建设情况作为</w:t>
            </w:r>
            <w:r>
              <w:rPr>
                <w:rFonts w:hint="eastAsia" w:ascii="仿宋_GB2312" w:hAnsi="仿宋_GB2312" w:eastAsia="仿宋_GB2312" w:cs="仿宋_GB2312"/>
                <w:color w:val="auto"/>
                <w:sz w:val="20"/>
                <w:szCs w:val="20"/>
                <w:u w:val="none" w:color="auto"/>
                <w:vertAlign w:val="baseline"/>
                <w:lang w:eastAsia="zh-CN"/>
              </w:rPr>
              <w:t>分级分类</w:t>
            </w:r>
            <w:r>
              <w:rPr>
                <w:rFonts w:hint="eastAsia" w:ascii="仿宋_GB2312" w:hAnsi="仿宋_GB2312" w:eastAsia="仿宋_GB2312" w:cs="仿宋_GB2312"/>
                <w:color w:val="auto"/>
                <w:sz w:val="20"/>
                <w:szCs w:val="20"/>
                <w:u w:val="none" w:color="auto"/>
                <w:vertAlign w:val="baseline"/>
              </w:rPr>
              <w:t>的重要依据、提升企业基础安全管理的重要手段与途径，实施差异化监管，严厉查处</w:t>
            </w:r>
            <w:r>
              <w:rPr>
                <w:rFonts w:hint="eastAsia" w:ascii="仿宋_GB2312" w:hAnsi="仿宋_GB2312" w:eastAsia="仿宋_GB2312" w:cs="仿宋_GB2312"/>
                <w:color w:val="auto"/>
                <w:sz w:val="20"/>
                <w:szCs w:val="20"/>
                <w:u w:val="none" w:color="auto"/>
                <w:vertAlign w:val="baseline"/>
                <w:lang w:eastAsia="zh-CN"/>
              </w:rPr>
              <w:t>标准</w:t>
            </w:r>
            <w:r>
              <w:rPr>
                <w:rFonts w:hint="eastAsia" w:ascii="仿宋_GB2312" w:hAnsi="仿宋_GB2312" w:eastAsia="仿宋_GB2312" w:cs="仿宋_GB2312"/>
                <w:color w:val="auto"/>
                <w:sz w:val="20"/>
                <w:szCs w:val="20"/>
                <w:u w:val="none" w:color="auto"/>
                <w:vertAlign w:val="baseline"/>
              </w:rPr>
              <w:t>化建设形式化、走过场，加强动态管理。</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负有安全监管职责的部门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黑体" w:hAnsi="黑体" w:eastAsia="黑体" w:cs="黑体"/>
                <w:color w:val="auto"/>
                <w:sz w:val="24"/>
                <w:szCs w:val="24"/>
                <w:u w:val="none" w:color="auto"/>
                <w:vertAlign w:val="baseline"/>
              </w:rPr>
              <w:t>序号</w:t>
            </w:r>
          </w:p>
        </w:tc>
        <w:tc>
          <w:tcPr>
            <w:tcW w:w="1101"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任务</w:t>
            </w:r>
          </w:p>
        </w:tc>
        <w:tc>
          <w:tcPr>
            <w:tcW w:w="9533" w:type="dxa"/>
            <w:tcBorders>
              <w:top w:val="single" w:color="auto" w:sz="4" w:space="0"/>
              <w:left w:val="single" w:color="auto" w:sz="4" w:space="0"/>
              <w:right w:val="single" w:color="auto" w:sz="4" w:space="0"/>
            </w:tcBorders>
            <w:noWrap/>
            <w:vAlign w:val="center"/>
          </w:tcPr>
          <w:p>
            <w:pPr>
              <w:numPr>
                <w:ilvl w:val="-1"/>
                <w:numId w:val="0"/>
              </w:numPr>
              <w:ind w:left="0" w:leftChars="0" w:firstLine="0" w:firstLineChars="0"/>
              <w:jc w:val="center"/>
              <w:rPr>
                <w:rFonts w:hint="eastAsia" w:ascii="仿宋_GB2312" w:hAnsi="仿宋_GB2312" w:eastAsia="仿宋_GB2312" w:cs="仿宋_GB2312"/>
                <w:color w:val="auto"/>
                <w:sz w:val="20"/>
                <w:szCs w:val="20"/>
                <w:u w:val="none" w:color="auto"/>
                <w:vertAlign w:val="baseline"/>
              </w:rPr>
            </w:pPr>
            <w:r>
              <w:rPr>
                <w:rFonts w:hint="eastAsia" w:ascii="黑体" w:hAnsi="黑体" w:eastAsia="黑体" w:cs="黑体"/>
                <w:color w:val="auto"/>
                <w:sz w:val="24"/>
                <w:szCs w:val="24"/>
                <w:u w:val="none" w:color="auto"/>
                <w:vertAlign w:val="baseline"/>
              </w:rPr>
              <w:t>主要内容</w:t>
            </w:r>
          </w:p>
        </w:tc>
        <w:tc>
          <w:tcPr>
            <w:tcW w:w="3313"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33</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强化宣传培训</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2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充分发挥新媒体传播高效、群众喜闻乐见的优势，统筹做好“4·15”全民国家安全教育日、防灾减灾</w:t>
            </w:r>
            <w:r>
              <w:rPr>
                <w:rFonts w:hint="eastAsia" w:ascii="仿宋_GB2312" w:hAnsi="仿宋_GB2312" w:eastAsia="仿宋_GB2312" w:cs="仿宋_GB2312"/>
                <w:color w:val="auto"/>
                <w:sz w:val="20"/>
                <w:szCs w:val="20"/>
                <w:u w:val="none" w:color="auto"/>
                <w:vertAlign w:val="baseline"/>
                <w:lang w:eastAsia="zh-CN"/>
              </w:rPr>
              <w:t>宣传周</w:t>
            </w:r>
            <w:r>
              <w:rPr>
                <w:rFonts w:hint="eastAsia" w:ascii="仿宋_GB2312" w:hAnsi="仿宋_GB2312" w:eastAsia="仿宋_GB2312" w:cs="仿宋_GB2312"/>
                <w:color w:val="auto"/>
                <w:sz w:val="20"/>
                <w:szCs w:val="20"/>
                <w:u w:val="none" w:color="auto"/>
                <w:vertAlign w:val="baseline"/>
              </w:rPr>
              <w:t>、安全生产月、消防宣传月、“12·4”国家宪法日、安全宣传“五进”等活动开展安全主题宣传，各级各部门要提供政策支持和经费保障，积极鼓励和引导社会资源广泛参与，采用多种形式创新开展。</w:t>
            </w:r>
          </w:p>
        </w:tc>
        <w:tc>
          <w:tcPr>
            <w:tcW w:w="3313" w:type="dxa"/>
            <w:tcBorders>
              <w:top w:val="single" w:color="auto" w:sz="4" w:space="0"/>
              <w:left w:val="single" w:color="auto" w:sz="4" w:space="0"/>
              <w:right w:val="single" w:color="auto" w:sz="4" w:space="0"/>
            </w:tcBorders>
            <w:noWrap/>
            <w:vAlign w:val="center"/>
          </w:tcPr>
          <w:p>
            <w:pPr>
              <w:spacing w:line="32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市安委会成员单位，各县（市、区）政府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2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加强领导干部安全和应急管理专业化培训，开展应急管理干部实战大练兵，严格“三项岗位人员”培训考核，推进应急管理培训教育基地建设。严格落实“从严考核、以考促培”要求，全面提升从业人员防范化解重大安全风险的能力素质。</w:t>
            </w:r>
          </w:p>
        </w:tc>
        <w:tc>
          <w:tcPr>
            <w:tcW w:w="3313" w:type="dxa"/>
            <w:tcBorders>
              <w:top w:val="single" w:color="auto" w:sz="4" w:space="0"/>
              <w:left w:val="single" w:color="auto" w:sz="4" w:space="0"/>
              <w:right w:val="single" w:color="auto" w:sz="4" w:space="0"/>
            </w:tcBorders>
            <w:noWrap/>
            <w:vAlign w:val="center"/>
          </w:tcPr>
          <w:p>
            <w:pPr>
              <w:spacing w:line="32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市应急管理局牵头，市直各部门分工负责，各县（市、区）政府落实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34</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default"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eastAsia="zh-CN"/>
              </w:rPr>
              <w:t>强化应急救援队伍建设</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拓宽新渠道、探索新模式，进一步充实壮大全市应急综合救援队伍</w:t>
            </w:r>
          </w:p>
        </w:tc>
        <w:tc>
          <w:tcPr>
            <w:tcW w:w="3313" w:type="dxa"/>
            <w:tcBorders>
              <w:top w:val="single" w:color="auto" w:sz="4" w:space="0"/>
              <w:left w:val="single" w:color="auto" w:sz="4" w:space="0"/>
              <w:right w:val="single" w:color="auto" w:sz="4" w:space="0"/>
            </w:tcBorders>
            <w:noWrap/>
            <w:vAlign w:val="center"/>
          </w:tcPr>
          <w:p>
            <w:pPr>
              <w:spacing w:line="340" w:lineRule="exact"/>
              <w:ind w:left="0" w:right="0" w:firstLine="0"/>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市应急管理局、市财政局、市委编办，各县（市、区）政府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加强队伍训练，建立专业救援队伍与社会救援力量的联勤、联训、联战工作机制，开展联战联训协同练兵，提升救援能力水平</w:t>
            </w:r>
          </w:p>
        </w:tc>
        <w:tc>
          <w:tcPr>
            <w:tcW w:w="3313" w:type="dxa"/>
            <w:tcBorders>
              <w:top w:val="single" w:color="auto" w:sz="4" w:space="0"/>
              <w:left w:val="single" w:color="auto" w:sz="4" w:space="0"/>
              <w:right w:val="single" w:color="auto" w:sz="4" w:space="0"/>
            </w:tcBorders>
            <w:noWrap/>
            <w:vAlign w:val="center"/>
          </w:tcPr>
          <w:p>
            <w:pPr>
              <w:spacing w:line="340" w:lineRule="exact"/>
              <w:ind w:left="0" w:right="0" w:firstLine="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负有安全监管职责的部门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3</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探索推动各种救援力量投保自然灾害险、意外伤害险，保障应急救援队队员人身安全，解决救援后顾之忧，防患于未然。</w:t>
            </w:r>
          </w:p>
        </w:tc>
        <w:tc>
          <w:tcPr>
            <w:tcW w:w="3313" w:type="dxa"/>
            <w:tcBorders>
              <w:top w:val="single" w:color="auto" w:sz="4" w:space="0"/>
              <w:left w:val="single" w:color="auto" w:sz="4" w:space="0"/>
              <w:right w:val="single" w:color="auto" w:sz="4" w:space="0"/>
            </w:tcBorders>
            <w:noWrap/>
            <w:vAlign w:val="center"/>
          </w:tcPr>
          <w:p>
            <w:pPr>
              <w:spacing w:line="340" w:lineRule="exact"/>
              <w:ind w:left="0" w:right="0" w:firstLine="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负有安全监管职责的部门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35</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提升装备保障和预案演练</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2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根据标准与需要加强事故救援与灾害救助设施设备及专业装备的配备；增加应急物资储备品种，扩大应急救灾物资储备规模，做好国家、省派驻森林消防队伍地方保障工作，改善消防救援队伍基础设施和装备条件。建立与地方产业相匹配的物资储备与调度制度与应急装备物资数据库，促进全市应急资源共享、快速输送与联合处置。</w:t>
            </w:r>
          </w:p>
        </w:tc>
        <w:tc>
          <w:tcPr>
            <w:tcW w:w="3313" w:type="dxa"/>
            <w:tcBorders>
              <w:top w:val="single" w:color="auto" w:sz="4" w:space="0"/>
              <w:left w:val="single" w:color="auto" w:sz="4" w:space="0"/>
              <w:right w:val="single" w:color="auto" w:sz="4" w:space="0"/>
            </w:tcBorders>
            <w:noWrap/>
            <w:vAlign w:val="center"/>
          </w:tcPr>
          <w:p>
            <w:pPr>
              <w:spacing w:line="320" w:lineRule="exact"/>
              <w:ind w:left="0" w:right="0" w:firstLine="0"/>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市应急管理局、市财政局、市规划和自然资源局、市发展改革委、市消防救援支队等部门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不断完善应急预案体系，市县两级年内至少组织开展一次综合性演练。</w:t>
            </w:r>
          </w:p>
        </w:tc>
        <w:tc>
          <w:tcPr>
            <w:tcW w:w="3313" w:type="dxa"/>
            <w:tcBorders>
              <w:top w:val="single" w:color="auto" w:sz="4" w:space="0"/>
              <w:left w:val="single" w:color="auto" w:sz="4" w:space="0"/>
              <w:right w:val="single" w:color="auto" w:sz="4" w:space="0"/>
            </w:tcBorders>
            <w:noWrap/>
            <w:vAlign w:val="center"/>
          </w:tcPr>
          <w:p>
            <w:pPr>
              <w:spacing w:line="340" w:lineRule="exact"/>
              <w:ind w:left="0" w:right="0" w:firstLine="0"/>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市直各部门，各县（市、区）政府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36</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有效应对处置事故灾害</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严格落实领导干部带班和24小时值班制度，推进值班值守工作规范化。</w:t>
            </w:r>
          </w:p>
        </w:tc>
        <w:tc>
          <w:tcPr>
            <w:tcW w:w="3313" w:type="dxa"/>
            <w:tcBorders>
              <w:top w:val="single" w:color="auto" w:sz="4" w:space="0"/>
              <w:left w:val="single" w:color="auto" w:sz="4" w:space="0"/>
              <w:right w:val="single" w:color="auto" w:sz="4" w:space="0"/>
            </w:tcBorders>
            <w:noWrap/>
            <w:vAlign w:val="center"/>
          </w:tcPr>
          <w:p>
            <w:pPr>
              <w:spacing w:line="340" w:lineRule="exact"/>
              <w:ind w:left="0" w:right="0" w:firstLine="0"/>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市直各部门，各县（市、区）政府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加强临灾会商研判和应急调度，建立队伍、装备、物资等备勤制度，确保快速联动响应、科学高效处置、及时救灾救助。</w:t>
            </w:r>
          </w:p>
        </w:tc>
        <w:tc>
          <w:tcPr>
            <w:tcW w:w="3313" w:type="dxa"/>
            <w:tcBorders>
              <w:top w:val="single" w:color="auto" w:sz="4" w:space="0"/>
              <w:left w:val="single" w:color="auto" w:sz="4" w:space="0"/>
              <w:right w:val="single" w:color="auto" w:sz="4" w:space="0"/>
            </w:tcBorders>
            <w:noWrap/>
            <w:vAlign w:val="center"/>
          </w:tcPr>
          <w:p>
            <w:pPr>
              <w:spacing w:line="340" w:lineRule="exact"/>
              <w:ind w:left="0" w:right="0" w:firstLine="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市直各部门，各县（市、区）政府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jc w:val="center"/>
        </w:trPr>
        <w:tc>
          <w:tcPr>
            <w:tcW w:w="756"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37</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严格考核巡查</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加强对安全生产重点工作推进落实情况的督导检查。</w:t>
            </w:r>
          </w:p>
        </w:tc>
        <w:tc>
          <w:tcPr>
            <w:tcW w:w="3313" w:type="dxa"/>
            <w:tcBorders>
              <w:top w:val="single" w:color="auto" w:sz="4" w:space="0"/>
              <w:left w:val="single" w:color="auto" w:sz="4" w:space="0"/>
              <w:right w:val="single" w:color="auto" w:sz="4" w:space="0"/>
            </w:tcBorders>
            <w:noWrap/>
            <w:vAlign w:val="center"/>
          </w:tcPr>
          <w:p>
            <w:pPr>
              <w:spacing w:line="340" w:lineRule="exact"/>
              <w:ind w:left="0" w:right="0" w:firstLine="0"/>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市、县（市、区）安委办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pacing w:val="-6"/>
                <w:sz w:val="20"/>
                <w:szCs w:val="20"/>
                <w:u w:val="none" w:color="auto"/>
                <w:vertAlign w:val="baseline"/>
                <w:lang w:eastAsia="zh-CN"/>
              </w:rPr>
              <w:t>（</w:t>
            </w:r>
            <w:r>
              <w:rPr>
                <w:rFonts w:hint="eastAsia" w:ascii="仿宋_GB2312" w:hAnsi="仿宋_GB2312" w:cs="仿宋_GB2312"/>
                <w:color w:val="auto"/>
                <w:spacing w:val="-6"/>
                <w:sz w:val="20"/>
                <w:szCs w:val="20"/>
                <w:u w:val="none" w:color="auto"/>
                <w:vertAlign w:val="baseline"/>
                <w:lang w:val="en-US" w:eastAsia="zh-CN"/>
              </w:rPr>
              <w:t>2</w:t>
            </w:r>
            <w:r>
              <w:rPr>
                <w:rFonts w:hint="eastAsia" w:ascii="仿宋_GB2312" w:hAnsi="仿宋_GB2312" w:cs="仿宋_GB2312"/>
                <w:color w:val="auto"/>
                <w:spacing w:val="-6"/>
                <w:sz w:val="20"/>
                <w:szCs w:val="20"/>
                <w:u w:val="none" w:color="auto"/>
                <w:vertAlign w:val="baseline"/>
                <w:lang w:eastAsia="zh-CN"/>
              </w:rPr>
              <w:t>）</w:t>
            </w:r>
            <w:r>
              <w:rPr>
                <w:rFonts w:hint="eastAsia" w:ascii="仿宋_GB2312" w:hAnsi="仿宋_GB2312" w:eastAsia="仿宋_GB2312" w:cs="仿宋_GB2312"/>
                <w:color w:val="auto"/>
                <w:spacing w:val="-6"/>
                <w:sz w:val="20"/>
                <w:szCs w:val="20"/>
                <w:u w:val="none" w:color="auto"/>
                <w:vertAlign w:val="baseline"/>
              </w:rPr>
              <w:t>完善安全生产和消防工作考核办法，细化分解考核指标，将重点企业一并纳入考核范围，严格考核奖惩。</w:t>
            </w:r>
          </w:p>
        </w:tc>
        <w:tc>
          <w:tcPr>
            <w:tcW w:w="3313" w:type="dxa"/>
            <w:tcBorders>
              <w:top w:val="single" w:color="auto" w:sz="4" w:space="0"/>
              <w:left w:val="single" w:color="auto" w:sz="4" w:space="0"/>
              <w:right w:val="single" w:color="auto" w:sz="4" w:space="0"/>
            </w:tcBorders>
            <w:noWrap/>
            <w:vAlign w:val="center"/>
          </w:tcPr>
          <w:p>
            <w:pPr>
              <w:spacing w:line="340" w:lineRule="exact"/>
              <w:ind w:left="0" w:right="0" w:firstLine="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市、县（市、区）安委办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仿宋_GB2312" w:hAnsi="仿宋_GB2312" w:eastAsia="仿宋_GB2312" w:cs="仿宋_GB2312"/>
                <w:color w:val="auto"/>
                <w:sz w:val="36"/>
                <w:u w:val="none" w:color="auto"/>
                <w:lang w:eastAsia="zh-CN"/>
              </w:rPr>
            </w:pPr>
            <w:r>
              <w:rPr>
                <w:rFonts w:hint="eastAsia" w:ascii="仿宋_GB2312" w:hAnsi="仿宋_GB2312" w:cs="仿宋_GB2312"/>
                <w:color w:val="auto"/>
                <w:sz w:val="36"/>
                <w:u w:val="none" w:color="auto"/>
                <w:lang w:eastAsia="zh-CN"/>
              </w:rPr>
              <w:t>（）</w:t>
            </w: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3</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对近3年发生过较大事故的县（市、区）和企业开展重点巡查。巡查考核结果作为评先评优、干部选拔任用的重要依据，</w:t>
            </w:r>
            <w:r>
              <w:rPr>
                <w:rFonts w:hint="eastAsia" w:ascii="仿宋_GB2312" w:hAnsi="仿宋_GB2312" w:eastAsia="仿宋_GB2312" w:cs="仿宋_GB2312"/>
                <w:color w:val="auto"/>
                <w:sz w:val="20"/>
                <w:szCs w:val="20"/>
                <w:u w:val="none" w:color="auto"/>
                <w:vertAlign w:val="baseline"/>
                <w:lang w:eastAsia="zh-CN"/>
              </w:rPr>
              <w:t>根据考核奖惩办法</w:t>
            </w:r>
            <w:r>
              <w:rPr>
                <w:rFonts w:hint="eastAsia" w:ascii="仿宋_GB2312" w:hAnsi="仿宋_GB2312" w:eastAsia="仿宋_GB2312" w:cs="仿宋_GB2312"/>
                <w:color w:val="auto"/>
                <w:sz w:val="20"/>
                <w:szCs w:val="20"/>
                <w:u w:val="none" w:color="auto"/>
                <w:vertAlign w:val="baseline"/>
              </w:rPr>
              <w:t>实施安全生产“一票否决”、“一票否优”。</w:t>
            </w:r>
          </w:p>
        </w:tc>
        <w:tc>
          <w:tcPr>
            <w:tcW w:w="3313" w:type="dxa"/>
            <w:tcBorders>
              <w:top w:val="single" w:color="auto" w:sz="4" w:space="0"/>
              <w:left w:val="single" w:color="auto" w:sz="4" w:space="0"/>
              <w:right w:val="single" w:color="auto" w:sz="4" w:space="0"/>
            </w:tcBorders>
            <w:noWrap/>
            <w:vAlign w:val="center"/>
          </w:tcPr>
          <w:p>
            <w:pPr>
              <w:spacing w:line="340" w:lineRule="exact"/>
              <w:ind w:left="0" w:right="0" w:firstLine="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市、县（市、区）安委办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blHeader/>
          <w:jc w:val="center"/>
        </w:trPr>
        <w:tc>
          <w:tcPr>
            <w:tcW w:w="756" w:type="dxa"/>
            <w:tcBorders>
              <w:top w:val="single" w:color="auto" w:sz="4" w:space="0"/>
              <w:left w:val="single" w:color="auto" w:sz="4" w:space="0"/>
              <w:right w:val="single" w:color="auto" w:sz="4" w:space="0"/>
            </w:tcBorders>
            <w:noWrap/>
            <w:vAlign w:val="center"/>
          </w:tcPr>
          <w:p>
            <w:pPr>
              <w:jc w:val="center"/>
              <w:rPr>
                <w:rFonts w:hint="eastAsia" w:ascii="仿宋_GB2312" w:hAnsi="仿宋_GB2312" w:cs="仿宋_GB2312"/>
                <w:color w:val="auto"/>
                <w:sz w:val="36"/>
                <w:u w:val="none" w:color="auto"/>
                <w:lang w:eastAsia="zh-CN"/>
              </w:rPr>
            </w:pPr>
            <w:r>
              <w:rPr>
                <w:rFonts w:hint="eastAsia" w:ascii="黑体" w:hAnsi="黑体" w:eastAsia="黑体" w:cs="黑体"/>
                <w:color w:val="auto"/>
                <w:sz w:val="24"/>
                <w:szCs w:val="24"/>
                <w:u w:val="none" w:color="auto"/>
                <w:vertAlign w:val="baseline"/>
              </w:rPr>
              <w:t>序号</w:t>
            </w:r>
          </w:p>
        </w:tc>
        <w:tc>
          <w:tcPr>
            <w:tcW w:w="1101"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36"/>
                <w:u w:val="none" w:color="auto"/>
              </w:rPr>
            </w:pPr>
            <w:r>
              <w:rPr>
                <w:rFonts w:hint="eastAsia" w:ascii="黑体" w:hAnsi="黑体" w:eastAsia="黑体" w:cs="黑体"/>
                <w:color w:val="auto"/>
                <w:sz w:val="24"/>
                <w:szCs w:val="24"/>
                <w:u w:val="none" w:color="auto"/>
                <w:vertAlign w:val="baseline"/>
              </w:rPr>
              <w:t>任务</w:t>
            </w:r>
          </w:p>
        </w:tc>
        <w:tc>
          <w:tcPr>
            <w:tcW w:w="9533" w:type="dxa"/>
            <w:tcBorders>
              <w:top w:val="single" w:color="auto" w:sz="4" w:space="0"/>
              <w:left w:val="single" w:color="auto" w:sz="4" w:space="0"/>
              <w:right w:val="single" w:color="auto" w:sz="4" w:space="0"/>
            </w:tcBorders>
            <w:noWrap/>
            <w:vAlign w:val="center"/>
          </w:tcPr>
          <w:p>
            <w:pPr>
              <w:numPr>
                <w:ilvl w:val="-1"/>
                <w:numId w:val="0"/>
              </w:numPr>
              <w:ind w:left="0" w:leftChars="0" w:firstLine="0" w:firstLineChars="0"/>
              <w:jc w:val="center"/>
              <w:rPr>
                <w:rFonts w:hint="eastAsia" w:ascii="仿宋_GB2312" w:hAnsi="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主要内容</w:t>
            </w:r>
          </w:p>
        </w:tc>
        <w:tc>
          <w:tcPr>
            <w:tcW w:w="3313" w:type="dxa"/>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0"/>
                <w:szCs w:val="20"/>
                <w:u w:val="none" w:color="auto"/>
                <w:vertAlign w:val="baseline"/>
                <w:lang w:eastAsia="zh-CN"/>
              </w:rPr>
            </w:pPr>
            <w:r>
              <w:rPr>
                <w:rFonts w:hint="eastAsia" w:ascii="黑体" w:hAnsi="黑体" w:eastAsia="黑体" w:cs="黑体"/>
                <w:color w:val="auto"/>
                <w:sz w:val="24"/>
                <w:szCs w:val="24"/>
                <w:u w:val="none" w:color="auto"/>
                <w:vertAlign w:val="baseli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56" w:type="dxa"/>
            <w:vMerge w:val="restart"/>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38</w:t>
            </w:r>
          </w:p>
        </w:tc>
        <w:tc>
          <w:tcPr>
            <w:tcW w:w="1101" w:type="dxa"/>
            <w:vMerge w:val="restart"/>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强化警示教育</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对发生的较大以上事故和典型事故，采取召开现场会、通报、制作、播放警示教育片等措施开展警示教育。</w:t>
            </w:r>
          </w:p>
        </w:tc>
        <w:tc>
          <w:tcPr>
            <w:tcW w:w="3313" w:type="dxa"/>
            <w:tcBorders>
              <w:top w:val="single" w:color="auto" w:sz="4" w:space="0"/>
              <w:left w:val="single" w:color="auto" w:sz="4" w:space="0"/>
              <w:right w:val="single" w:color="auto" w:sz="4" w:space="0"/>
            </w:tcBorders>
            <w:noWrap/>
            <w:vAlign w:val="center"/>
          </w:tcPr>
          <w:p>
            <w:pPr>
              <w:spacing w:line="340" w:lineRule="exact"/>
              <w:ind w:left="0" w:right="0" w:firstLine="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市直各部门，各县（市、区）政府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blHeader/>
          <w:jc w:val="center"/>
        </w:trPr>
        <w:tc>
          <w:tcPr>
            <w:tcW w:w="756"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1101" w:type="dxa"/>
            <w:vMerge w:val="continue"/>
            <w:tcBorders>
              <w:top w:val="single" w:color="auto" w:sz="4" w:space="0"/>
              <w:left w:val="single" w:color="auto" w:sz="4" w:space="0"/>
              <w:right w:val="single" w:color="auto" w:sz="4" w:space="0"/>
            </w:tcBorders>
            <w:noWrap/>
            <w:vAlign w:val="center"/>
          </w:tcPr>
          <w:p>
            <w:pPr>
              <w:spacing w:line="340" w:lineRule="exact"/>
              <w:rPr>
                <w:rFonts w:hint="eastAsia" w:ascii="仿宋_GB2312" w:hAnsi="仿宋_GB2312" w:eastAsia="仿宋_GB2312" w:cs="仿宋_GB2312"/>
                <w:color w:val="auto"/>
                <w:sz w:val="36"/>
                <w:u w:val="none" w:color="auto"/>
              </w:rPr>
            </w:pP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right="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2</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对事故调查处理情况及时公开，并按规定组织评估。</w:t>
            </w:r>
          </w:p>
        </w:tc>
        <w:tc>
          <w:tcPr>
            <w:tcW w:w="3313" w:type="dxa"/>
            <w:tcBorders>
              <w:top w:val="single" w:color="auto" w:sz="4" w:space="0"/>
              <w:left w:val="single" w:color="auto" w:sz="4" w:space="0"/>
              <w:right w:val="single" w:color="auto" w:sz="4" w:space="0"/>
            </w:tcBorders>
            <w:noWrap/>
            <w:vAlign w:val="center"/>
          </w:tcPr>
          <w:p>
            <w:pPr>
              <w:spacing w:line="340" w:lineRule="exact"/>
              <w:ind w:left="0" w:right="0" w:firstLine="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eastAsia="仿宋_GB2312" w:cs="仿宋_GB2312"/>
                <w:color w:val="auto"/>
                <w:sz w:val="20"/>
                <w:szCs w:val="20"/>
                <w:u w:val="none" w:color="auto"/>
                <w:vertAlign w:val="baseline"/>
                <w:lang w:eastAsia="zh-CN"/>
              </w:rPr>
              <w:t>市直各部门，各县（市、区）政府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39</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开展述职评议</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建立市县安委会成员单位主要负责人安全生产述职评议制度，邀请社会各方面、各阶层及监管对象代表担任述职评议员，对负有安全监管职责的部门相关负责人履职情况进行评议，评议结果纳入考核成绩，强化安委会相关部门落实安全生产和应急管理工作情况的监督与指导作用。</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市县两级安委办及相关安委会成员单位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blHeader/>
          <w:jc w:val="center"/>
        </w:trPr>
        <w:tc>
          <w:tcPr>
            <w:tcW w:w="756"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val="en-US" w:eastAsia="zh-CN"/>
              </w:rPr>
            </w:pPr>
            <w:r>
              <w:rPr>
                <w:rFonts w:hint="eastAsia" w:ascii="仿宋_GB2312" w:hAnsi="仿宋_GB2312" w:eastAsia="仿宋_GB2312" w:cs="仿宋_GB2312"/>
                <w:color w:val="auto"/>
                <w:sz w:val="20"/>
                <w:szCs w:val="20"/>
                <w:u w:val="none" w:color="auto"/>
                <w:vertAlign w:val="baseline"/>
                <w:lang w:val="en-US" w:eastAsia="zh-CN"/>
              </w:rPr>
              <w:t>40</w:t>
            </w:r>
          </w:p>
        </w:tc>
        <w:tc>
          <w:tcPr>
            <w:tcW w:w="1101" w:type="dxa"/>
            <w:tcBorders>
              <w:top w:val="single" w:color="auto" w:sz="4" w:space="0"/>
              <w:left w:val="single" w:color="auto" w:sz="4" w:space="0"/>
              <w:right w:val="single" w:color="auto" w:sz="4" w:space="0"/>
            </w:tcBorders>
            <w:noWrap/>
            <w:vAlign w:val="center"/>
          </w:tcPr>
          <w:p>
            <w:pPr>
              <w:spacing w:line="340" w:lineRule="exact"/>
              <w:ind w:left="0" w:right="0" w:firstLine="0"/>
              <w:jc w:val="center"/>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严肃责任追究</w:t>
            </w:r>
          </w:p>
        </w:tc>
        <w:tc>
          <w:tcPr>
            <w:tcW w:w="9533" w:type="dxa"/>
            <w:tcBorders>
              <w:top w:val="single" w:color="auto" w:sz="4" w:space="0"/>
              <w:left w:val="single" w:color="auto" w:sz="4" w:space="0"/>
              <w:right w:val="single" w:color="auto" w:sz="4" w:space="0"/>
            </w:tcBorders>
            <w:noWrap/>
            <w:vAlign w:val="center"/>
          </w:tcPr>
          <w:p>
            <w:pPr>
              <w:numPr>
                <w:ilvl w:val="-1"/>
                <w:numId w:val="0"/>
              </w:numPr>
              <w:spacing w:line="340" w:lineRule="exact"/>
              <w:ind w:left="0" w:leftChars="0" w:firstLine="0" w:firstLineChars="0"/>
              <w:jc w:val="both"/>
              <w:rPr>
                <w:rFonts w:hint="eastAsia" w:ascii="仿宋_GB2312" w:hAnsi="仿宋_GB2312" w:eastAsia="仿宋_GB2312" w:cs="仿宋_GB2312"/>
                <w:color w:val="auto"/>
                <w:sz w:val="20"/>
                <w:szCs w:val="20"/>
                <w:u w:val="none" w:color="auto"/>
                <w:vertAlign w:val="baseline"/>
              </w:rPr>
            </w:pP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cs="仿宋_GB2312"/>
                <w:color w:val="auto"/>
                <w:sz w:val="20"/>
                <w:szCs w:val="20"/>
                <w:u w:val="none" w:color="auto"/>
                <w:vertAlign w:val="baseline"/>
                <w:lang w:val="en-US" w:eastAsia="zh-CN"/>
              </w:rPr>
              <w:t>1</w:t>
            </w:r>
            <w:r>
              <w:rPr>
                <w:rFonts w:hint="eastAsia" w:ascii="仿宋_GB2312" w:hAnsi="仿宋_GB2312" w:cs="仿宋_GB2312"/>
                <w:color w:val="auto"/>
                <w:sz w:val="20"/>
                <w:szCs w:val="20"/>
                <w:u w:val="none" w:color="auto"/>
                <w:vertAlign w:val="baseline"/>
                <w:lang w:eastAsia="zh-CN"/>
              </w:rPr>
              <w:t>）</w:t>
            </w:r>
            <w:r>
              <w:rPr>
                <w:rFonts w:hint="eastAsia" w:ascii="仿宋_GB2312" w:hAnsi="仿宋_GB2312" w:eastAsia="仿宋_GB2312" w:cs="仿宋_GB2312"/>
                <w:color w:val="auto"/>
                <w:sz w:val="20"/>
                <w:szCs w:val="20"/>
                <w:u w:val="none" w:color="auto"/>
                <w:vertAlign w:val="baseline"/>
              </w:rPr>
              <w:t>对安全生产责任落实不到位、重点工作推进缓慢、重大隐患整改不力的，要通报批评、公开曝光、约谈问责。对瞒报事故、抽查检查应发现未发现、应处罚未处罚非法违法生产经营建设行为的，依纪依法追责问责。坚持“四不放过”原则，严格事故调查处理，从严责任追究。</w:t>
            </w:r>
          </w:p>
        </w:tc>
        <w:tc>
          <w:tcPr>
            <w:tcW w:w="3313" w:type="dxa"/>
            <w:tcBorders>
              <w:top w:val="single" w:color="auto" w:sz="4" w:space="0"/>
              <w:left w:val="single" w:color="auto" w:sz="4" w:space="0"/>
              <w:right w:val="single" w:color="auto" w:sz="4" w:space="0"/>
            </w:tcBorders>
            <w:noWrap/>
            <w:vAlign w:val="center"/>
          </w:tcPr>
          <w:p>
            <w:pPr>
              <w:spacing w:line="340" w:lineRule="exact"/>
              <w:jc w:val="both"/>
              <w:rPr>
                <w:rFonts w:hint="eastAsia" w:ascii="仿宋_GB2312" w:hAnsi="仿宋_GB2312" w:eastAsia="仿宋_GB2312" w:cs="仿宋_GB2312"/>
                <w:color w:val="auto"/>
                <w:sz w:val="20"/>
                <w:szCs w:val="20"/>
                <w:u w:val="none" w:color="auto"/>
                <w:vertAlign w:val="baseline"/>
                <w:lang w:eastAsia="zh-CN"/>
              </w:rPr>
            </w:pPr>
            <w:r>
              <w:rPr>
                <w:rFonts w:hint="eastAsia" w:ascii="仿宋_GB2312" w:hAnsi="仿宋_GB2312" w:eastAsia="仿宋_GB2312" w:cs="仿宋_GB2312"/>
                <w:color w:val="auto"/>
                <w:sz w:val="20"/>
                <w:szCs w:val="20"/>
                <w:u w:val="none" w:color="auto"/>
                <w:vertAlign w:val="baseline"/>
                <w:lang w:eastAsia="zh-CN"/>
              </w:rPr>
              <w:t>负有安全监管职责的部门、纪检监察部门，各县（市、区）政府</w:t>
            </w:r>
          </w:p>
        </w:tc>
      </w:tr>
    </w:tbl>
    <w:p>
      <w:pPr>
        <w:tabs>
          <w:tab w:val="right" w:pos="8844"/>
        </w:tabs>
        <w:rPr>
          <w:rFonts w:hint="eastAsia" w:ascii="仿宋" w:hAnsi="仿宋" w:eastAsia="仿宋" w:cs="仿宋"/>
        </w:rPr>
        <w:sectPr>
          <w:footerReference r:id="rId3" w:type="default"/>
          <w:pgSz w:w="16838" w:h="11906" w:orient="landscape"/>
          <w:pgMar w:top="1587" w:right="2098" w:bottom="1474" w:left="1985" w:header="851" w:footer="992" w:gutter="0"/>
          <w:pgNumType w:fmt="numberInDash"/>
          <w:cols w:space="0" w:num="1"/>
          <w:rtlGutter w:val="0"/>
          <w:docGrid w:type="lines" w:linePitch="442" w:charSpace="0"/>
        </w:sectPr>
      </w:pPr>
    </w:p>
    <w:p>
      <w:pPr>
        <w:tabs>
          <w:tab w:val="left" w:pos="1680"/>
        </w:tabs>
        <w:spacing w:line="560" w:lineRule="exact"/>
        <w:rPr>
          <w:rFonts w:hint="eastAsia" w:ascii="仿宋" w:hAnsi="仿宋" w:eastAsia="仿宋" w:cs="仿宋"/>
        </w:rPr>
      </w:pPr>
      <w:bookmarkStart w:id="0" w:name="_GoBack"/>
      <w:bookmarkEnd w:id="0"/>
    </w:p>
    <w:sectPr>
      <w:pgSz w:w="16838" w:h="11906" w:orient="landscape"/>
      <w:pgMar w:top="1587" w:right="2098" w:bottom="1474" w:left="198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rect id="_x0000_s2051" o:spid="_x0000_s2051" o:spt="1" style="position:absolute;left:0pt;margin-top:0pt;height:20.3pt;width:42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lYTQ2N2FmYzdmYzJhYjIxYTk5OWE4YmI3YWM5Y2MifQ=="/>
    <w:docVar w:name="KGWebUrl" w:val="http://172.31.4.12:80/seeyon/officeservlet"/>
  </w:docVars>
  <w:rsids>
    <w:rsidRoot w:val="00587A84"/>
    <w:rsid w:val="00016C7F"/>
    <w:rsid w:val="00024C38"/>
    <w:rsid w:val="00026756"/>
    <w:rsid w:val="00030B1D"/>
    <w:rsid w:val="00040E0E"/>
    <w:rsid w:val="00050247"/>
    <w:rsid w:val="00054119"/>
    <w:rsid w:val="00056D39"/>
    <w:rsid w:val="00061917"/>
    <w:rsid w:val="00073922"/>
    <w:rsid w:val="00080F41"/>
    <w:rsid w:val="000A3CD4"/>
    <w:rsid w:val="000A6793"/>
    <w:rsid w:val="000B012F"/>
    <w:rsid w:val="000B0C55"/>
    <w:rsid w:val="000D2E6D"/>
    <w:rsid w:val="000D66F5"/>
    <w:rsid w:val="000E4C77"/>
    <w:rsid w:val="000F6DDA"/>
    <w:rsid w:val="000F6E28"/>
    <w:rsid w:val="00106BBB"/>
    <w:rsid w:val="00106E2A"/>
    <w:rsid w:val="0010763C"/>
    <w:rsid w:val="0013186F"/>
    <w:rsid w:val="00133988"/>
    <w:rsid w:val="00142177"/>
    <w:rsid w:val="001447D5"/>
    <w:rsid w:val="00155A9A"/>
    <w:rsid w:val="00160D37"/>
    <w:rsid w:val="001743CE"/>
    <w:rsid w:val="00175CB5"/>
    <w:rsid w:val="00191F59"/>
    <w:rsid w:val="00192647"/>
    <w:rsid w:val="00192EC8"/>
    <w:rsid w:val="001A2BD6"/>
    <w:rsid w:val="001A37E0"/>
    <w:rsid w:val="001B3767"/>
    <w:rsid w:val="001B72DE"/>
    <w:rsid w:val="0020093F"/>
    <w:rsid w:val="0020300F"/>
    <w:rsid w:val="00222790"/>
    <w:rsid w:val="00232015"/>
    <w:rsid w:val="00232F2F"/>
    <w:rsid w:val="00235726"/>
    <w:rsid w:val="002416FB"/>
    <w:rsid w:val="00252B80"/>
    <w:rsid w:val="00255F31"/>
    <w:rsid w:val="00260BF8"/>
    <w:rsid w:val="002626E1"/>
    <w:rsid w:val="00264B08"/>
    <w:rsid w:val="00267C4A"/>
    <w:rsid w:val="00272B34"/>
    <w:rsid w:val="00273606"/>
    <w:rsid w:val="00291C45"/>
    <w:rsid w:val="0029268C"/>
    <w:rsid w:val="002937ED"/>
    <w:rsid w:val="002969CA"/>
    <w:rsid w:val="002A381E"/>
    <w:rsid w:val="002B065B"/>
    <w:rsid w:val="002C2F5C"/>
    <w:rsid w:val="002C492E"/>
    <w:rsid w:val="002C4CB5"/>
    <w:rsid w:val="002D315F"/>
    <w:rsid w:val="002D32E7"/>
    <w:rsid w:val="002F4F51"/>
    <w:rsid w:val="003033EE"/>
    <w:rsid w:val="003041BC"/>
    <w:rsid w:val="003111AD"/>
    <w:rsid w:val="0031312D"/>
    <w:rsid w:val="0031692E"/>
    <w:rsid w:val="00317FB6"/>
    <w:rsid w:val="00320A7E"/>
    <w:rsid w:val="00327DCC"/>
    <w:rsid w:val="00334C9B"/>
    <w:rsid w:val="00337AB7"/>
    <w:rsid w:val="00341929"/>
    <w:rsid w:val="003432AA"/>
    <w:rsid w:val="00344457"/>
    <w:rsid w:val="00346393"/>
    <w:rsid w:val="003528AE"/>
    <w:rsid w:val="00354F58"/>
    <w:rsid w:val="00362A58"/>
    <w:rsid w:val="00365CA8"/>
    <w:rsid w:val="003721E7"/>
    <w:rsid w:val="003761EE"/>
    <w:rsid w:val="003768E2"/>
    <w:rsid w:val="003831E9"/>
    <w:rsid w:val="00395929"/>
    <w:rsid w:val="003B206F"/>
    <w:rsid w:val="003B287B"/>
    <w:rsid w:val="003C2143"/>
    <w:rsid w:val="003C60D4"/>
    <w:rsid w:val="003D4B10"/>
    <w:rsid w:val="003D6DF4"/>
    <w:rsid w:val="003E25C8"/>
    <w:rsid w:val="003F2230"/>
    <w:rsid w:val="003F6940"/>
    <w:rsid w:val="004036E3"/>
    <w:rsid w:val="00404FC7"/>
    <w:rsid w:val="0040707B"/>
    <w:rsid w:val="004102E5"/>
    <w:rsid w:val="00411213"/>
    <w:rsid w:val="00412715"/>
    <w:rsid w:val="004137DA"/>
    <w:rsid w:val="00414356"/>
    <w:rsid w:val="00414877"/>
    <w:rsid w:val="004256E6"/>
    <w:rsid w:val="004568D6"/>
    <w:rsid w:val="00461412"/>
    <w:rsid w:val="004617B1"/>
    <w:rsid w:val="00461EF8"/>
    <w:rsid w:val="00462199"/>
    <w:rsid w:val="00493410"/>
    <w:rsid w:val="00495FBB"/>
    <w:rsid w:val="004A2D33"/>
    <w:rsid w:val="004A4F49"/>
    <w:rsid w:val="004A4FD6"/>
    <w:rsid w:val="004D0E4A"/>
    <w:rsid w:val="004F1321"/>
    <w:rsid w:val="004F53F3"/>
    <w:rsid w:val="00513D88"/>
    <w:rsid w:val="005152F6"/>
    <w:rsid w:val="0053149D"/>
    <w:rsid w:val="00531CA7"/>
    <w:rsid w:val="00535468"/>
    <w:rsid w:val="005430AB"/>
    <w:rsid w:val="005832A0"/>
    <w:rsid w:val="00587A84"/>
    <w:rsid w:val="005906CB"/>
    <w:rsid w:val="005A72C0"/>
    <w:rsid w:val="005B04DE"/>
    <w:rsid w:val="005B6D01"/>
    <w:rsid w:val="005D1BCD"/>
    <w:rsid w:val="005D6713"/>
    <w:rsid w:val="005D7822"/>
    <w:rsid w:val="005F047F"/>
    <w:rsid w:val="005F66B1"/>
    <w:rsid w:val="006049F3"/>
    <w:rsid w:val="0061465E"/>
    <w:rsid w:val="00616C16"/>
    <w:rsid w:val="00617521"/>
    <w:rsid w:val="00641DE8"/>
    <w:rsid w:val="00642838"/>
    <w:rsid w:val="00652483"/>
    <w:rsid w:val="006538F1"/>
    <w:rsid w:val="00654B1A"/>
    <w:rsid w:val="00662098"/>
    <w:rsid w:val="0066488F"/>
    <w:rsid w:val="006658E0"/>
    <w:rsid w:val="0067155B"/>
    <w:rsid w:val="00673DC0"/>
    <w:rsid w:val="006757E3"/>
    <w:rsid w:val="00694EA3"/>
    <w:rsid w:val="006A3BA3"/>
    <w:rsid w:val="006A5076"/>
    <w:rsid w:val="006B1A00"/>
    <w:rsid w:val="006B570C"/>
    <w:rsid w:val="006C4AD6"/>
    <w:rsid w:val="006C59FD"/>
    <w:rsid w:val="006C6CC1"/>
    <w:rsid w:val="006C7C0F"/>
    <w:rsid w:val="006D5D7D"/>
    <w:rsid w:val="006E7949"/>
    <w:rsid w:val="006F543D"/>
    <w:rsid w:val="00700D85"/>
    <w:rsid w:val="00712948"/>
    <w:rsid w:val="00713E03"/>
    <w:rsid w:val="00725376"/>
    <w:rsid w:val="00725D61"/>
    <w:rsid w:val="007278B4"/>
    <w:rsid w:val="00736094"/>
    <w:rsid w:val="0074035B"/>
    <w:rsid w:val="00745E7C"/>
    <w:rsid w:val="00752C49"/>
    <w:rsid w:val="007559C1"/>
    <w:rsid w:val="0075682E"/>
    <w:rsid w:val="007573AA"/>
    <w:rsid w:val="00777AB9"/>
    <w:rsid w:val="00782849"/>
    <w:rsid w:val="00797E13"/>
    <w:rsid w:val="007A1F09"/>
    <w:rsid w:val="007A2950"/>
    <w:rsid w:val="007A323E"/>
    <w:rsid w:val="007A42C0"/>
    <w:rsid w:val="007B3824"/>
    <w:rsid w:val="007B3BAF"/>
    <w:rsid w:val="007C25FE"/>
    <w:rsid w:val="007C6BC4"/>
    <w:rsid w:val="007D0E15"/>
    <w:rsid w:val="007D3423"/>
    <w:rsid w:val="007D648F"/>
    <w:rsid w:val="007E02B7"/>
    <w:rsid w:val="007E071E"/>
    <w:rsid w:val="007E0AB5"/>
    <w:rsid w:val="007E1D10"/>
    <w:rsid w:val="007E1EC7"/>
    <w:rsid w:val="007E2BA3"/>
    <w:rsid w:val="007E418F"/>
    <w:rsid w:val="007E4813"/>
    <w:rsid w:val="008015D4"/>
    <w:rsid w:val="00801A0A"/>
    <w:rsid w:val="00801A42"/>
    <w:rsid w:val="008162FA"/>
    <w:rsid w:val="00821B76"/>
    <w:rsid w:val="00827A5B"/>
    <w:rsid w:val="00832D6C"/>
    <w:rsid w:val="008645B0"/>
    <w:rsid w:val="00867870"/>
    <w:rsid w:val="0088634B"/>
    <w:rsid w:val="0088747A"/>
    <w:rsid w:val="0089113E"/>
    <w:rsid w:val="00897C77"/>
    <w:rsid w:val="008A0860"/>
    <w:rsid w:val="008A0BD9"/>
    <w:rsid w:val="008B25E1"/>
    <w:rsid w:val="008D51E7"/>
    <w:rsid w:val="009075C6"/>
    <w:rsid w:val="00914639"/>
    <w:rsid w:val="009179D3"/>
    <w:rsid w:val="00926304"/>
    <w:rsid w:val="00933336"/>
    <w:rsid w:val="009718D5"/>
    <w:rsid w:val="0097711F"/>
    <w:rsid w:val="009869FC"/>
    <w:rsid w:val="009918FE"/>
    <w:rsid w:val="009A1AF3"/>
    <w:rsid w:val="009A79E1"/>
    <w:rsid w:val="009B1AFE"/>
    <w:rsid w:val="009D199F"/>
    <w:rsid w:val="009D2255"/>
    <w:rsid w:val="009D6492"/>
    <w:rsid w:val="009F079D"/>
    <w:rsid w:val="009F13AB"/>
    <w:rsid w:val="009F153C"/>
    <w:rsid w:val="009F5DEB"/>
    <w:rsid w:val="009F6FA5"/>
    <w:rsid w:val="00A00598"/>
    <w:rsid w:val="00A00D7C"/>
    <w:rsid w:val="00A01C3C"/>
    <w:rsid w:val="00A11A0B"/>
    <w:rsid w:val="00A14528"/>
    <w:rsid w:val="00A27C52"/>
    <w:rsid w:val="00A32E91"/>
    <w:rsid w:val="00A37022"/>
    <w:rsid w:val="00A46EF5"/>
    <w:rsid w:val="00A53BBE"/>
    <w:rsid w:val="00A64BF9"/>
    <w:rsid w:val="00A855A1"/>
    <w:rsid w:val="00A8774B"/>
    <w:rsid w:val="00A9499B"/>
    <w:rsid w:val="00AA0AC0"/>
    <w:rsid w:val="00AA2115"/>
    <w:rsid w:val="00AA57C3"/>
    <w:rsid w:val="00AA5A13"/>
    <w:rsid w:val="00AC6A57"/>
    <w:rsid w:val="00AC7620"/>
    <w:rsid w:val="00AD2D9A"/>
    <w:rsid w:val="00AE0722"/>
    <w:rsid w:val="00AF7729"/>
    <w:rsid w:val="00B01F9B"/>
    <w:rsid w:val="00B057E5"/>
    <w:rsid w:val="00B11C87"/>
    <w:rsid w:val="00B14BC1"/>
    <w:rsid w:val="00B242CD"/>
    <w:rsid w:val="00B2519C"/>
    <w:rsid w:val="00B37378"/>
    <w:rsid w:val="00B41A5F"/>
    <w:rsid w:val="00B43A10"/>
    <w:rsid w:val="00B508F5"/>
    <w:rsid w:val="00B53256"/>
    <w:rsid w:val="00B67563"/>
    <w:rsid w:val="00B75F9D"/>
    <w:rsid w:val="00B804E5"/>
    <w:rsid w:val="00B85D05"/>
    <w:rsid w:val="00B8701F"/>
    <w:rsid w:val="00B8716D"/>
    <w:rsid w:val="00B946BE"/>
    <w:rsid w:val="00BA2691"/>
    <w:rsid w:val="00BB398F"/>
    <w:rsid w:val="00BC050D"/>
    <w:rsid w:val="00BC20DE"/>
    <w:rsid w:val="00BE2728"/>
    <w:rsid w:val="00BF1D2B"/>
    <w:rsid w:val="00BF79C0"/>
    <w:rsid w:val="00C00F15"/>
    <w:rsid w:val="00C02419"/>
    <w:rsid w:val="00C04101"/>
    <w:rsid w:val="00C062ED"/>
    <w:rsid w:val="00C10A64"/>
    <w:rsid w:val="00C16CEA"/>
    <w:rsid w:val="00C24201"/>
    <w:rsid w:val="00C42684"/>
    <w:rsid w:val="00C44599"/>
    <w:rsid w:val="00C453C0"/>
    <w:rsid w:val="00C5043B"/>
    <w:rsid w:val="00C53105"/>
    <w:rsid w:val="00C647A5"/>
    <w:rsid w:val="00C701B2"/>
    <w:rsid w:val="00C704EF"/>
    <w:rsid w:val="00C7165D"/>
    <w:rsid w:val="00C736A4"/>
    <w:rsid w:val="00C845D7"/>
    <w:rsid w:val="00C870EA"/>
    <w:rsid w:val="00C91EB7"/>
    <w:rsid w:val="00CA232D"/>
    <w:rsid w:val="00CA367B"/>
    <w:rsid w:val="00CC2CF2"/>
    <w:rsid w:val="00CC37BF"/>
    <w:rsid w:val="00CE62AC"/>
    <w:rsid w:val="00D01144"/>
    <w:rsid w:val="00D0140A"/>
    <w:rsid w:val="00D10163"/>
    <w:rsid w:val="00D11194"/>
    <w:rsid w:val="00D132D6"/>
    <w:rsid w:val="00D174D0"/>
    <w:rsid w:val="00D252D5"/>
    <w:rsid w:val="00D3002B"/>
    <w:rsid w:val="00D43261"/>
    <w:rsid w:val="00D438CD"/>
    <w:rsid w:val="00D47603"/>
    <w:rsid w:val="00D574E5"/>
    <w:rsid w:val="00D57B58"/>
    <w:rsid w:val="00D66924"/>
    <w:rsid w:val="00D812B8"/>
    <w:rsid w:val="00D868F4"/>
    <w:rsid w:val="00D96DA4"/>
    <w:rsid w:val="00DA37A0"/>
    <w:rsid w:val="00DB4174"/>
    <w:rsid w:val="00DC1BC0"/>
    <w:rsid w:val="00DE6DE5"/>
    <w:rsid w:val="00DF2133"/>
    <w:rsid w:val="00DF3896"/>
    <w:rsid w:val="00DF3C63"/>
    <w:rsid w:val="00DF49D8"/>
    <w:rsid w:val="00E04599"/>
    <w:rsid w:val="00E056F8"/>
    <w:rsid w:val="00E171C6"/>
    <w:rsid w:val="00E23510"/>
    <w:rsid w:val="00E3141C"/>
    <w:rsid w:val="00E31A44"/>
    <w:rsid w:val="00E32BB1"/>
    <w:rsid w:val="00E33B63"/>
    <w:rsid w:val="00E33D38"/>
    <w:rsid w:val="00E5561B"/>
    <w:rsid w:val="00E70496"/>
    <w:rsid w:val="00E8042A"/>
    <w:rsid w:val="00E83263"/>
    <w:rsid w:val="00E85130"/>
    <w:rsid w:val="00E854AA"/>
    <w:rsid w:val="00EA2FCF"/>
    <w:rsid w:val="00EC69AF"/>
    <w:rsid w:val="00ED64E5"/>
    <w:rsid w:val="00EE0401"/>
    <w:rsid w:val="00EF4835"/>
    <w:rsid w:val="00F03038"/>
    <w:rsid w:val="00F03439"/>
    <w:rsid w:val="00F26910"/>
    <w:rsid w:val="00F3716C"/>
    <w:rsid w:val="00F4753A"/>
    <w:rsid w:val="00F52F7A"/>
    <w:rsid w:val="00F66DD6"/>
    <w:rsid w:val="00F7573C"/>
    <w:rsid w:val="00F97A29"/>
    <w:rsid w:val="00FA12D6"/>
    <w:rsid w:val="00FA21C4"/>
    <w:rsid w:val="00FB0E2A"/>
    <w:rsid w:val="00FC6962"/>
    <w:rsid w:val="00FD22E1"/>
    <w:rsid w:val="00FD2821"/>
    <w:rsid w:val="00FD400D"/>
    <w:rsid w:val="00FE1C2A"/>
    <w:rsid w:val="00FE296B"/>
    <w:rsid w:val="06A9097E"/>
    <w:rsid w:val="084151AB"/>
    <w:rsid w:val="09CD6EB2"/>
    <w:rsid w:val="0DBF7150"/>
    <w:rsid w:val="14F1717A"/>
    <w:rsid w:val="17E06771"/>
    <w:rsid w:val="1A276522"/>
    <w:rsid w:val="22824C1D"/>
    <w:rsid w:val="3302063B"/>
    <w:rsid w:val="39EFAB65"/>
    <w:rsid w:val="52B42E29"/>
    <w:rsid w:val="5CC90306"/>
    <w:rsid w:val="65022649"/>
    <w:rsid w:val="6BD3A221"/>
    <w:rsid w:val="6F3F46C1"/>
    <w:rsid w:val="7DEB4B16"/>
    <w:rsid w:val="7EEDA737"/>
    <w:rsid w:val="EFFABCA9"/>
    <w:rsid w:val="F7BAC0CA"/>
    <w:rsid w:val="F7FF59E7"/>
    <w:rsid w:val="FBFB4AC7"/>
    <w:rsid w:val="FDFF61A4"/>
    <w:rsid w:val="FF0E7A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3"/>
    <w:basedOn w:val="1"/>
    <w:next w:val="1"/>
    <w:qFormat/>
    <w:uiPriority w:val="0"/>
    <w:pPr>
      <w:keepNext/>
      <w:keepLines/>
      <w:widowControl w:val="0"/>
      <w:spacing w:before="260" w:after="260" w:line="415" w:lineRule="auto"/>
      <w:outlineLvl w:val="2"/>
    </w:pPr>
    <w:rPr>
      <w:rFonts w:ascii="Calibri" w:hAnsi="Calibri" w:eastAsia="宋体" w:cs="Times New Roman"/>
      <w:b/>
      <w:sz w:val="32"/>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eastAsia="宋体" w:cs="Arial"/>
      <w:sz w:val="21"/>
      <w:szCs w:val="22"/>
    </w:rPr>
  </w:style>
  <w:style w:type="paragraph" w:styleId="4">
    <w:name w:val="Normal Indent"/>
    <w:basedOn w:val="1"/>
    <w:next w:val="1"/>
    <w:qFormat/>
    <w:uiPriority w:val="0"/>
    <w:pPr>
      <w:widowControl w:val="0"/>
      <w:ind w:firstLine="200" w:firstLineChars="200"/>
      <w:jc w:val="both"/>
    </w:pPr>
    <w:rPr>
      <w:rFonts w:ascii="Calibri" w:hAnsi="Calibri" w:eastAsia="仿宋_GB2312" w:cs="仿宋_GB2312"/>
      <w:kern w:val="2"/>
      <w:sz w:val="36"/>
      <w:szCs w:val="24"/>
      <w:lang w:val="en-US" w:eastAsia="zh-CN" w:bidi="ar-SA"/>
    </w:rPr>
  </w:style>
  <w:style w:type="paragraph" w:styleId="5">
    <w:name w:val="Body Text Indent"/>
    <w:basedOn w:val="1"/>
    <w:next w:val="4"/>
    <w:qFormat/>
    <w:uiPriority w:val="0"/>
    <w:pPr>
      <w:ind w:left="200" w:leftChars="200"/>
    </w:pPr>
    <w:rPr>
      <w:rFonts w:ascii="Calibri" w:hAnsi="Calibri" w:eastAsia="宋体" w:cs="Times New Roman"/>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100" w:beforeAutospacing="1" w:after="100" w:afterAutospacing="1" w:line="240" w:lineRule="auto"/>
      <w:ind w:left="0" w:right="0" w:firstLine="0"/>
      <w:jc w:val="left"/>
      <w:textAlignment w:val="auto"/>
      <w:outlineLvl w:val="9"/>
    </w:pPr>
    <w:rPr>
      <w:rFonts w:ascii="宋体" w:hAnsi="Calibri" w:eastAsia="宋体" w:cs="仿宋_GB2312"/>
      <w:snapToGrid/>
      <w:color w:val="auto"/>
      <w:spacing w:val="0"/>
      <w:w w:val="100"/>
      <w:kern w:val="0"/>
      <w:position w:val="0"/>
      <w:sz w:val="24"/>
      <w:szCs w:val="24"/>
      <w:u w:val="none" w:color="auto"/>
      <w:vertAlign w:val="baseline"/>
      <w:lang w:val="en-US" w:eastAsia="zh-CN" w:bidi="ar-SA"/>
    </w:rPr>
  </w:style>
  <w:style w:type="paragraph" w:styleId="9">
    <w:name w:val="Title"/>
    <w:basedOn w:val="1"/>
    <w:next w:val="1"/>
    <w:qFormat/>
    <w:uiPriority w:val="0"/>
    <w:pPr>
      <w:spacing w:before="240" w:beforeLines="0" w:beforeAutospacing="0" w:after="60" w:afterLines="0" w:afterAutospacing="0"/>
      <w:jc w:val="center"/>
      <w:outlineLvl w:val="0"/>
    </w:pPr>
    <w:rPr>
      <w:rFonts w:ascii="Arial" w:hAnsi="Arial" w:eastAsia="宋体" w:cs="Times New Roman"/>
      <w:b/>
      <w:sz w:val="32"/>
      <w:szCs w:val="24"/>
    </w:rPr>
  </w:style>
  <w:style w:type="paragraph" w:styleId="10">
    <w:name w:val="Body Text First Indent 2"/>
    <w:basedOn w:val="5"/>
    <w:next w:val="1"/>
    <w:qFormat/>
    <w:uiPriority w:val="0"/>
    <w:pPr>
      <w:ind w:firstLine="200" w:firstLineChars="200"/>
    </w:p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p0"/>
    <w:next w:val="1"/>
    <w:qFormat/>
    <w:uiPriority w:val="0"/>
    <w:pPr>
      <w:widowControl/>
      <w:jc w:val="both"/>
    </w:pPr>
    <w:rPr>
      <w:rFonts w:ascii="Times New Roman" w:hAnsi="Times New Roman" w:eastAsia="宋体" w:cs="Times New Roman"/>
      <w:kern w:val="0"/>
      <w:sz w:val="21"/>
      <w:szCs w:val="21"/>
      <w:lang w:val="en-US" w:eastAsia="zh-CN" w:bidi="ar-SA"/>
    </w:rPr>
  </w:style>
  <w:style w:type="paragraph" w:customStyle="1" w:styleId="15">
    <w:name w:val="No Spacing_ad81b47b-6779-4c76-b471-79375858c8cb"/>
    <w:basedOn w:val="1"/>
    <w:qFormat/>
    <w:uiPriority w:val="0"/>
    <w:pPr>
      <w:ind w:firstLine="200" w:firstLine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16324</Words>
  <Characters>16401</Characters>
  <Lines>0</Lines>
  <Paragraphs>0</Paragraphs>
  <TotalTime>16</TotalTime>
  <ScaleCrop>false</ScaleCrop>
  <LinksUpToDate>false</LinksUpToDate>
  <CharactersWithSpaces>16484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2021-12-03T17:47:00Z</dcterms:created>
  <dc:creator>表单管理员</dc:creator>
  <cp:lastModifiedBy>lenovo</cp:lastModifiedBy>
  <cp:lastPrinted>2023-02-19T15:30:00Z</cp:lastPrinted>
  <dcterms:modified xsi:type="dcterms:W3CDTF">2023-03-03T02:40:16Z</dcterms:modified>
  <dc:title>吕梁市应急管理局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文种">
    <vt:lpwstr/>
  </property>
  <property fmtid="{D5CDD505-2E9C-101B-9397-08002B2CF9AE}" pid="4" name="ICV">
    <vt:lpwstr>EEE7F05A2AAD49D68E331AA0C00B8364</vt:lpwstr>
  </property>
</Properties>
</file>