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4" w:lineRule="auto"/>
        <w:jc w:val="left"/>
        <w:rPr>
          <w:rFonts w:ascii="仿宋" w:hAnsi="仿宋" w:eastAsia="仿宋" w:cs="宋体"/>
          <w:color w:val="333333"/>
          <w:sz w:val="32"/>
          <w:szCs w:val="32"/>
        </w:rPr>
      </w:pPr>
      <w:r>
        <w:rPr>
          <w:rFonts w:hint="eastAsia" w:ascii="黑体" w:hAnsi="黑体" w:eastAsia="黑体" w:cs="黑体"/>
          <w:color w:val="000000"/>
          <w:kern w:val="0"/>
          <w:sz w:val="32"/>
          <w:szCs w:val="32"/>
        </w:rPr>
        <w:t>附件1</w:t>
      </w:r>
    </w:p>
    <w:tbl>
      <w:tblPr>
        <w:tblStyle w:val="5"/>
        <w:tblW w:w="101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0155" w:type="dxa"/>
            <w:tcBorders>
              <w:top w:val="nil"/>
              <w:left w:val="nil"/>
              <w:bottom w:val="nil"/>
              <w:right w:val="nil"/>
            </w:tcBorders>
            <w:shd w:val="clear" w:color="auto" w:fill="auto"/>
            <w:noWrap/>
            <w:vAlign w:val="center"/>
          </w:tcPr>
          <w:p>
            <w:pPr>
              <w:widowControl/>
              <w:shd w:val="clear" w:color="auto" w:fill="FFFFFF"/>
              <w:spacing w:line="660" w:lineRule="exact"/>
              <w:jc w:val="center"/>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lang w:val="en-US" w:eastAsia="zh-CN"/>
              </w:rPr>
              <w:t>2023年度吕梁市科技计划项目拟立项项目名单</w:t>
            </w:r>
          </w:p>
          <w:tbl>
            <w:tblPr>
              <w:tblStyle w:val="5"/>
              <w:tblpPr w:leftFromText="180" w:rightFromText="180" w:vertAnchor="text" w:horzAnchor="page" w:tblpXSpec="center" w:tblpY="653"/>
              <w:tblOverlap w:val="never"/>
              <w:tblW w:w="91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7"/>
              <w:gridCol w:w="1218"/>
              <w:gridCol w:w="5067"/>
              <w:gridCol w:w="21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21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类别</w:t>
                  </w:r>
                </w:p>
              </w:tc>
              <w:tc>
                <w:tcPr>
                  <w:tcW w:w="506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项目名称</w:t>
                  </w:r>
                </w:p>
              </w:tc>
              <w:tc>
                <w:tcPr>
                  <w:tcW w:w="213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承担单位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18"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高新领域</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多元难利用煤基固废制备混凝土关键技术</w:t>
                  </w:r>
                </w:p>
              </w:tc>
              <w:tc>
                <w:tcPr>
                  <w:tcW w:w="213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山西鹏飞焦化绿色发展有限公司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21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网架球自动焊接及实时跟踪系统关键技术研究</w:t>
                  </w:r>
                </w:p>
              </w:tc>
              <w:tc>
                <w:tcPr>
                  <w:tcW w:w="213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山西汾阳丰源网架钢结构有限公司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exact"/>
                <w:jc w:val="center"/>
              </w:trPr>
              <w:tc>
                <w:tcPr>
                  <w:tcW w:w="68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2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新型聚氨酯塑胶跑道材料</w:t>
                  </w:r>
                </w:p>
              </w:tc>
              <w:tc>
                <w:tcPr>
                  <w:tcW w:w="213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绿健体育产业科技（山西）有限公司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exact"/>
                <w:jc w:val="center"/>
              </w:trPr>
              <w:tc>
                <w:tcPr>
                  <w:tcW w:w="68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2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基于GPU的轻量化HPC集群搭建</w:t>
                  </w:r>
                </w:p>
              </w:tc>
              <w:tc>
                <w:tcPr>
                  <w:tcW w:w="213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山西省超级计算</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2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大型焦炉煤气制氢生产中的问题分析及应对 措施</w:t>
                  </w:r>
                </w:p>
              </w:tc>
              <w:tc>
                <w:tcPr>
                  <w:tcW w:w="213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2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一台压缩机组同时启动低温冷冻、高温储藏的新型装置</w:t>
                  </w:r>
                </w:p>
              </w:tc>
              <w:tc>
                <w:tcPr>
                  <w:tcW w:w="213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山西省南梁舜风 农业机械有限公司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2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肿瘤靶向近红外荧光标记及诊疗</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一体化研究</w:t>
                  </w:r>
                </w:p>
              </w:tc>
              <w:tc>
                <w:tcPr>
                  <w:tcW w:w="213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exact"/>
                <w:jc w:val="center"/>
              </w:trPr>
              <w:tc>
                <w:tcPr>
                  <w:tcW w:w="68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2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手性稀土材料的定向合成</w:t>
                  </w:r>
                </w:p>
              </w:tc>
              <w:tc>
                <w:tcPr>
                  <w:tcW w:w="213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2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基于智能手机和双信号碳点基水凝胶固体传感器建立现场可视化检测体系</w:t>
                  </w:r>
                </w:p>
              </w:tc>
              <w:tc>
                <w:tcPr>
                  <w:tcW w:w="213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exact"/>
                <w:jc w:val="center"/>
              </w:trPr>
              <w:tc>
                <w:tcPr>
                  <w:tcW w:w="68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2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石墨烯基超级电容器电极材料微观结构调控</w:t>
                  </w:r>
                </w:p>
              </w:tc>
              <w:tc>
                <w:tcPr>
                  <w:tcW w:w="213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12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富锂锰基Li1.2Mn0.54Ni0.13Co0.13O2正极材料的制备及其改性研究</w:t>
                  </w:r>
                </w:p>
              </w:tc>
              <w:tc>
                <w:tcPr>
                  <w:tcW w:w="213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12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废弃复杂铝电解质有价元素提取回收利用技术的研究</w:t>
                  </w:r>
                </w:p>
              </w:tc>
              <w:tc>
                <w:tcPr>
                  <w:tcW w:w="213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12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新型MOFs的制备及其对PVC材料的阻燃改性 研究</w:t>
                  </w:r>
                </w:p>
              </w:tc>
              <w:tc>
                <w:tcPr>
                  <w:tcW w:w="213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12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高速列车SiC颗粒增强铝基复合材料制动盘 裂纹扩展与寿命预测研究</w:t>
                  </w:r>
                </w:p>
              </w:tc>
              <w:tc>
                <w:tcPr>
                  <w:tcW w:w="213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12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动车组轮轴压装部位超高周微动疲劳损伤机理研究</w:t>
                  </w:r>
                </w:p>
              </w:tc>
              <w:tc>
                <w:tcPr>
                  <w:tcW w:w="213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1218"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改性煤泥水焦浆的制备及其成浆机理的  分子模拟研究</w:t>
                  </w:r>
                </w:p>
              </w:tc>
              <w:tc>
                <w:tcPr>
                  <w:tcW w:w="2137"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1218"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高新领域</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电化学储能材料中的数据驱动与机器学习融合计算</w:t>
                  </w:r>
                </w:p>
              </w:tc>
              <w:tc>
                <w:tcPr>
                  <w:tcW w:w="213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12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工业物联网控制安全与数据安全理论及关键 技术研究</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12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多源数据协同与智能算法采煤工作面透明化研究</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12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大尺寸GdBCO超导块材的制备及其在磁悬浮交通领域的应用研究</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12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危险场景下姿态识别的深度学习方法优化</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12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基于云计算的“吕梁山护工”服务移动平台建设</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12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智慧养老背景下老年人情绪识别研究及应用</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12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协同人工智能与高光谱遥感成像技术的吕梁地区矿物动态监测与反演</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121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基于大数据平台的智慧物流系统研究与应用</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18" w:type="dxa"/>
                  <w:vMerge w:val="restart"/>
                  <w:tcBorders>
                    <w:top w:val="single" w:color="000000" w:sz="4" w:space="0"/>
                    <w:left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成果转化</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一种鼻饲器的示范与推广</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核桃新品种采穗圃建设及高效栽培示范</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山西晋龙核桃苗木服务有限公司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一种生物复合型消毒剂及其制备方法技术推广</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山西益鑫泰生物 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一级优质米谷子新品种晋汾107示范推广</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柳林县垣银农产品销售合作社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枣树主干落头高接法推广示范基地建设项目</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山西晋绥农林牧 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食用菌提质增效栽培技术示范推广</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山西宇坤农业科技发展有限公司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21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液体菌种快速抽检在香菇生产上的推广应用</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山西恒益晟农业 科技有限责任公司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18"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平台基地</w:t>
                  </w: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吕梁市炭材料预分散体中试基地</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山西盛达威科技 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21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吕梁市油料作物种质创制和遗传改良重点实验室</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山西农业大学经济作物研究所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18"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软科学</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吕梁市教育、科技、人才融合发展模式研究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21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吕梁市新型研发机构培育模式研究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218"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软科学</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吕梁市众创空间建设模式创新研究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21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吕梁市创新平台体系建设规划和评估研究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18"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农业领域</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特色功能核桃油开发项目</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山西一果食品有限公司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高寒区大棚辣椒优质高产栽培技术</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岚县青清蔬菜产销有限责任公司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肉牛良种良法养殖技术集成与示范</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岚县昌荣种养   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紫晶枣品质提升工艺优化及标准化生产研究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山西六郎食品科技股份有限公司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枣糕配方研究及工业化生产加工技术</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柳林县沟门前风味食品有限公司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玉米秸秆炭化制取高品质固体燃料关键技术研究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柳林县中森新能源环保科技有限公司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年存栏3万只海兰褐蛋鸡智能化养殖</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山西佳稚养殖   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规模化智能化蛋鸡养殖关键技术开发与示范</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石楼县建军养殖 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野生苦菜规模化种植与加工技术开发</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石楼县鸿雁情食品有限责任公司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庞泉沟野生食用菌资源的调查收集、鉴定及开发利用</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交城县农业农村局农业技术推广中心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乡村振兴背景下临县“可食地景+研学基地”农业生态园营造</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山西禾田悦农业技术服务有限公司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抗旱节水冬小麦种质创新和新品种选育</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山西农业大学经济作物研究所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谷子抗除草剂恢复系种质资源创新及杂优利用研究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山西农业大学经济作物研究所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基于“优形、优质”的丰产型连翘新品系选育研究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山西农业大学经济作物研究所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EMS诱导蓖麻种质资源创制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山西农业大学经济作物研究所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工业大麻抗旱种质创制及新品种选育</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山西农业大学经济作物研究所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吕梁山地丘陵区向日葵旱作高效栽培技术研究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山西农业大学经济作物研究所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121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慢性冷应激对新生哺乳犊牛胃肠道发育的影响及分子机制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山西农业大学经济作物研究所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1218"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农业领域</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吕梁丘陵山区芝麻艺机一体化栽培技术研究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山西农业大学经济作物研究所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茯苓资源综合利用及其功能食品开发的研究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枣木香菇资源加工与综合利用</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白毛木耳粉的制备及相关产品开发研究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低血糖生成指数水晶豆腐预拌粉的研制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黑木耳菌糠多糖纳米硒的制备及其对玉米促生效果研究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红枣精酿啤酒酿造工艺研究及营养风味分析</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26</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乡村振兴背景下吕梁市数字普惠金融、农业技术进步与农业产业融合发展研究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27</w:t>
                  </w:r>
                </w:p>
              </w:tc>
              <w:tc>
                <w:tcPr>
                  <w:tcW w:w="121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畜禽养殖智能装备与标准化技术集成</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18"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社会发展</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屈产泉桶装饮用水技术集成</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山西石楼屈泉饮食有限责任公司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地聚物基轻质高强保温材料开发与应用</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山西建投晋西北建筑产业有限公司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7"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智信职业培训教务管理平台二期研发</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吕梁市智信网络电子科技有限责任公司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 xml:space="preserve">残采区关键域碱性充填材料的储碳性能与机制   </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山西森泽能源科技集团有限公司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针药结合治疗脾胃虚寒型慢性非萎缩性胃炎的疗效观察</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吕梁市文旅康养产业融合发展研究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吕梁师范高等专科学校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小型化微波等离子体医废处置设备示范应用研究项目</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吕梁市医疗废物 集中处置中心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0-7岁儿童健康体检自动评价管理系统研发与应用研究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吕梁市妇幼保健计划生育服务中心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露酒品质监控核心因子解析及快速检测  关键技术研究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山西杏花村汾酒厂股份有限公司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三七总皂苷与葛根素对股骨头坏死模型  大鼠骨组织的影响</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121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替罗非班通过PPARγ调控CD40/CD40L通路治疗急性缺血性卒中的机制研究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1218"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社会发展</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具身视角下护士心理压力的干预研究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人力资源紧急调配状态下护士应急准备度现状及影响因素研究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山西省汾阳医院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基于血栓分子标志物的老年人静脉血栓  形成列线图模型构建</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山西省汾阳医院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汾阳市城市居民癌症五类常见癌症的高危人群筛查及早诊研究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山西省汾阳医院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基于Super-score模型的动态预警方案对CCU患者急性心力衰竭转化风险的影响研究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山西省汾阳医院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脆性髋部骨折患者人群中受伤时间与    死亡率相关性研究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山西省汾阳医院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吕梁地区代谢综合征并发银屑病队列研究及易感基因相关性研究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山西省汾阳医院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导管相关性血流感染病原菌分布及危险  因素分析</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山西省汾阳医院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替米沙坦对糖尿病大鼠睾丸形态及Ghrelin受体表达的影响</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山西医科大学   汾阳学院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运动重塑肠道微生物群在代谢性疾病中的作用机制—基于肠道微生物移植的开拓性实验</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山西医科大学   汾阳学院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山西省高校学生HIV检测意愿与检测行为的研究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山西医科大学   汾阳学院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基于Wnt/β-catenin信号通路研究沙棘熊果酸抑制肺癌干细胞生物学功能的作用机制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山西医科大学   汾阳学院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吕梁市已婚妇女宫颈高级别鳞状上皮内病变手术治疗后复发恐惧的现状及影响因素分析</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山西医科大学   汾阳学院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养老院老年人皮肤损伤现状及分级护理管理方案的探索性研究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山西医科大学   汾阳学院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26</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吕梁市中年人在线健康信息搜寻行为研究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山西医科大学   汾阳学院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27</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ADAR1与CX3CL1在NSCLC侵袭转移中的机制研究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山西医科大学   汾阳学院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28</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人脐带间充质干细胞外泌体对缺血性脑卒中小鼠再灌注后血脑屏障的保护作用及机制研究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山西医科大学   汾阳学院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29</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晋绥革命根据地文艺</w:t>
                  </w:r>
                  <w:r>
                    <w:rPr>
                      <w:rStyle w:val="10"/>
                      <w:rFonts w:hint="eastAsia" w:ascii="仿宋_GB2312" w:hAnsi="仿宋_GB2312" w:eastAsia="仿宋_GB2312" w:cs="仿宋_GB2312"/>
                      <w:sz w:val="24"/>
                      <w:szCs w:val="24"/>
                      <w:lang w:val="en-US" w:eastAsia="zh-CN" w:bidi="ar"/>
                    </w:rPr>
                    <w:t>史料收集、</w:t>
                  </w:r>
                  <w:r>
                    <w:rPr>
                      <w:rFonts w:hint="eastAsia" w:ascii="仿宋_GB2312" w:hAnsi="仿宋_GB2312" w:eastAsia="仿宋_GB2312" w:cs="仿宋_GB2312"/>
                      <w:i w:val="0"/>
                      <w:iCs w:val="0"/>
                      <w:color w:val="000000"/>
                      <w:kern w:val="0"/>
                      <w:sz w:val="24"/>
                      <w:szCs w:val="24"/>
                      <w:u w:val="none"/>
                      <w:lang w:val="en-US" w:eastAsia="zh-CN" w:bidi="ar"/>
                    </w:rPr>
                    <w:t>整理与研究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文旅融合视域下黄河文化山西吕梁段的开发传承路径研究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31</w:t>
                  </w:r>
                </w:p>
              </w:tc>
              <w:tc>
                <w:tcPr>
                  <w:tcW w:w="121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文旅融合背景下吕梁市红色研学创新路径探究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32</w:t>
                  </w:r>
                </w:p>
              </w:tc>
              <w:tc>
                <w:tcPr>
                  <w:tcW w:w="1218"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社会发展</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煤矿安全监控人员认知抑制的影响机制及干预策略</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33</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优质均衡背景下吕梁市义务教育集团化办学风险研究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34</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吕梁市义务教育阶段学生综合素质评价体系研究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35</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优质均衡发展视角下吕梁市义务教育资源配置路径优化研究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36</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铝土矿区复垦土地重金属生态风险评价与细菌群落特征研究—以《吕梁市兴县铝土矿区》为例</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37</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线性文化遗产保护视域下的吕梁红色文化遗产保护与利用研究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38</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乡村振兴背景下老年旅居康养社区规划设计研究——以柳林县薛村镇后小成村为例</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39</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面向矿山应急救援人员安全监测的生物质炭基柔性传感器制备与研究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40</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新时代吕梁红色文化产业调查研究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41</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石楼县抗日民族统一战线数字化展馆设计及营销策略研究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42</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大武古镇文旅资源调研与开发</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43</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吕梁红色教育培训发展现状及对策研究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44</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吕梁各县寄宿制中小学餐厅</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食品安全智慧化监管研究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45</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酿酒酵母对吕梁地区黄河流域及周边水域中低浓度铝的富集效应及耐受机制研究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46</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基于靶向代谢组学探析玫瑰纯露成分构成的  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47</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大健康背景下广场舞对老年人跌倒风险干预  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48</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助力乡村振兴吕梁市农村“体育+康养+旅游”资源融合研究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49</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吕梁红色文化遗产数字化传播路径研究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50</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临县义居寺石窟考察与文化旅游开发研究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51</w:t>
                  </w:r>
                </w:p>
              </w:tc>
              <w:tc>
                <w:tcPr>
                  <w:tcW w:w="121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柳林木版年画的传承保护及文旅产品开发研究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52</w:t>
                  </w:r>
                </w:p>
              </w:tc>
              <w:tc>
                <w:tcPr>
                  <w:tcW w:w="1218"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社会发展</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吕梁市农林文旅康产业融合发展模式与机制研究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53</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黄河文化（吕梁段）保护传承与文旅融合路径研究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54</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新媒体视域下孝义碗碗腔皮影木偶艺术传承与发展研究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55</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新时代乡村振兴背景下吕梁市“清廉村居”建设研究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56</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吕梁红色资源的深度整合与创新开发研究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57</w:t>
                  </w:r>
                </w:p>
              </w:tc>
              <w:tc>
                <w:tcPr>
                  <w:tcW w:w="121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消防员慢性应激现状分析与心理健康敢于机制的研究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58</w:t>
                  </w:r>
                </w:p>
              </w:tc>
              <w:tc>
                <w:tcPr>
                  <w:tcW w:w="121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吕梁历史名人英语读本开发研究</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97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合     计</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123</w:t>
                  </w:r>
                </w:p>
              </w:tc>
            </w:tr>
          </w:tbl>
          <w:p>
            <w:pPr>
              <w:widowControl/>
              <w:shd w:val="clear" w:color="auto" w:fill="FFFFFF"/>
              <w:spacing w:line="660" w:lineRule="exact"/>
              <w:jc w:val="center"/>
              <w:rPr>
                <w:rFonts w:hint="eastAsia" w:ascii="方正小标宋简体" w:hAnsi="方正小标宋简体" w:eastAsia="方正小标宋简体" w:cs="方正小标宋简体"/>
                <w:color w:val="auto"/>
                <w:kern w:val="0"/>
                <w:sz w:val="44"/>
                <w:szCs w:val="44"/>
                <w:lang w:val="en-US" w:eastAsia="zh-CN"/>
              </w:rPr>
            </w:pP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0" w:beforeAutospacing="0" w:after="0" w:afterAutospacing="0" w:line="560" w:lineRule="exact"/>
        <w:ind w:left="0" w:right="0" w:firstLine="420"/>
        <w:jc w:val="center"/>
        <w:textAlignment w:val="auto"/>
        <w:rPr>
          <w:rStyle w:val="7"/>
          <w:rFonts w:hint="eastAsia" w:ascii="仿宋_GB2312" w:hAnsi="仿宋_GB2312" w:eastAsia="仿宋_GB2312" w:cs="仿宋_GB2312"/>
          <w:i w:val="0"/>
          <w:iCs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0" w:beforeAutospacing="0" w:after="0" w:afterAutospacing="0" w:line="560" w:lineRule="exact"/>
        <w:ind w:left="0" w:right="0" w:firstLine="420"/>
        <w:jc w:val="center"/>
        <w:textAlignment w:val="auto"/>
        <w:rPr>
          <w:rStyle w:val="7"/>
          <w:rFonts w:hint="eastAsia" w:ascii="仿宋_GB2312" w:hAnsi="仿宋_GB2312" w:eastAsia="仿宋_GB2312" w:cs="仿宋_GB2312"/>
          <w:i w:val="0"/>
          <w:iCs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0" w:beforeAutospacing="0" w:after="0" w:afterAutospacing="0" w:line="560" w:lineRule="exact"/>
        <w:ind w:left="0" w:right="0" w:firstLine="420"/>
        <w:jc w:val="center"/>
        <w:textAlignment w:val="auto"/>
        <w:rPr>
          <w:rStyle w:val="7"/>
          <w:rFonts w:hint="eastAsia" w:ascii="仿宋_GB2312" w:hAnsi="仿宋_GB2312" w:eastAsia="仿宋_GB2312" w:cs="仿宋_GB2312"/>
          <w:i w:val="0"/>
          <w:iCs w:val="0"/>
          <w:caps w:val="0"/>
          <w:color w:val="333333"/>
          <w:spacing w:val="0"/>
          <w:sz w:val="32"/>
          <w:szCs w:val="32"/>
          <w:shd w:val="clear" w:fill="FFFFFF"/>
        </w:rPr>
      </w:pPr>
    </w:p>
    <w:p>
      <w:pPr>
        <w:widowControl/>
        <w:textAlignment w:val="center"/>
        <w:rPr>
          <w:rFonts w:hint="eastAsia" w:ascii="黑体" w:hAnsi="黑体" w:eastAsia="黑体" w:cs="黑体"/>
          <w:color w:val="000000"/>
          <w:kern w:val="0"/>
          <w:sz w:val="32"/>
          <w:szCs w:val="32"/>
        </w:rPr>
      </w:pPr>
    </w:p>
    <w:p>
      <w:pPr>
        <w:widowControl/>
        <w:textAlignment w:val="center"/>
        <w:rPr>
          <w:rFonts w:hint="eastAsia" w:ascii="黑体" w:hAnsi="黑体" w:eastAsia="黑体" w:cs="黑体"/>
          <w:color w:val="000000"/>
          <w:kern w:val="0"/>
          <w:sz w:val="32"/>
          <w:szCs w:val="32"/>
        </w:rPr>
      </w:pPr>
    </w:p>
    <w:p>
      <w:pPr>
        <w:widowControl/>
        <w:textAlignment w:val="center"/>
        <w:rPr>
          <w:rFonts w:hint="eastAsia" w:ascii="黑体" w:hAnsi="黑体" w:eastAsia="黑体" w:cs="黑体"/>
          <w:color w:val="000000"/>
          <w:kern w:val="0"/>
          <w:sz w:val="32"/>
          <w:szCs w:val="32"/>
        </w:rPr>
      </w:pPr>
    </w:p>
    <w:p>
      <w:pPr>
        <w:widowControl/>
        <w:textAlignment w:val="center"/>
        <w:rPr>
          <w:rFonts w:hint="eastAsia" w:ascii="黑体" w:hAnsi="黑体" w:eastAsia="黑体" w:cs="黑体"/>
          <w:color w:val="000000"/>
          <w:kern w:val="0"/>
          <w:sz w:val="32"/>
          <w:szCs w:val="32"/>
        </w:rPr>
      </w:pPr>
    </w:p>
    <w:p>
      <w:pPr>
        <w:widowControl/>
        <w:textAlignment w:val="center"/>
        <w:rPr>
          <w:rFonts w:hint="eastAsia" w:ascii="黑体" w:hAnsi="黑体" w:eastAsia="黑体" w:cs="黑体"/>
          <w:color w:val="000000"/>
          <w:kern w:val="0"/>
          <w:sz w:val="32"/>
          <w:szCs w:val="32"/>
        </w:rPr>
      </w:pPr>
    </w:p>
    <w:p>
      <w:pPr>
        <w:widowControl/>
        <w:textAlignment w:val="center"/>
        <w:rPr>
          <w:rFonts w:hint="eastAsia" w:ascii="黑体" w:hAnsi="黑体" w:eastAsia="黑体" w:cs="黑体"/>
          <w:color w:val="000000"/>
          <w:kern w:val="0"/>
          <w:sz w:val="32"/>
          <w:szCs w:val="32"/>
        </w:rPr>
      </w:pPr>
    </w:p>
    <w:p>
      <w:pPr>
        <w:widowControl/>
        <w:textAlignment w:val="center"/>
        <w:rPr>
          <w:rFonts w:hint="eastAsia" w:ascii="黑体" w:hAnsi="黑体" w:eastAsia="黑体" w:cs="黑体"/>
          <w:color w:val="000000"/>
          <w:kern w:val="0"/>
          <w:sz w:val="32"/>
          <w:szCs w:val="32"/>
        </w:rPr>
      </w:pPr>
    </w:p>
    <w:p>
      <w:pPr>
        <w:widowControl/>
        <w:textAlignment w:val="center"/>
        <w:rPr>
          <w:rFonts w:hint="eastAsia" w:ascii="黑体" w:hAnsi="黑体" w:eastAsia="黑体" w:cs="黑体"/>
          <w:color w:val="000000"/>
          <w:kern w:val="0"/>
          <w:sz w:val="32"/>
          <w:szCs w:val="32"/>
        </w:rPr>
      </w:pPr>
    </w:p>
    <w:p>
      <w:pPr>
        <w:widowControl/>
        <w:textAlignment w:val="center"/>
        <w:rPr>
          <w:rFonts w:hint="eastAsia" w:ascii="黑体" w:hAnsi="黑体" w:eastAsia="黑体" w:cs="黑体"/>
          <w:color w:val="000000"/>
          <w:kern w:val="0"/>
          <w:sz w:val="32"/>
          <w:szCs w:val="32"/>
        </w:rPr>
      </w:pPr>
    </w:p>
    <w:p>
      <w:pPr>
        <w:widowControl/>
        <w:textAlignment w:val="center"/>
        <w:rPr>
          <w:rFonts w:hint="eastAsia" w:ascii="黑体" w:hAnsi="黑体" w:eastAsia="黑体" w:cs="黑体"/>
          <w:color w:val="000000"/>
          <w:kern w:val="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兰亭黑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MDEyMjhhODFhYzk5YWM1NGNkMTI1NjM5OTkwNzUifQ=="/>
  </w:docVars>
  <w:rsids>
    <w:rsidRoot w:val="00000000"/>
    <w:rsid w:val="008A03CF"/>
    <w:rsid w:val="0DFA35B0"/>
    <w:rsid w:val="11992B3C"/>
    <w:rsid w:val="11DD23BF"/>
    <w:rsid w:val="1AB10FBD"/>
    <w:rsid w:val="253F1ECD"/>
    <w:rsid w:val="28931431"/>
    <w:rsid w:val="3E233537"/>
    <w:rsid w:val="3FE43A20"/>
    <w:rsid w:val="42E26844"/>
    <w:rsid w:val="4CE55469"/>
    <w:rsid w:val="52A7404A"/>
    <w:rsid w:val="57221A5F"/>
    <w:rsid w:val="5B0A2ABB"/>
    <w:rsid w:val="6963186E"/>
    <w:rsid w:val="6F3219E4"/>
    <w:rsid w:val="72CB1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 w:type="character" w:customStyle="1" w:styleId="8">
    <w:name w:val="font51"/>
    <w:basedOn w:val="6"/>
    <w:qFormat/>
    <w:uiPriority w:val="0"/>
    <w:rPr>
      <w:rFonts w:hint="eastAsia" w:ascii="仿宋_GB2312" w:eastAsia="仿宋_GB2312" w:cs="仿宋_GB2312"/>
      <w:color w:val="000000"/>
      <w:sz w:val="24"/>
      <w:szCs w:val="24"/>
      <w:u w:val="none"/>
    </w:rPr>
  </w:style>
  <w:style w:type="character" w:customStyle="1" w:styleId="9">
    <w:name w:val="font81"/>
    <w:basedOn w:val="6"/>
    <w:qFormat/>
    <w:uiPriority w:val="0"/>
    <w:rPr>
      <w:rFonts w:hint="eastAsia" w:ascii="仿宋_GB2312" w:eastAsia="仿宋_GB2312" w:cs="仿宋_GB2312"/>
      <w:color w:val="000000"/>
      <w:sz w:val="24"/>
      <w:szCs w:val="24"/>
      <w:u w:val="none"/>
    </w:rPr>
  </w:style>
  <w:style w:type="character" w:customStyle="1" w:styleId="10">
    <w:name w:val="font41"/>
    <w:basedOn w:val="6"/>
    <w:qFormat/>
    <w:uiPriority w:val="0"/>
    <w:rPr>
      <w:rFonts w:ascii="方正兰亭黑_GBK" w:hAnsi="方正兰亭黑_GBK" w:eastAsia="方正兰亭黑_GBK" w:cs="方正兰亭黑_GBK"/>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5233</Words>
  <Characters>5548</Characters>
  <Lines>0</Lines>
  <Paragraphs>0</Paragraphs>
  <TotalTime>26</TotalTime>
  <ScaleCrop>false</ScaleCrop>
  <LinksUpToDate>false</LinksUpToDate>
  <CharactersWithSpaces>5713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2023-08-23T11:59:00Z</dcterms:created>
  <dc:creator>张伟</dc:creator>
  <cp:lastModifiedBy>科技</cp:lastModifiedBy>
  <dcterms:modified xsi:type="dcterms:W3CDTF">2023-08-24T10:58:53Z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577BCD268F38467CA8A5AF0D23B68F2C_13</vt:lpwstr>
  </property>
</Properties>
</file>