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b/>
          <w:bCs/>
          <w:sz w:val="36"/>
          <w:szCs w:val="36"/>
          <w:lang w:val="en-US" w:eastAsia="zh-CN"/>
        </w:rPr>
      </w:pPr>
      <w:r>
        <w:rPr>
          <w:rFonts w:hint="eastAsia" w:ascii="方正小标宋简体" w:hAnsi="方正小标宋简体" w:eastAsia="方正小标宋简体" w:cs="方正小标宋简体"/>
          <w:b/>
          <w:bCs/>
          <w:sz w:val="36"/>
          <w:szCs w:val="36"/>
          <w:lang w:val="en-US" w:eastAsia="zh-CN"/>
        </w:rPr>
        <w:t>吕梁市军民融合协同创新研究院</w:t>
      </w:r>
    </w:p>
    <w:p>
      <w:pPr>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b/>
          <w:bCs/>
          <w:sz w:val="36"/>
          <w:szCs w:val="36"/>
          <w:lang w:val="en-US" w:eastAsia="zh-CN"/>
        </w:rPr>
      </w:pPr>
      <w:r>
        <w:rPr>
          <w:rFonts w:hint="eastAsia" w:ascii="方正小标宋简体" w:hAnsi="方正小标宋简体" w:eastAsia="方正小标宋简体" w:cs="方正小标宋简体"/>
          <w:b/>
          <w:bCs/>
          <w:sz w:val="36"/>
          <w:szCs w:val="36"/>
          <w:lang w:val="en-US" w:eastAsia="zh-CN"/>
        </w:rPr>
        <w:t>2020年重点项目绩效自评报告</w:t>
      </w:r>
    </w:p>
    <w:p>
      <w:pPr>
        <w:pStyle w:val="2"/>
        <w:rPr>
          <w:rFonts w:hint="default"/>
          <w:sz w:val="10"/>
          <w:szCs w:val="10"/>
          <w:lang w:val="en-US" w:eastAsia="zh-CN"/>
        </w:rPr>
      </w:pPr>
      <w:r>
        <w:rPr>
          <w:rFonts w:hint="eastAsia" w:ascii="仿宋" w:hAnsi="仿宋" w:eastAsia="仿宋" w:cs="仿宋"/>
          <w:b/>
          <w:bCs/>
          <w:sz w:val="30"/>
          <w:szCs w:val="30"/>
          <w:lang w:val="en-US" w:eastAsia="zh-CN"/>
        </w:rPr>
        <w:t xml:space="preserve">   </w:t>
      </w:r>
    </w:p>
    <w:p>
      <w:pPr>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根据</w:t>
      </w:r>
      <w:r>
        <w:rPr>
          <w:rFonts w:hint="eastAsia" w:ascii="仿宋" w:hAnsi="仿宋" w:eastAsia="仿宋" w:cs="仿宋"/>
          <w:b w:val="0"/>
          <w:bCs w:val="0"/>
          <w:color w:val="auto"/>
          <w:sz w:val="28"/>
          <w:szCs w:val="28"/>
          <w:lang w:val="en-US" w:eastAsia="zh-CN"/>
        </w:rPr>
        <w:t>《吕梁市财政局关于报送2020年预算项目支出绩效自评情况的通知》（吕财绩【2021】3号）</w:t>
      </w:r>
      <w:r>
        <w:rPr>
          <w:rFonts w:hint="eastAsia" w:ascii="仿宋" w:hAnsi="仿宋" w:eastAsia="仿宋" w:cs="仿宋"/>
          <w:b w:val="0"/>
          <w:bCs w:val="0"/>
          <w:sz w:val="28"/>
          <w:szCs w:val="28"/>
          <w:lang w:val="en-US" w:eastAsia="zh-CN"/>
        </w:rPr>
        <w:t>的要求，结合我院2020年科技研发资金项目实际完成情况，展开了自评工作。现报告如下：</w:t>
      </w:r>
    </w:p>
    <w:p>
      <w:pPr>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一、总体绩效目标</w:t>
      </w:r>
    </w:p>
    <w:p>
      <w:pPr>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研究院2020年科技研发资金项目以保安全、谋发展、求创新为前提，通过政府投入积极推进军民融合式发展和协同创新，加快国防科学技术大学应用技术研发及重大科技成果转化，促进吕梁加快转变经济发展方式，培养和发展战略性新兴产业，开展科技攻关活动和科技成果转化及产业化工作。</w:t>
      </w:r>
    </w:p>
    <w:p>
      <w:pPr>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研究院2020年重点项目绩效目标是：贯彻落实国家创新驱动发展战略，推动高性能云计算中心、能源互联网等重点项目的建设及完善，保障山西省智能计算、微纳卫星工程技术研究中心的稳定运行，实现云计算平台、超算平台的安全高效输出，加速政务信息共享交换平台的建设及数据归集。</w:t>
      </w:r>
    </w:p>
    <w:p>
      <w:pPr>
        <w:pageBreakBefore w:val="0"/>
        <w:widowControl w:val="0"/>
        <w:kinsoku/>
        <w:wordWrap/>
        <w:overflowPunct/>
        <w:topLinePunct w:val="0"/>
        <w:autoSpaceDE/>
        <w:autoSpaceDN/>
        <w:bidi w:val="0"/>
        <w:adjustRightInd/>
        <w:snapToGrid/>
        <w:spacing w:line="480" w:lineRule="exact"/>
        <w:ind w:firstLine="560" w:firstLineChars="200"/>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二、绩效目标完成情况分析</w:t>
      </w:r>
    </w:p>
    <w:p>
      <w:pPr>
        <w:keepNext/>
        <w:keepLines/>
        <w:pageBreakBefore w:val="0"/>
        <w:widowControl w:val="0"/>
        <w:kinsoku/>
        <w:wordWrap/>
        <w:overflowPunct/>
        <w:topLinePunct w:val="0"/>
        <w:autoSpaceDE/>
        <w:autoSpaceDN/>
        <w:bidi w:val="0"/>
        <w:adjustRightInd/>
        <w:snapToGrid/>
        <w:spacing w:line="480" w:lineRule="exact"/>
        <w:ind w:firstLine="560" w:firstLineChars="200"/>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（一）资金投入情况分析</w:t>
      </w:r>
    </w:p>
    <w:p>
      <w:pPr>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1、项目资金预算、到位及执行情况分析</w:t>
      </w:r>
    </w:p>
    <w:p>
      <w:pPr>
        <w:pageBreakBefore w:val="0"/>
        <w:widowControl w:val="0"/>
        <w:kinsoku/>
        <w:wordWrap/>
        <w:overflowPunct/>
        <w:topLinePunct w:val="0"/>
        <w:autoSpaceDE/>
        <w:autoSpaceDN/>
        <w:bidi w:val="0"/>
        <w:adjustRightInd/>
        <w:snapToGrid/>
        <w:spacing w:line="480" w:lineRule="exact"/>
        <w:ind w:firstLine="560" w:firstLineChars="200"/>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我院2020年重点项目批复3255.738元，其中本年预算2800万元，上年结转资金455.738万元。年中收回560万元，年终核减562.26万元，除去核减收回资金，2020年重点项目资金（含上年结转）共批复2133.48万元，支出2105.58万元。具体情况见表2-1。</w:t>
      </w:r>
    </w:p>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default"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表2-1 重点项目资金批复、到位及执行情况表 （单位万元）</w:t>
      </w:r>
    </w:p>
    <w:tbl>
      <w:tblPr>
        <w:tblStyle w:val="8"/>
        <w:tblW w:w="44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634"/>
        <w:gridCol w:w="1616"/>
        <w:gridCol w:w="1122"/>
        <w:gridCol w:w="1070"/>
        <w:gridCol w:w="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58" w:type="pct"/>
            <w:shd w:val="clear" w:color="auto" w:fill="A4A4A4" w:themeFill="background1" w:themeFillShade="A5"/>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批复资金</w:t>
            </w:r>
          </w:p>
        </w:tc>
        <w:tc>
          <w:tcPr>
            <w:tcW w:w="1084" w:type="pct"/>
            <w:shd w:val="clear" w:color="auto" w:fill="A4A4A4" w:themeFill="background1" w:themeFillShade="A5"/>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到位资金</w:t>
            </w:r>
          </w:p>
        </w:tc>
        <w:tc>
          <w:tcPr>
            <w:tcW w:w="1072" w:type="pct"/>
            <w:shd w:val="clear" w:color="auto" w:fill="A4A4A4" w:themeFill="background1" w:themeFillShade="A5"/>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支出资金</w:t>
            </w:r>
          </w:p>
        </w:tc>
        <w:tc>
          <w:tcPr>
            <w:tcW w:w="744" w:type="pct"/>
            <w:shd w:val="clear" w:color="auto" w:fill="A4A4A4" w:themeFill="background1" w:themeFillShade="A5"/>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资金到位率</w:t>
            </w:r>
          </w:p>
        </w:tc>
        <w:tc>
          <w:tcPr>
            <w:tcW w:w="710" w:type="pct"/>
            <w:shd w:val="clear" w:color="auto" w:fill="A4A4A4" w:themeFill="background1" w:themeFillShade="A5"/>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预算支出率</w:t>
            </w:r>
          </w:p>
        </w:tc>
        <w:tc>
          <w:tcPr>
            <w:tcW w:w="329" w:type="pct"/>
            <w:shd w:val="clear" w:color="auto" w:fill="A4A4A4" w:themeFill="background1" w:themeFillShade="A5"/>
            <w:vAlign w:val="center"/>
          </w:tcPr>
          <w:p>
            <w:pPr>
              <w:pageBreakBefore w:val="0"/>
              <w:widowControl w:val="0"/>
              <w:kinsoku/>
              <w:wordWrap/>
              <w:overflowPunct/>
              <w:topLinePunct w:val="0"/>
              <w:autoSpaceDE/>
              <w:autoSpaceDN/>
              <w:bidi w:val="0"/>
              <w:adjustRightInd/>
              <w:snapToGrid/>
              <w:spacing w:line="480" w:lineRule="exact"/>
              <w:jc w:val="both"/>
              <w:textAlignment w:val="auto"/>
              <w:outlineLvl w:val="9"/>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8" w:type="pct"/>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3255.738</w:t>
            </w:r>
          </w:p>
        </w:tc>
        <w:tc>
          <w:tcPr>
            <w:tcW w:w="1084" w:type="pct"/>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2133.48</w:t>
            </w:r>
          </w:p>
        </w:tc>
        <w:tc>
          <w:tcPr>
            <w:tcW w:w="1072" w:type="pct"/>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2105.58</w:t>
            </w:r>
          </w:p>
        </w:tc>
        <w:tc>
          <w:tcPr>
            <w:tcW w:w="744" w:type="pct"/>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65.53%</w:t>
            </w:r>
          </w:p>
        </w:tc>
        <w:tc>
          <w:tcPr>
            <w:tcW w:w="710" w:type="pct"/>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98.69%</w:t>
            </w:r>
          </w:p>
        </w:tc>
        <w:tc>
          <w:tcPr>
            <w:tcW w:w="329" w:type="pct"/>
            <w:vAlign w:val="center"/>
          </w:tcPr>
          <w:p>
            <w:pPr>
              <w:pageBreakBefore w:val="0"/>
              <w:widowControl w:val="0"/>
              <w:kinsoku/>
              <w:wordWrap/>
              <w:overflowPunct/>
              <w:topLinePunct w:val="0"/>
              <w:autoSpaceDE/>
              <w:autoSpaceDN/>
              <w:bidi w:val="0"/>
              <w:adjustRightInd/>
              <w:snapToGrid/>
              <w:spacing w:line="480" w:lineRule="exact"/>
              <w:jc w:val="center"/>
              <w:textAlignment w:val="auto"/>
              <w:outlineLvl w:val="9"/>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w:t>
            </w:r>
          </w:p>
        </w:tc>
      </w:tr>
    </w:tbl>
    <w:p>
      <w:pPr>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2、项目资金管理情况分析</w:t>
      </w:r>
    </w:p>
    <w:p>
      <w:pPr>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（1）资金拨付流程</w:t>
      </w:r>
    </w:p>
    <w:p>
      <w:pPr>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首先我院将有效的报账凭据及相关资料进行审核，九鼎支付系统中进行计划申报，报送市财政局审核，经审核后，进行资金支付。</w:t>
      </w:r>
    </w:p>
    <w:p>
      <w:pPr>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（2）资金管理情况</w:t>
      </w:r>
    </w:p>
    <w:p>
      <w:pPr>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实行严格的事前报批制度、支出审批制度，单笔支付50万元以上及专项资金的重大事项由项目负责人提交院务会研究决定。</w:t>
      </w:r>
    </w:p>
    <w:p>
      <w:pPr>
        <w:keepNext/>
        <w:keepLines/>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（二）总体绩效目标完成情况分析 </w:t>
      </w:r>
    </w:p>
    <w:p>
      <w:pPr>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通过自查，我院2020年重点项目基本完成了目标任务，</w:t>
      </w:r>
      <w:r>
        <w:rPr>
          <w:rFonts w:hint="eastAsia" w:ascii="仿宋" w:hAnsi="仿宋" w:eastAsia="仿宋" w:cs="仿宋"/>
          <w:b w:val="0"/>
          <w:bCs w:val="0"/>
          <w:sz w:val="28"/>
          <w:szCs w:val="28"/>
          <w:highlight w:val="none"/>
          <w:lang w:val="en-US" w:eastAsia="zh-CN"/>
        </w:rPr>
        <w:t>自我评价为92.4分</w:t>
      </w:r>
      <w:r>
        <w:rPr>
          <w:rFonts w:hint="eastAsia" w:ascii="仿宋" w:hAnsi="仿宋" w:eastAsia="仿宋" w:cs="仿宋"/>
          <w:b w:val="0"/>
          <w:bCs w:val="0"/>
          <w:sz w:val="28"/>
          <w:szCs w:val="28"/>
          <w:lang w:val="en-US" w:eastAsia="zh-CN"/>
        </w:rPr>
        <w:t>。</w:t>
      </w:r>
    </w:p>
    <w:p>
      <w:pPr>
        <w:keepNext/>
        <w:keepLines/>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（三）绩效指标完成情况分析</w:t>
      </w:r>
    </w:p>
    <w:p>
      <w:pPr>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1.产出指标完成情况分析</w:t>
      </w:r>
    </w:p>
    <w:p>
      <w:pPr>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（1）数量指标</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一共包含9个项目，其中：</w:t>
      </w:r>
      <w:r>
        <w:rPr>
          <w:rFonts w:hint="eastAsia" w:ascii="仿宋" w:hAnsi="仿宋" w:eastAsia="仿宋" w:cs="仿宋"/>
          <w:b/>
          <w:bCs/>
          <w:sz w:val="28"/>
          <w:szCs w:val="28"/>
          <w:lang w:val="en-US" w:eastAsia="zh-CN"/>
        </w:rPr>
        <w:t>包括质保金</w:t>
      </w:r>
      <w:r>
        <w:rPr>
          <w:rFonts w:hint="eastAsia" w:ascii="仿宋" w:hAnsi="仿宋" w:eastAsia="仿宋" w:cs="仿宋"/>
          <w:b w:val="0"/>
          <w:bCs w:val="0"/>
          <w:sz w:val="28"/>
          <w:szCs w:val="28"/>
          <w:lang w:val="en-US" w:eastAsia="zh-CN"/>
        </w:rPr>
        <w:t>（消防器材质保金；机房空调机组质保金；低压动力柜质保金；水冷系统配件质保金；地面站线路改造和监控设备质保金；展厅翻新工程质保金）、</w:t>
      </w:r>
      <w:r>
        <w:rPr>
          <w:rFonts w:hint="eastAsia" w:ascii="仿宋" w:hAnsi="仿宋" w:eastAsia="仿宋" w:cs="仿宋"/>
          <w:b/>
          <w:bCs/>
          <w:sz w:val="28"/>
          <w:szCs w:val="28"/>
          <w:lang w:val="en-US" w:eastAsia="zh-CN"/>
        </w:rPr>
        <w:t>以前采购设备项目运维、维保费</w:t>
      </w:r>
      <w:r>
        <w:rPr>
          <w:rFonts w:hint="eastAsia" w:ascii="仿宋" w:hAnsi="仿宋" w:eastAsia="仿宋" w:cs="仿宋"/>
          <w:b w:val="0"/>
          <w:bCs w:val="0"/>
          <w:sz w:val="28"/>
          <w:szCs w:val="28"/>
          <w:lang w:val="en-US" w:eastAsia="zh-CN"/>
        </w:rPr>
        <w:t>（市政府OA办公系统后台支撑；网络安全设备续保；华为存储系统续保；微纳卫星地面站日常维护）、</w:t>
      </w:r>
      <w:r>
        <w:rPr>
          <w:rFonts w:hint="eastAsia" w:ascii="仿宋" w:hAnsi="仿宋" w:eastAsia="仿宋" w:cs="仿宋"/>
          <w:b/>
          <w:bCs/>
          <w:sz w:val="28"/>
          <w:szCs w:val="28"/>
          <w:lang w:val="en-US" w:eastAsia="zh-CN"/>
        </w:rPr>
        <w:t>云计算平台备品备件购置</w:t>
      </w:r>
      <w:r>
        <w:rPr>
          <w:rFonts w:hint="eastAsia" w:ascii="仿宋" w:hAnsi="仿宋" w:eastAsia="仿宋" w:cs="仿宋"/>
          <w:b w:val="0"/>
          <w:bCs w:val="0"/>
          <w:sz w:val="28"/>
          <w:szCs w:val="28"/>
          <w:lang w:val="en-US" w:eastAsia="zh-CN"/>
        </w:rPr>
        <w:t>、</w:t>
      </w:r>
      <w:r>
        <w:rPr>
          <w:rFonts w:hint="eastAsia" w:ascii="仿宋" w:hAnsi="仿宋" w:eastAsia="仿宋" w:cs="仿宋"/>
          <w:b/>
          <w:bCs/>
          <w:sz w:val="28"/>
          <w:szCs w:val="28"/>
          <w:lang w:val="en-US" w:eastAsia="zh-CN"/>
        </w:rPr>
        <w:t>云平台安全加固</w:t>
      </w:r>
      <w:r>
        <w:rPr>
          <w:rFonts w:hint="eastAsia" w:ascii="仿宋" w:hAnsi="仿宋" w:eastAsia="仿宋" w:cs="仿宋"/>
          <w:b w:val="0"/>
          <w:bCs w:val="0"/>
          <w:sz w:val="28"/>
          <w:szCs w:val="28"/>
          <w:lang w:val="en-US" w:eastAsia="zh-CN"/>
        </w:rPr>
        <w:t>（山石现有安全网关、IPS设备购置）、</w:t>
      </w:r>
      <w:r>
        <w:rPr>
          <w:rFonts w:hint="eastAsia" w:ascii="仿宋" w:hAnsi="仿宋" w:eastAsia="仿宋" w:cs="仿宋"/>
          <w:b/>
          <w:bCs/>
          <w:sz w:val="28"/>
          <w:szCs w:val="28"/>
          <w:lang w:val="en-US" w:eastAsia="zh-CN"/>
        </w:rPr>
        <w:t>能源互联网展厅、电池储能室、局域网控制室灭火装置和火灾报警系统</w:t>
      </w:r>
      <w:r>
        <w:rPr>
          <w:rFonts w:hint="eastAsia" w:ascii="仿宋" w:hAnsi="仿宋" w:eastAsia="仿宋" w:cs="仿宋"/>
          <w:b w:val="0"/>
          <w:bCs w:val="0"/>
          <w:sz w:val="28"/>
          <w:szCs w:val="28"/>
          <w:lang w:val="en-US" w:eastAsia="zh-CN"/>
        </w:rPr>
        <w:t>5个项目已按既定目标圆满完成任务。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2" w:firstLineChars="200"/>
        <w:jc w:val="both"/>
        <w:textAlignment w:val="auto"/>
        <w:outlineLvl w:val="9"/>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2019年已中标项目进度款</w:t>
      </w:r>
      <w:r>
        <w:rPr>
          <w:rFonts w:hint="eastAsia" w:ascii="仿宋" w:hAnsi="仿宋" w:eastAsia="仿宋" w:cs="仿宋"/>
          <w:b w:val="0"/>
          <w:bCs w:val="0"/>
          <w:sz w:val="28"/>
          <w:szCs w:val="28"/>
          <w:lang w:val="en-US" w:eastAsia="zh-CN"/>
        </w:rPr>
        <w:t>（政务信息共享交换平台初验、终验及监理款；天河政务云平台扩容项目；高性能平台管理系统硬件升级改造；天河二号机组运维费；能源互联网运维费；云计算中心机房改造工程拖欠款。信息系统网络安全等保测评尾款）、</w:t>
      </w:r>
      <w:r>
        <w:rPr>
          <w:rFonts w:hint="eastAsia" w:ascii="仿宋" w:hAnsi="仿宋" w:eastAsia="仿宋" w:cs="仿宋"/>
          <w:b/>
          <w:bCs/>
          <w:sz w:val="28"/>
          <w:szCs w:val="28"/>
          <w:lang w:val="en-US" w:eastAsia="zh-CN"/>
        </w:rPr>
        <w:t>天河二号高性能云计算（</w:t>
      </w:r>
      <w:r>
        <w:rPr>
          <w:rFonts w:hint="eastAsia" w:ascii="仿宋" w:hAnsi="仿宋" w:eastAsia="仿宋" w:cs="仿宋"/>
          <w:b w:val="0"/>
          <w:bCs w:val="0"/>
          <w:sz w:val="28"/>
          <w:szCs w:val="28"/>
          <w:lang w:val="en-US" w:eastAsia="zh-CN"/>
        </w:rPr>
        <w:t>天河二号VPN；超算平台可视化登录及管理系统；负一层过渡机房UPS电源蓄电池扩容；风冷精密空调</w:t>
      </w:r>
      <w:r>
        <w:rPr>
          <w:rFonts w:hint="eastAsia" w:ascii="仿宋" w:hAnsi="仿宋" w:eastAsia="仿宋" w:cs="仿宋"/>
          <w:b/>
          <w:bCs/>
          <w:sz w:val="28"/>
          <w:szCs w:val="28"/>
          <w:lang w:val="en-US" w:eastAsia="zh-CN"/>
        </w:rPr>
        <w:t>）、山西省智能计算及微纳卫星工程技术中心</w:t>
      </w:r>
      <w:r>
        <w:rPr>
          <w:rFonts w:hint="eastAsia" w:ascii="仿宋" w:hAnsi="仿宋" w:eastAsia="仿宋" w:cs="仿宋"/>
          <w:b w:val="0"/>
          <w:bCs w:val="0"/>
          <w:sz w:val="28"/>
          <w:szCs w:val="28"/>
          <w:lang w:val="en-US" w:eastAsia="zh-CN"/>
        </w:rPr>
        <w:t>（专著、专利、软著及论文相关费用，外聘专家劳务及差旅费用，举办相关论坛及会议费用，信创适配基地、互联网+智慧能源技术创新中心改造装饰费用及办公设施购置费用）、</w:t>
      </w:r>
      <w:r>
        <w:rPr>
          <w:rFonts w:hint="eastAsia" w:ascii="仿宋" w:hAnsi="仿宋" w:eastAsia="仿宋" w:cs="仿宋"/>
          <w:b/>
          <w:bCs/>
          <w:sz w:val="28"/>
          <w:szCs w:val="28"/>
          <w:lang w:val="en-US" w:eastAsia="zh-CN"/>
        </w:rPr>
        <w:t>政务信息平台等保测评、第三方软件测评及专家评审费</w:t>
      </w:r>
      <w:r>
        <w:rPr>
          <w:rFonts w:hint="eastAsia" w:ascii="仿宋" w:hAnsi="仿宋" w:eastAsia="仿宋" w:cs="仿宋"/>
          <w:b w:val="0"/>
          <w:bCs w:val="0"/>
          <w:sz w:val="28"/>
          <w:szCs w:val="28"/>
          <w:lang w:val="en-US" w:eastAsia="zh-CN"/>
        </w:rPr>
        <w:t>等四个项目按照既定目标基本完成。</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（2）质量指标</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质量指标共包含8各项目，有7项达到既定指标，未达目标的一项主要由于政务共享交换平台建设未达预期导致。</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（3）时效指标</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时效指标包含3项，基本全部完成，主要内容包括：云平台发生故障后1小时内恢复；90%的天河二号超级计算机用户在2小时内完成资源分配；设备故障后，提供维保服务的厂家1小时内响应，24小时内解决问题。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（4）成本指标</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云平台备品备件支出不超过2019年；山西省微纳卫星工程技术研究中心、山西省智能计算工程技术研究中心在顺利通过省科技厅年度考核的前提下，全年支出少于2019年。</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（1）经济效益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共包含2个项目，均按既定目标完成任务。内容包括：接入单位信息化建设硬件部分支出减少50%；“天河二号”吕梁机组年度合同额不低于400万元。</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（2）社会效益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default"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共包含3各项目，全部按既定目标完成任务。包括：完成政务信息共享交换平台初步建设，实现与省平台的互联互通，通过收集及共享各类政务数据，为政务服务、民生保障提供数据支撑；保证现有天河云平台、政务云平台的安全稳定运行；稳定、高效的为各类科研活动提供算力支撑服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3、满意度指标完成情况分析</w:t>
      </w:r>
    </w:p>
    <w:p>
      <w:pPr>
        <w:pStyle w:val="2"/>
        <w:numPr>
          <w:ilvl w:val="0"/>
          <w:numId w:val="0"/>
        </w:numPr>
        <w:ind w:firstLine="560" w:firstLineChars="200"/>
        <w:jc w:val="left"/>
        <w:rPr>
          <w:rFonts w:hint="eastAsia"/>
          <w:lang w:val="en-US" w:eastAsia="zh-CN"/>
        </w:rPr>
      </w:pPr>
      <w:r>
        <w:rPr>
          <w:rFonts w:hint="eastAsia" w:ascii="仿宋" w:hAnsi="仿宋" w:eastAsia="仿宋" w:cs="仿宋"/>
          <w:b w:val="0"/>
          <w:bCs w:val="0"/>
          <w:kern w:val="2"/>
          <w:sz w:val="28"/>
          <w:szCs w:val="28"/>
          <w:lang w:val="en-US" w:eastAsia="zh-CN" w:bidi="ar-SA"/>
        </w:rPr>
        <w:t>包含3个项目，1项圆满完成，2项基本完成。内容包括：用户对云平台运行满意度超过90%；用户对云平台的安全满意度超过95%；天河二号高性能计算机用户满意度超过95%。</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280" w:firstLineChars="1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三、偏离绩效目标的原因和下一步改进措施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（一）偏离绩效目标的原因</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产出指标中2019年已中标项目进度款支付偏离绩效目标的原因是：政务信息共享交换平台建设不及预期，不具备终验条件，项目实施过程中根据实际情况对部分设备进行核减；天河二号高性能云计算项目偏离绩效目标的原因是：风冷空调、蓄电池市场价格下调，未全部有效利用预算资金；山西省智能计算及微纳卫星工程技术中心项目偏离绩效目标的原因是：年度未出版专著；政务信息平台等保测评、第三方软件测评偏离绩效目标的原因是：第三方软件测评未实施完成。</w:t>
      </w:r>
    </w:p>
    <w:p>
      <w:pPr>
        <w:keepNext/>
        <w:keepLines/>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时效指标中天河二号高性能云计算项目偏离绩效目标的原因是对部分专业性较强的科学研究，我们的技术人员需花费较长时间与资源需求方做技术沟通，实现2小时完成资源分配有较大压力。</w:t>
      </w:r>
    </w:p>
    <w:p>
      <w:pPr>
        <w:keepNext/>
        <w:keepLines/>
        <w:pageBreakBefore w:val="0"/>
        <w:widowControl w:val="0"/>
        <w:kinsoku/>
        <w:wordWrap/>
        <w:overflowPunct/>
        <w:topLinePunct w:val="0"/>
        <w:autoSpaceDE/>
        <w:autoSpaceDN/>
        <w:bidi w:val="0"/>
        <w:adjustRightInd/>
        <w:snapToGrid/>
        <w:spacing w:line="480" w:lineRule="exact"/>
        <w:ind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满意度指标中云计算平台、云平台安全加固项目偏离绩效目标的原因是技术人员的技术能力还需提升，此外与用户的沟通还不够及时。</w:t>
      </w:r>
    </w:p>
    <w:p>
      <w:pPr>
        <w:keepNext/>
        <w:keepLines/>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（二）下一步改进措施</w:t>
      </w:r>
    </w:p>
    <w:p>
      <w:pPr>
        <w:keepNext/>
        <w:keepLines/>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lang w:val="en-US" w:eastAsia="zh-CN"/>
        </w:rPr>
        <w:t>提升技术人员专业能力，完善与服务对象的沟通机制；重点项目资金向云平台加固所需的安全设备倾斜；积极与高校对接，向政府申请专项资金支持，</w:t>
      </w:r>
      <w:r>
        <w:rPr>
          <w:rFonts w:hint="eastAsia" w:ascii="仿宋" w:hAnsi="仿宋" w:eastAsia="仿宋" w:cs="仿宋"/>
          <w:b w:val="0"/>
          <w:bCs w:val="0"/>
          <w:sz w:val="28"/>
          <w:szCs w:val="28"/>
          <w:highlight w:val="none"/>
          <w:lang w:val="en-US" w:eastAsia="zh-CN"/>
        </w:rPr>
        <w:t>加大人才吸引力度。</w:t>
      </w:r>
    </w:p>
    <w:p>
      <w:pPr>
        <w:keepNext/>
        <w:keepLines/>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四、其他需要说明的问题</w:t>
      </w:r>
    </w:p>
    <w:p>
      <w:pPr>
        <w:keepNext/>
        <w:keepLines/>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outlineLvl w:val="9"/>
        <w:rPr>
          <w:rFonts w:hint="eastAsia"/>
          <w:lang w:val="en-US" w:eastAsia="zh-CN"/>
        </w:rPr>
      </w:pPr>
      <w:r>
        <w:rPr>
          <w:rFonts w:hint="eastAsia" w:ascii="仿宋" w:hAnsi="仿宋" w:eastAsia="仿宋" w:cs="仿宋"/>
          <w:b w:val="0"/>
          <w:bCs w:val="0"/>
          <w:sz w:val="28"/>
          <w:szCs w:val="28"/>
          <w:highlight w:val="none"/>
          <w:lang w:val="en-US" w:eastAsia="zh-CN"/>
        </w:rPr>
        <w:t>无。</w:t>
      </w:r>
    </w:p>
    <w:p>
      <w:pPr>
        <w:pStyle w:val="2"/>
        <w:ind w:left="0" w:leftChars="0" w:firstLine="0" w:firstLineChars="0"/>
        <w:rPr>
          <w:rFonts w:hint="eastAsia" w:ascii="仿宋" w:hAnsi="仿宋" w:eastAsia="仿宋" w:cs="仿宋"/>
          <w:b w:val="0"/>
          <w:bCs w:val="0"/>
          <w:sz w:val="28"/>
          <w:szCs w:val="28"/>
          <w:lang w:val="en-US" w:eastAsia="zh-CN"/>
        </w:rPr>
      </w:pPr>
    </w:p>
    <w:p>
      <w:pPr>
        <w:pStyle w:val="2"/>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吕梁市军民融合协同创新研究院</w:t>
      </w:r>
    </w:p>
    <w:p>
      <w:pPr>
        <w:pStyle w:val="2"/>
        <w:rPr>
          <w:rFonts w:hint="default" w:ascii="仿宋" w:hAnsi="仿宋" w:eastAsia="仿宋" w:cs="仿宋"/>
          <w:b w:val="0"/>
          <w:bCs w:val="0"/>
          <w:color w:val="FF0000"/>
          <w:sz w:val="28"/>
          <w:szCs w:val="28"/>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color w:val="FF0000"/>
          <w:sz w:val="28"/>
          <w:szCs w:val="28"/>
          <w:lang w:val="en-US" w:eastAsia="zh-CN"/>
        </w:rPr>
        <w:t xml:space="preserve">   </w:t>
      </w:r>
      <w:r>
        <w:rPr>
          <w:rFonts w:hint="eastAsia" w:ascii="仿宋" w:hAnsi="仿宋" w:eastAsia="仿宋" w:cs="仿宋"/>
          <w:b w:val="0"/>
          <w:bCs w:val="0"/>
          <w:color w:val="auto"/>
          <w:sz w:val="28"/>
          <w:szCs w:val="28"/>
          <w:lang w:val="en-US" w:eastAsia="zh-CN"/>
        </w:rPr>
        <w:t xml:space="preserve"> 2021年3月30日</w:t>
      </w:r>
      <w:bookmarkStart w:id="0" w:name="_GoBack"/>
      <w:bookmarkEnd w:id="0"/>
    </w:p>
    <w:p>
      <w:pPr>
        <w:pageBreakBefore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7496E"/>
    <w:rsid w:val="01AE0186"/>
    <w:rsid w:val="01B25AA0"/>
    <w:rsid w:val="020F6672"/>
    <w:rsid w:val="024F0342"/>
    <w:rsid w:val="02824A59"/>
    <w:rsid w:val="02EF796C"/>
    <w:rsid w:val="03132415"/>
    <w:rsid w:val="03917191"/>
    <w:rsid w:val="03AC3F1B"/>
    <w:rsid w:val="03BD64B8"/>
    <w:rsid w:val="04DB4982"/>
    <w:rsid w:val="062A7407"/>
    <w:rsid w:val="06380FB4"/>
    <w:rsid w:val="06966E05"/>
    <w:rsid w:val="07D30FF7"/>
    <w:rsid w:val="07EB387C"/>
    <w:rsid w:val="08CE3610"/>
    <w:rsid w:val="090C5D47"/>
    <w:rsid w:val="090C68D7"/>
    <w:rsid w:val="0A0B2FBE"/>
    <w:rsid w:val="0A7003C2"/>
    <w:rsid w:val="0A7A1BF8"/>
    <w:rsid w:val="0A7E2A49"/>
    <w:rsid w:val="0BFC2ABD"/>
    <w:rsid w:val="0C0D142E"/>
    <w:rsid w:val="0CAA4264"/>
    <w:rsid w:val="0CC02DDA"/>
    <w:rsid w:val="0CC769DF"/>
    <w:rsid w:val="0D6268CB"/>
    <w:rsid w:val="0D751CDD"/>
    <w:rsid w:val="0D97711F"/>
    <w:rsid w:val="0E49010F"/>
    <w:rsid w:val="0E6D6AA3"/>
    <w:rsid w:val="0EB762E4"/>
    <w:rsid w:val="0FB717AA"/>
    <w:rsid w:val="101F15AB"/>
    <w:rsid w:val="10E568E2"/>
    <w:rsid w:val="118C08A2"/>
    <w:rsid w:val="13952498"/>
    <w:rsid w:val="14C0796D"/>
    <w:rsid w:val="15FF15B8"/>
    <w:rsid w:val="162233C7"/>
    <w:rsid w:val="173B16FB"/>
    <w:rsid w:val="1764209B"/>
    <w:rsid w:val="18AB79F7"/>
    <w:rsid w:val="190A73D0"/>
    <w:rsid w:val="19F771DD"/>
    <w:rsid w:val="1A186644"/>
    <w:rsid w:val="1AC60256"/>
    <w:rsid w:val="1B8B06EC"/>
    <w:rsid w:val="1BA31971"/>
    <w:rsid w:val="1BB24E70"/>
    <w:rsid w:val="1BCA477B"/>
    <w:rsid w:val="1D2C276D"/>
    <w:rsid w:val="1D773601"/>
    <w:rsid w:val="1DAD3945"/>
    <w:rsid w:val="1DDA5FDA"/>
    <w:rsid w:val="1E5018A5"/>
    <w:rsid w:val="1F5C0AE3"/>
    <w:rsid w:val="1FCD4D98"/>
    <w:rsid w:val="206213C1"/>
    <w:rsid w:val="21383A88"/>
    <w:rsid w:val="221F7DF3"/>
    <w:rsid w:val="228B1405"/>
    <w:rsid w:val="235514C5"/>
    <w:rsid w:val="23B87D2E"/>
    <w:rsid w:val="24466590"/>
    <w:rsid w:val="24E850AB"/>
    <w:rsid w:val="256F0480"/>
    <w:rsid w:val="25CF22E6"/>
    <w:rsid w:val="25EB0695"/>
    <w:rsid w:val="265E577C"/>
    <w:rsid w:val="26C5013D"/>
    <w:rsid w:val="26EC258A"/>
    <w:rsid w:val="27283B23"/>
    <w:rsid w:val="27483A4A"/>
    <w:rsid w:val="275E28D8"/>
    <w:rsid w:val="27612F64"/>
    <w:rsid w:val="27857F76"/>
    <w:rsid w:val="27E91FD6"/>
    <w:rsid w:val="27EC631A"/>
    <w:rsid w:val="28001412"/>
    <w:rsid w:val="28CF58A6"/>
    <w:rsid w:val="28F66850"/>
    <w:rsid w:val="29255785"/>
    <w:rsid w:val="29685193"/>
    <w:rsid w:val="2A244472"/>
    <w:rsid w:val="2A8E3229"/>
    <w:rsid w:val="2BF51CCA"/>
    <w:rsid w:val="2C120511"/>
    <w:rsid w:val="2D355351"/>
    <w:rsid w:val="2DCD0A50"/>
    <w:rsid w:val="2E213D44"/>
    <w:rsid w:val="2E7A31AD"/>
    <w:rsid w:val="2EA2314A"/>
    <w:rsid w:val="2EAC690E"/>
    <w:rsid w:val="2EB848E2"/>
    <w:rsid w:val="2F395646"/>
    <w:rsid w:val="2FC43451"/>
    <w:rsid w:val="30486E24"/>
    <w:rsid w:val="314C713B"/>
    <w:rsid w:val="32262B8B"/>
    <w:rsid w:val="3241501A"/>
    <w:rsid w:val="32B85460"/>
    <w:rsid w:val="347767F5"/>
    <w:rsid w:val="34D85EAB"/>
    <w:rsid w:val="36ED0E2B"/>
    <w:rsid w:val="37160300"/>
    <w:rsid w:val="37995EFE"/>
    <w:rsid w:val="382C11F3"/>
    <w:rsid w:val="38B77EE8"/>
    <w:rsid w:val="3A146A68"/>
    <w:rsid w:val="3A5877A7"/>
    <w:rsid w:val="3A76575F"/>
    <w:rsid w:val="3AE74BDB"/>
    <w:rsid w:val="3BA901FC"/>
    <w:rsid w:val="3C230D64"/>
    <w:rsid w:val="3C6D5466"/>
    <w:rsid w:val="3C82769B"/>
    <w:rsid w:val="3D292B5C"/>
    <w:rsid w:val="3D2C4491"/>
    <w:rsid w:val="3DF068AE"/>
    <w:rsid w:val="3E7C3BC2"/>
    <w:rsid w:val="3E93320D"/>
    <w:rsid w:val="3F0F4E51"/>
    <w:rsid w:val="3F7321A7"/>
    <w:rsid w:val="3F803CC0"/>
    <w:rsid w:val="40E736D3"/>
    <w:rsid w:val="41EA6546"/>
    <w:rsid w:val="42122C5C"/>
    <w:rsid w:val="42123EA8"/>
    <w:rsid w:val="4295362F"/>
    <w:rsid w:val="42B00FAB"/>
    <w:rsid w:val="438D624C"/>
    <w:rsid w:val="44827E2C"/>
    <w:rsid w:val="450F0CB5"/>
    <w:rsid w:val="45387B02"/>
    <w:rsid w:val="4604585C"/>
    <w:rsid w:val="46BF5BC0"/>
    <w:rsid w:val="46C01D15"/>
    <w:rsid w:val="46DB6374"/>
    <w:rsid w:val="47A50644"/>
    <w:rsid w:val="47DB26B5"/>
    <w:rsid w:val="482D2570"/>
    <w:rsid w:val="48C6033F"/>
    <w:rsid w:val="4A1858BE"/>
    <w:rsid w:val="4A740BFB"/>
    <w:rsid w:val="4A8D5E5C"/>
    <w:rsid w:val="4CCC4FCD"/>
    <w:rsid w:val="4E4F52AF"/>
    <w:rsid w:val="4ED50964"/>
    <w:rsid w:val="4EDB4E44"/>
    <w:rsid w:val="4F690792"/>
    <w:rsid w:val="5002098A"/>
    <w:rsid w:val="5080418E"/>
    <w:rsid w:val="50BE336E"/>
    <w:rsid w:val="52592E83"/>
    <w:rsid w:val="53326B5F"/>
    <w:rsid w:val="538A20F7"/>
    <w:rsid w:val="54A756C0"/>
    <w:rsid w:val="553462DA"/>
    <w:rsid w:val="5583664B"/>
    <w:rsid w:val="5684326B"/>
    <w:rsid w:val="583D6016"/>
    <w:rsid w:val="588C034C"/>
    <w:rsid w:val="58AE4E8B"/>
    <w:rsid w:val="58D65A88"/>
    <w:rsid w:val="5A4C1275"/>
    <w:rsid w:val="5A824111"/>
    <w:rsid w:val="5A97149A"/>
    <w:rsid w:val="5AE96C85"/>
    <w:rsid w:val="5AF825CC"/>
    <w:rsid w:val="5CDA21E8"/>
    <w:rsid w:val="5D386209"/>
    <w:rsid w:val="5DA13656"/>
    <w:rsid w:val="5DD66B7B"/>
    <w:rsid w:val="5DE367C0"/>
    <w:rsid w:val="5E94667C"/>
    <w:rsid w:val="5EFC7D1A"/>
    <w:rsid w:val="5F2C6BB6"/>
    <w:rsid w:val="5F451AE9"/>
    <w:rsid w:val="5F5C0072"/>
    <w:rsid w:val="5F753E7B"/>
    <w:rsid w:val="5F7F57EA"/>
    <w:rsid w:val="6032672F"/>
    <w:rsid w:val="604641DA"/>
    <w:rsid w:val="605C335F"/>
    <w:rsid w:val="613E7869"/>
    <w:rsid w:val="62163F25"/>
    <w:rsid w:val="63081D8F"/>
    <w:rsid w:val="63A719E1"/>
    <w:rsid w:val="64CE1A47"/>
    <w:rsid w:val="655F6713"/>
    <w:rsid w:val="65641CE6"/>
    <w:rsid w:val="69C80487"/>
    <w:rsid w:val="6B601DC3"/>
    <w:rsid w:val="6BDF620E"/>
    <w:rsid w:val="6C482AD8"/>
    <w:rsid w:val="6C4D6FD1"/>
    <w:rsid w:val="6C760566"/>
    <w:rsid w:val="6C8E0ECA"/>
    <w:rsid w:val="6CD300F3"/>
    <w:rsid w:val="6F36447E"/>
    <w:rsid w:val="6F5D1B19"/>
    <w:rsid w:val="6FB43539"/>
    <w:rsid w:val="704710F3"/>
    <w:rsid w:val="715748E2"/>
    <w:rsid w:val="72366FC4"/>
    <w:rsid w:val="736231E9"/>
    <w:rsid w:val="73AA03F8"/>
    <w:rsid w:val="73FC7629"/>
    <w:rsid w:val="7421017A"/>
    <w:rsid w:val="74395D20"/>
    <w:rsid w:val="74A05BF8"/>
    <w:rsid w:val="75056F7A"/>
    <w:rsid w:val="75A12C54"/>
    <w:rsid w:val="76CA518A"/>
    <w:rsid w:val="7773119C"/>
    <w:rsid w:val="777C5B6C"/>
    <w:rsid w:val="78730E62"/>
    <w:rsid w:val="78E70FF2"/>
    <w:rsid w:val="7943026B"/>
    <w:rsid w:val="798233F8"/>
    <w:rsid w:val="79D3212B"/>
    <w:rsid w:val="7A1E193D"/>
    <w:rsid w:val="7A1F2EE4"/>
    <w:rsid w:val="7AA867E2"/>
    <w:rsid w:val="7ABA0A89"/>
    <w:rsid w:val="7B247805"/>
    <w:rsid w:val="7B7F69D9"/>
    <w:rsid w:val="7BBF4E3F"/>
    <w:rsid w:val="7CF32E96"/>
    <w:rsid w:val="7E1F47AD"/>
    <w:rsid w:val="7E427421"/>
    <w:rsid w:val="7E510A88"/>
    <w:rsid w:val="7EEE1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pPr>
    <w:rPr>
      <w:rFonts w:hint="eastAsia" w:ascii="宋体" w:hAnsi="宋体" w:eastAsia="宋体" w:cs="宋体"/>
      <w:b/>
      <w:color w:val="333333"/>
      <w:kern w:val="44"/>
      <w:sz w:val="42"/>
      <w:szCs w:val="42"/>
      <w:lang w:val="en-US" w:eastAsia="zh-CN" w:bidi="ar"/>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6">
    <w:name w:val="footer"/>
    <w:basedOn w:val="1"/>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46</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hwapow</dc:creator>
  <cp:lastModifiedBy>Administrator</cp:lastModifiedBy>
  <cp:lastPrinted>2021-04-02T01:56:00Z</cp:lastPrinted>
  <dcterms:modified xsi:type="dcterms:W3CDTF">2021-09-17T03:16:24Z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