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Arial" w:hAnsi="Arial" w:cs="Arial"/>
          <w:b/>
          <w:color w:val="auto"/>
          <w:sz w:val="36"/>
          <w:szCs w:val="36"/>
          <w:lang w:val="en-US" w:eastAsia="zh-CN"/>
        </w:rPr>
        <w:t>吕梁市市场监督管理局</w:t>
      </w: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201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36"/>
          <w:szCs w:val="36"/>
        </w:rPr>
        <w:t>年食品安全监督抽检信息公告（第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食用农产品中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蔬菜类、水果、畜禽肉、水产品（淡水和海水）、豆类、鸡蛋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批次，合格样品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不合格样品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次，分别为：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水果2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柳林县翠连综合商店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销售的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香蕉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超标，柳林县瑞明蔬菜水产店销售的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香蕉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超标，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检验机构为河南华测检测技术有限公司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蔬菜2批次，柳林县好又多超市有限责任公司销售的豆芽中4-氯苯氧乙酸钠超标，山西信恒鑫商贸有限公司销售的绿豆芽中4-氯苯氧乙酸钠超标，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检验机构为河南华测检测技术有限公司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鲜蛋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1批次，石楼县建军水果蔬菜烟酒副食销售的鸡蛋恩诺沙星和环丙沙星超标，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检验机构为河南华测检测技术有限公司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批次，具体为：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等农药残留，经检验全部合格。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水果类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铅（以Pb计）、嘧菌酯、氯唑磷、氯氰菊酯和高效氯氰菊酯、联苯菊酯、克百威、毒死蜱、丙溴磷、苯醚甲环唑、阿维菌素、辛硫磷、氰戊菊酯和S-氰戊菊酯、氟虫腈、苯醚甲环唑、啶虫脒、乐果、多菌灵等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3.豆类1批次，检测项目为：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铅（以Pb计）、镉（以Cd计）、铬（以Cr计）、赭曲霉毒素A、烯草酮、丙炔氟草胺、氯嘧磺隆、氟磺胺草醚等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4.畜禽肉类2批次，检测项目为：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5.鸡蛋2批次，检测项目为：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6.海水虾1批次，检验项目为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镉（以Cd计）、孔雀石绿、氯霉素、氟苯尼考、呋喃唑酮代谢物、呋喃它酮代谢物、呋喃西林代谢物、恩诺沙星（以恩诺沙星与环丙沙星之和计）、氧氟沙星、诺氟沙星、磺胺类（总量）、地西泮、甲硝唑、地美硝唑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7.海水鱼1批次，检验项目为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镉（以Cd计）、孔雀石绿、氯霉素、氟苯尼考、呋喃唑酮代谢物、呋喃它酮代谢物、呋喃西林代谢物、恩诺沙星、氧氟沙星、诺氟沙星、磺胺类（总量）、地西泮、甲硝唑等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项目，经检验全部合格。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针对上述抽检中发现的不合格产品，我局已按照《中华</w:t>
      </w:r>
    </w:p>
    <w:p>
      <w:pPr>
        <w:spacing w:line="640" w:lineRule="exact"/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人民共和国食品安全法》的规定，责成相关单位及时进行核查处置，采取封存、下架、召回问题产品等措施防控食品安全风险，督促企业查找原因，消除隐患。消费者如果在市场上发现被通报的不合格食品，可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投诉举报。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highlight w:val="none"/>
        </w:rPr>
        <w:t>备注：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吡唑醚菌酯是一种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甲氧基丙烯酸酯类杀菌剂，具有杀菌谱广、提升作物抗逆性能力突出、促进作物生长、抗衰老等等优点，广泛应用于水稻、小麦、花生、蔬菜、果树、烟草、茶树等多种作物。主要用于防治子囊菌、半知菌、担子菌和卵菌纲等真菌引起的叶枯病、锈病、白粉病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吡唑醚菌酯对眼睛和皮肤有一定的刺激作用，长时间超量摄入会造成人体蓄积性中毒。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吡唑醚菌酯超标可能是在种植过程中超量、超范围使用造成的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2.4-氯苯氧乙酸钠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4-氯苯氧乙酸钠是中枢神经兴奋药甲氯芬酯的中间体，原用于植物生长调节，国内商品名为防落素、保果灵。4-氯苯氧乙酸可以促进植物体内的生物合成和生物转移，不仅可防止落花落果、提高做果率、增进果实生长速度、促进提前成熟，还能达到改善植物品质之目的，同时它还有除草剂的作用。但由于其对人体有一定积累毒性，国标已取消其作为食品添加剂的生产许可申请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4-氯苯氧乙酸钠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超标可能是在生产过程中超量、超范围使用造成。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3.恩诺沙星和环丙沙星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700" w:firstLineChars="200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恩诺沙星，又名恩氟奎林羧酸，属于氟喹诺酮类药物，化学合成广谱抑菌剂，在预防和治疗畜禽的细菌性感染及支原体病方面有良好效果。长期摄入喹诺酮类药物超标的动物性食品，可引起轻度胃肠道刺激或不适，头痛、头晕、睡眠不良等症状，大剂量或长期摄入还可能引起肝损害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恩诺沙星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超标可能是在生产过程中超量、超范围使用造成。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lang w:val="en-US" w:eastAsia="zh-CN"/>
        </w:rPr>
        <w:t xml:space="preserve"> 吕梁市市场监督管理局</w:t>
      </w:r>
    </w:p>
    <w:p>
      <w:pPr>
        <w:spacing w:line="640" w:lineRule="exact"/>
        <w:ind w:left="840" w:leftChars="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2019年10月10日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1.本次检验项目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left="958" w:leftChars="456" w:firstLine="0" w:firstLineChars="0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期食品监督抽检产品合格信息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检验依据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食品中真菌毒素限量》；国家食品药品监督管理总局、农业部、国家卫生和计划生育委员会关于豆芽生产过程中禁止使用6-苄基腺嘌呤等物质的公告（2015年第11号）。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1.蔬菜类检测项目为：灭多威、氯唑磷、甲氨基阿维菌素苯甲酸盐、氟虫腈、氟吡甲禾灵和高效氟吡甲禾灵、倍硫磷、哒螨灵、敌百虫、硫线磷、噻虫胺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水果类检测项目为：铅（以Pb计）、嘧菌酯、氯唑磷、氯氰菊酯和高效氯氰菊酯、联苯菊酯、克百威、毒死蜱、丙溴磷、苯醚甲环唑、阿维菌素、辛硫磷、氰戊菊酯和S-氰戊菊酯、氟虫腈、苯醚甲环唑、啶虫脒、乐果、多菌灵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3.豆类检测项目为：铅（以Pb计）、镉（以Cd计）、铬（以Cr计）、赭曲霉毒素A、烯草酮、丙炔氟草胺、氯嘧磺隆、氟磺胺草醚等。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4.鲜食用菌检测项目为：铅（以Pb计）、镉（以Cd计）、总汞（以Hg计）、总砷（以As计）、氯氰菊酯和高效氯氰菊酯、氯氟氰菊酯和高效氯氟氰菊酯、氟氯氰菊酯和高效氟氯氰菊酯、二氧化硫残留量等。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畜禽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类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兽药残留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.鸡蛋检测项目为：氯霉素、恩诺沙星（以恩诺沙星与环丙沙星之和计）、洛美沙星、诺氟沙星、培氟沙星、氧氟沙星、呋喃它酮代谢物、呋喃妥因代谢物、呋喃西林代谢物、呋喃唑酮代谢物等。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淡水鱼检测项目为挥发性盐基氮、孔雀石绿、氯霉素、呋喃唑酮代谢物、呋喃它酮代谢物、呋喃西林代谢物、呋喃妥因代谢物、恩诺沙星（以恩诺沙星与环丙沙星之和计）、氧氟沙星、培氟沙星、磺胺类（总量）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.淡水虾检测项目为孔雀石绿、氯霉素、呋喃唑酮代谢物、呋喃它酮代谢物、呋喃西林代谢物、呋喃妥因代谢物、恩诺沙星（以恩诺沙星与环丙沙星之和计）、氧氟沙星、培氟沙星、洛美沙星等。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海水虾检验项目为镉（以Cd计）、孔雀石绿、氯霉素、氟苯尼考、呋喃唑酮代谢物、呋喃它酮代谢物、呋喃西林代谢物、恩诺沙星（以恩诺沙星与环丙沙星之和计）、氧氟沙星、诺氟沙星、磺胺类（总量）、地西泮、甲硝唑、地美硝唑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.海水鱼检验项目为镉（以Cd计）、孔雀石绿、氯霉素、氟苯尼考、呋喃唑酮代谢物、呋喃它酮代谢物、呋喃西林代谢物、恩诺沙星、氧氟沙星、诺氟沙星、磺胺类（总量）、地西泮、甲硝唑等。</w:t>
      </w: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附件二</w:t>
      </w:r>
    </w:p>
    <w:tbl>
      <w:tblPr>
        <w:tblStyle w:val="5"/>
        <w:tblW w:w="14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630"/>
        <w:gridCol w:w="660"/>
        <w:gridCol w:w="1965"/>
        <w:gridCol w:w="705"/>
        <w:gridCol w:w="975"/>
        <w:gridCol w:w="915"/>
        <w:gridCol w:w="2280"/>
        <w:gridCol w:w="705"/>
        <w:gridCol w:w="705"/>
        <w:gridCol w:w="540"/>
        <w:gridCol w:w="1035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2019年第4期食品监督抽检产品合格信息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铁棍长山药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小红小豆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软柿子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青李子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鸡大胸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大带鱼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黄油桃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散柠檬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小凤西瓜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附件三</w:t>
      </w:r>
    </w:p>
    <w:tbl>
      <w:tblPr>
        <w:tblStyle w:val="5"/>
        <w:tblW w:w="136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705"/>
        <w:gridCol w:w="675"/>
        <w:gridCol w:w="1335"/>
        <w:gridCol w:w="615"/>
        <w:gridCol w:w="630"/>
        <w:gridCol w:w="495"/>
        <w:gridCol w:w="345"/>
        <w:gridCol w:w="1230"/>
        <w:gridCol w:w="1755"/>
        <w:gridCol w:w="495"/>
        <w:gridCol w:w="495"/>
        <w:gridCol w:w="495"/>
        <w:gridCol w:w="705"/>
        <w:gridCol w:w="705"/>
        <w:gridCol w:w="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35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2019年第4期食品监督抽检产品不合格信息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35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不合格项目║检验结果║标准值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恩诺沙星与环丙沙星║0.676mg/kg║不得检出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吡唑醚菌酯║0.12mg/kg║≤0.02mg/kg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吡唑醚菌酯║0.43mg/kg║≤0.02mg/kg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4-氯苯氧乙酸钠║0.14mg/kg║≤不得检出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4-氯苯氧乙酸钠║0.50mg/kg║≤不得检出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napToGrid w:val="0"/>
        <w:spacing w:line="560" w:lineRule="exact"/>
        <w:ind w:firstLine="2891" w:firstLineChars="800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A6AF6"/>
    <w:multiLevelType w:val="singleLevel"/>
    <w:tmpl w:val="58AA6AF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yZjI2NTI4NmI4OTRkZWI0NmFmNjc1NTQxODRmYjkifQ=="/>
  </w:docVars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35306A7"/>
    <w:rsid w:val="170D01DE"/>
    <w:rsid w:val="17590822"/>
    <w:rsid w:val="17C64181"/>
    <w:rsid w:val="18845676"/>
    <w:rsid w:val="1887347E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A550659"/>
    <w:rsid w:val="2C9013B0"/>
    <w:rsid w:val="2E626E3C"/>
    <w:rsid w:val="2E972C13"/>
    <w:rsid w:val="2EB31CD2"/>
    <w:rsid w:val="2EF77059"/>
    <w:rsid w:val="307D4D1A"/>
    <w:rsid w:val="3100553E"/>
    <w:rsid w:val="32794481"/>
    <w:rsid w:val="32FD1F69"/>
    <w:rsid w:val="34004B38"/>
    <w:rsid w:val="366E4ACF"/>
    <w:rsid w:val="37C40388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627838E3"/>
    <w:rsid w:val="62B72F63"/>
    <w:rsid w:val="636F2FA6"/>
    <w:rsid w:val="63E67378"/>
    <w:rsid w:val="646113CC"/>
    <w:rsid w:val="648B4035"/>
    <w:rsid w:val="64F10760"/>
    <w:rsid w:val="652A43E6"/>
    <w:rsid w:val="68A9253F"/>
    <w:rsid w:val="695050D5"/>
    <w:rsid w:val="698835EC"/>
    <w:rsid w:val="69EB2086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3B4FFD"/>
    <w:rsid w:val="739905F9"/>
    <w:rsid w:val="73D36333"/>
    <w:rsid w:val="76F171B5"/>
    <w:rsid w:val="776F6F38"/>
    <w:rsid w:val="791866DF"/>
    <w:rsid w:val="79D04F20"/>
    <w:rsid w:val="7A354A01"/>
    <w:rsid w:val="7A422FDB"/>
    <w:rsid w:val="7C3D20E4"/>
    <w:rsid w:val="7C443BD1"/>
    <w:rsid w:val="7C5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table" w:styleId="6">
    <w:name w:val="Table Grid"/>
    <w:basedOn w:val="5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locked/>
    <w:uiPriority w:val="99"/>
    <w:rPr>
      <w:color w:val="0000FF"/>
      <w:u w:val="single"/>
    </w:rPr>
  </w:style>
  <w:style w:type="character" w:customStyle="1" w:styleId="9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ascii="FZHTK--GBK1-0" w:hAnsi="FZHTK--GBK1-0" w:eastAsia="FZHTK--GBK1-0" w:cs="FZHTK--GBK1-0"/>
      <w:color w:val="00000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4908</Words>
  <Characters>5859</Characters>
  <Lines>0</Lines>
  <Paragraphs>0</Paragraphs>
  <TotalTime>0</TotalTime>
  <ScaleCrop>false</ScaleCrop>
  <LinksUpToDate>false</LinksUpToDate>
  <CharactersWithSpaces>5950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武瑢</cp:lastModifiedBy>
  <cp:lastPrinted>2019-10-10T06:42:00Z</cp:lastPrinted>
  <dcterms:modified xsi:type="dcterms:W3CDTF">2023-03-16T02:19:49Z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CC5A2460C42548679B0FEA5FB794C7A5</vt:lpwstr>
  </property>
</Properties>
</file>