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356" w:lineRule="exact"/>
        <w:rPr>
          <w:rFonts w:ascii="Times New Roman" w:hAnsi="Times New Roman"/>
          <w:sz w:val="24"/>
        </w:rPr>
      </w:pPr>
    </w:p>
    <w:p>
      <w:pPr>
        <w:spacing w:line="240" w:lineRule="atLeast"/>
        <w:jc w:val="center"/>
        <w:rPr>
          <w:rFonts w:ascii="宋体"/>
          <w:b w:val="0"/>
          <w:bCs w:val="0"/>
          <w:color w:val="FF0000"/>
          <w:sz w:val="69"/>
        </w:rPr>
      </w:pPr>
      <w:r>
        <w:rPr>
          <w:rFonts w:hint="eastAsia" w:ascii="宋体" w:hAnsi="宋体"/>
          <w:b w:val="0"/>
          <w:bCs w:val="0"/>
          <w:color w:val="FF0000"/>
          <w:sz w:val="69"/>
          <w:lang w:eastAsia="zh-CN"/>
        </w:rPr>
        <w:t>吕梁市市场</w:t>
      </w:r>
      <w:r>
        <w:rPr>
          <w:rFonts w:hint="eastAsia" w:ascii="宋体" w:hAnsi="宋体"/>
          <w:b w:val="0"/>
          <w:bCs w:val="0"/>
          <w:color w:val="FF0000"/>
          <w:sz w:val="69"/>
        </w:rPr>
        <w:t>监督管理局</w:t>
      </w:r>
    </w:p>
    <w:p>
      <w:pPr>
        <w:spacing w:line="200" w:lineRule="exact"/>
        <w:jc w:val="center"/>
        <w:rPr>
          <w:rFonts w:ascii="Times New Roman" w:hAnsi="Times New Roman"/>
          <w:b w:val="0"/>
          <w:bCs w:val="0"/>
          <w:color w:val="FF0000"/>
          <w:sz w:val="24"/>
        </w:rPr>
      </w:pPr>
    </w:p>
    <w:p>
      <w:pPr>
        <w:spacing w:line="200" w:lineRule="exact"/>
        <w:rPr>
          <w:rFonts w:ascii="Times New Roman" w:hAnsi="Times New Roman"/>
          <w:b w:val="0"/>
          <w:bCs w:val="0"/>
          <w:color w:val="FF0000"/>
          <w:sz w:val="24"/>
        </w:rPr>
      </w:pPr>
    </w:p>
    <w:p>
      <w:pPr>
        <w:spacing w:line="200" w:lineRule="exact"/>
        <w:rPr>
          <w:rFonts w:ascii="Times New Roman" w:hAnsi="Times New Roman"/>
          <w:b w:val="0"/>
          <w:bCs w:val="0"/>
          <w:color w:val="FF0000"/>
          <w:sz w:val="24"/>
        </w:rPr>
      </w:pPr>
    </w:p>
    <w:p>
      <w:pPr>
        <w:spacing w:line="260" w:lineRule="exact"/>
        <w:rPr>
          <w:rFonts w:ascii="Times New Roman" w:hAnsi="Times New Roman"/>
          <w:b w:val="0"/>
          <w:bCs w:val="0"/>
          <w:color w:val="FF0000"/>
          <w:sz w:val="24"/>
        </w:rPr>
      </w:pPr>
    </w:p>
    <w:p>
      <w:pPr>
        <w:tabs>
          <w:tab w:val="left" w:pos="4760"/>
        </w:tabs>
        <w:spacing w:line="240" w:lineRule="atLeast"/>
        <w:ind w:left="2680"/>
        <w:rPr>
          <w:rFonts w:ascii="宋体"/>
          <w:b w:val="0"/>
          <w:bCs w:val="0"/>
          <w:color w:val="FF0000"/>
          <w:sz w:val="84"/>
        </w:rPr>
      </w:pPr>
      <w:r>
        <w:rPr>
          <w:rFonts w:hint="eastAsia" w:ascii="宋体" w:hAnsi="宋体"/>
          <w:b w:val="0"/>
          <w:bCs w:val="0"/>
          <w:color w:val="FF0000"/>
          <w:sz w:val="84"/>
        </w:rPr>
        <w:t>公</w:t>
      </w:r>
      <w:r>
        <w:rPr>
          <w:rFonts w:ascii="Times New Roman" w:hAnsi="Times New Roman"/>
          <w:b w:val="0"/>
          <w:bCs w:val="0"/>
          <w:color w:val="FF0000"/>
        </w:rPr>
        <w:tab/>
      </w:r>
      <w:r>
        <w:rPr>
          <w:rFonts w:hint="eastAsia" w:ascii="宋体" w:hAnsi="宋体"/>
          <w:b w:val="0"/>
          <w:bCs w:val="0"/>
          <w:color w:val="FF0000"/>
          <w:sz w:val="84"/>
        </w:rPr>
        <w:t>告</w:t>
      </w: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7" w:lineRule="exact"/>
        <w:rPr>
          <w:rFonts w:ascii="Times New Roman" w:hAnsi="Times New Roman"/>
          <w:sz w:val="24"/>
        </w:rPr>
      </w:pPr>
    </w:p>
    <w:p>
      <w:pPr>
        <w:spacing w:line="240" w:lineRule="atLeast"/>
        <w:ind w:left="1980"/>
        <w:rPr>
          <w:rFonts w:ascii="宋体"/>
          <w:b/>
          <w:sz w:val="36"/>
        </w:rPr>
      </w:pPr>
      <w:r>
        <w:rPr>
          <w:rFonts w:hint="eastAsia" w:ascii="宋体" w:hAnsi="宋体"/>
          <w:b/>
          <w:sz w:val="36"/>
          <w:lang w:eastAsia="zh-CN"/>
        </w:rPr>
        <w:t>吕梁市市场</w:t>
      </w:r>
      <w:r>
        <w:rPr>
          <w:rFonts w:hint="eastAsia" w:ascii="宋体" w:hAnsi="宋体"/>
          <w:b/>
          <w:sz w:val="36"/>
        </w:rPr>
        <w:t>监督管理局</w:t>
      </w:r>
    </w:p>
    <w:p>
      <w:pPr>
        <w:spacing w:line="244" w:lineRule="exact"/>
        <w:rPr>
          <w:rFonts w:ascii="Times New Roman" w:hAnsi="Times New Roman"/>
          <w:sz w:val="24"/>
        </w:rPr>
      </w:pPr>
    </w:p>
    <w:p>
      <w:pPr>
        <w:spacing w:line="240" w:lineRule="atLeast"/>
        <w:ind w:left="480"/>
        <w:rPr>
          <w:rFonts w:ascii="宋体"/>
          <w:b/>
          <w:sz w:val="36"/>
        </w:rPr>
      </w:pPr>
      <w:r>
        <w:rPr>
          <w:rFonts w:ascii="宋体" w:hAnsi="宋体"/>
          <w:b/>
          <w:sz w:val="36"/>
        </w:rPr>
        <w:t>201</w:t>
      </w:r>
      <w:r>
        <w:rPr>
          <w:rFonts w:hint="eastAsia" w:ascii="宋体" w:hAnsi="宋体"/>
          <w:b/>
          <w:sz w:val="36"/>
          <w:lang w:val="en-US" w:eastAsia="zh-CN"/>
        </w:rPr>
        <w:t>9</w:t>
      </w:r>
      <w:r>
        <w:rPr>
          <w:rFonts w:hint="eastAsia" w:ascii="宋体" w:hAnsi="宋体"/>
          <w:b/>
          <w:sz w:val="36"/>
        </w:rPr>
        <w:t>年食品安全监督抽检信息公告（第</w:t>
      </w:r>
      <w:r>
        <w:rPr>
          <w:rFonts w:hint="eastAsia" w:ascii="宋体" w:hAnsi="宋体"/>
          <w:b/>
          <w:sz w:val="36"/>
          <w:lang w:val="en-US" w:eastAsia="zh-CN"/>
        </w:rPr>
        <w:t xml:space="preserve"> 15 </w:t>
      </w:r>
      <w:r>
        <w:rPr>
          <w:rFonts w:hint="eastAsia" w:ascii="宋体" w:hAnsi="宋体"/>
          <w:b/>
          <w:sz w:val="36"/>
        </w:rPr>
        <w:t>期）</w:t>
      </w: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480" w:lineRule="auto"/>
        <w:rPr>
          <w:rFonts w:ascii="Times New Roman" w:hAnsi="Times New Roman"/>
          <w:sz w:val="32"/>
          <w:szCs w:val="32"/>
        </w:rPr>
      </w:pPr>
    </w:p>
    <w:p>
      <w:pPr>
        <w:spacing w:line="360" w:lineRule="auto"/>
        <w:ind w:right="20" w:firstLine="626"/>
        <w:jc w:val="both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本期公布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97</w:t>
      </w:r>
      <w:r>
        <w:rPr>
          <w:rFonts w:hint="eastAsia" w:ascii="仿宋" w:hAnsi="仿宋" w:eastAsia="仿宋" w:cs="仿宋"/>
          <w:sz w:val="32"/>
          <w:szCs w:val="32"/>
        </w:rPr>
        <w:t>批次监督抽检结果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涉及食用农产品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个大类。根据食品安全国家标准，个别项目不合格，</w:t>
      </w:r>
      <w:r>
        <w:rPr>
          <w:rFonts w:hint="eastAsia" w:ascii="仿宋" w:hAnsi="仿宋" w:eastAsia="仿宋" w:cs="仿宋"/>
          <w:bCs/>
          <w:sz w:val="32"/>
          <w:szCs w:val="32"/>
        </w:rPr>
        <w:t>其产品即判定为不合格产品。其中：不合格样品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批次，合格样品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 w:cs="仿宋"/>
          <w:bCs/>
          <w:sz w:val="32"/>
          <w:szCs w:val="32"/>
        </w:rPr>
        <w:t>批次。</w:t>
      </w:r>
    </w:p>
    <w:p>
      <w:pPr>
        <w:spacing w:line="360" w:lineRule="auto"/>
        <w:ind w:right="20" w:firstLine="62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不合格样品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批</w:t>
      </w:r>
      <w:r>
        <w:rPr>
          <w:rFonts w:hint="eastAsia" w:ascii="仿宋" w:hAnsi="仿宋" w:eastAsia="仿宋" w:cs="仿宋"/>
          <w:sz w:val="32"/>
          <w:szCs w:val="32"/>
        </w:rPr>
        <w:t>次，具体为：</w:t>
      </w:r>
    </w:p>
    <w:p>
      <w:pPr>
        <w:spacing w:line="360" w:lineRule="auto"/>
        <w:ind w:right="2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山西吉隆斯商贸股份有限公司汾阳市家家利超市英雄南路店销售的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羊肉中恩诺沙星</w:t>
      </w:r>
      <w:r>
        <w:rPr>
          <w:rFonts w:hint="eastAsia" w:ascii="仿宋" w:hAnsi="仿宋" w:eastAsia="仿宋" w:cs="仿宋"/>
          <w:sz w:val="32"/>
          <w:szCs w:val="32"/>
        </w:rPr>
        <w:t>超标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检验机构为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广东东方纵横检测有限公司。</w:t>
      </w:r>
    </w:p>
    <w:p>
      <w:pPr>
        <w:spacing w:line="360" w:lineRule="auto"/>
        <w:ind w:right="20" w:firstLine="626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262626"/>
          <w:spacing w:val="15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62626"/>
          <w:spacing w:val="15"/>
          <w:sz w:val="32"/>
          <w:szCs w:val="32"/>
        </w:rPr>
        <w:t>备注：</w:t>
      </w:r>
    </w:p>
    <w:p>
      <w:pPr>
        <w:spacing w:line="360" w:lineRule="auto"/>
        <w:ind w:right="20" w:firstLine="626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62626"/>
          <w:spacing w:val="15"/>
          <w:sz w:val="32"/>
          <w:szCs w:val="32"/>
        </w:rPr>
        <w:t>恩诺沙星，又名恩氟奎林羧酸，属于氟喹诺酮类药物，化学合成广谱抑菌剂，在预防和治疗畜禽的细菌性感染及支原体病方面有良好效果。农业部公告第235号《动物性食品中兽药最高残留限量》规定该类药物在动物肌肉、脂肪中的最大残留限量为100μg/kg(以恩诺沙星+环丙沙星之和计)，在肝脏和肾脏中也有严格的限定。长期摄入喹诺酮类药物超标的动物性食品，可引起轻度胃肠道刺激或不适，头痛、头晕、睡眠不良等症状，大剂量或长期摄入还可能引起肝损害。</w:t>
      </w:r>
    </w:p>
    <w:p>
      <w:pPr>
        <w:spacing w:line="360" w:lineRule="auto"/>
        <w:ind w:left="5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合格样品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 w:cs="仿宋"/>
          <w:sz w:val="32"/>
          <w:szCs w:val="32"/>
        </w:rPr>
        <w:t>批次，具体为：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蔬菜39批次，检验项目为毒死蜱、克百威、倍硫磷、氯氟氰菊酯和高效氯氟氰菊酯、氟虫腈、硫线磷、灭多威、杀扑磷、水胺硫磷、阿维菌素、甲拌磷、氧乐果、亚硫酸盐（以SO2计）、6-苄基腺嘌呤（6-BA）、4-氯苯氧乙酸钠（以4-氯苯氧乙酸计）、铅（以Pb计）、多菌灵、腐霉利、氯氰菊酯和高效氯氰菊酯、氯菊酯、氯唑磷、敌敌畏、伏杀硫磷、内吸磷、敌百虫、久效磷、丙溴磷、啶虫脒、灭线磷、甲胺磷、灭蝇胺、镉（以Cd计）、总汞（以Hg计）、总砷（以As计）、氟氯氰菊酯和高效氟氯氰菊酯、二氧化硫残留量、马拉硫磷、苯醚甲环唑、吡虫啉、乐果、联苯菊酯、甲氰菊酯、二嗪磷、甲基异柳磷等全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.畜禽肉及副产品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批次，检验项目为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克伦特罗、沙丁胺醇、莱克多巴胺、氯霉素、土霉素、洛美沙星、培氟沙星、氧氟沙星、诺氟沙星、特布他林、氟苯尼考、恩诺沙星（以恩诺沙星与环丙沙星之和计）、铬（以Cr计）、呋喃唑酮代谢物、呋喃它酮代谢物、呋喃西林代谢物、呋喃妥因代谢物、磺胺类(总量)</w:t>
      </w:r>
      <w:r>
        <w:rPr>
          <w:rFonts w:hint="eastAsia" w:ascii="仿宋" w:hAnsi="仿宋" w:eastAsia="仿宋" w:cs="仿宋"/>
          <w:sz w:val="32"/>
          <w:szCs w:val="32"/>
        </w:rPr>
        <w:t>等全部检验合格。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水产品8批次，检验项目为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镉（以Cd计）、孔雀石绿、氯霉素、氟苯尼考、恩诺沙星（以恩诺沙星与环丙沙星之和计）、氧氟沙星、培氟沙星、四环素、金霉素、土霉素、镉（以Cd计）、呋喃唑酮代谢物、呋喃它酮代谢物、呋喃西林代谢物、诺氟沙星、、呋喃妥因代谢物、地西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等全部检验合格。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4.水果类32批次，检验项目为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氟虫腈、多菌灵、毒死蜱、敌敌畏、吡虫啉、苯醚甲环唑、百菌清、阿维菌素、氯氰菊酯和高效氯氰菊酯、克百威、辛硫磷、水胺硫磷、敌百虫、久效磷、硫环磷、硫线磷、氯唑磷、灭多威、内吸磷、氟氯氰菊酯和高效氟氯氰菊酯、丙溴磷、甲基异柳磷、甲拌磷、联苯菊酯、氧乐果、甲胺磷、氰戊菊酯和S-氰戊菊酯、啶虫脒、乐果、糖精钠（以糖精计）、溴氰菊酯、三唑磷、六六六、滴滴涕、乙酰甲胺磷、杀扑磷、倍硫磷、铅（以Pb计）、氰戊菊酯和 S-氰戊菊酯、氟硅唑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等全</w:t>
      </w:r>
      <w:r>
        <w:rPr>
          <w:rFonts w:hint="eastAsia" w:ascii="仿宋" w:hAnsi="仿宋" w:eastAsia="仿宋" w:cs="仿宋"/>
          <w:sz w:val="32"/>
          <w:szCs w:val="32"/>
        </w:rPr>
        <w:t>部检验合格。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鲜蛋5批，检验项目为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铅（以Pb计）、镉（以Cd计）、铬（以Cr计）、赭曲霉毒素A</w:t>
      </w:r>
      <w:r>
        <w:rPr>
          <w:rFonts w:hint="eastAsia" w:ascii="仿宋" w:hAnsi="仿宋" w:eastAsia="仿宋" w:cs="仿宋"/>
          <w:sz w:val="32"/>
          <w:szCs w:val="32"/>
        </w:rPr>
        <w:t>等全部检验合格。</w:t>
      </w:r>
    </w:p>
    <w:p>
      <w:pPr>
        <w:spacing w:line="360" w:lineRule="auto"/>
        <w:ind w:firstLine="641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6.生干坚果与籽类食品4批次，检验项目为酸价（以脂肪计）、过氧化值（以脂肪计）、铅（以Pb计）、苯醚甲环唑、多菌灵、二氧化硫残留量、大肠菌群、镉（以Cd计）、黄曲霉毒素B1</w:t>
      </w:r>
      <w:r>
        <w:rPr>
          <w:rFonts w:hint="eastAsia" w:ascii="仿宋" w:hAnsi="仿宋" w:eastAsia="仿宋" w:cs="仿宋"/>
          <w:sz w:val="32"/>
          <w:szCs w:val="32"/>
        </w:rPr>
        <w:t>等全部检验合格。</w:t>
      </w:r>
    </w:p>
    <w:p>
      <w:pPr>
        <w:spacing w:line="360" w:lineRule="auto"/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360" w:lineRule="auto"/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吕梁市市场监督管理局</w:t>
      </w:r>
    </w:p>
    <w:p>
      <w:pPr>
        <w:spacing w:line="360" w:lineRule="auto"/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2019年11月21日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、本次检验项目</w:t>
      </w:r>
    </w:p>
    <w:p>
      <w:pPr>
        <w:numPr>
          <w:ilvl w:val="0"/>
          <w:numId w:val="1"/>
        </w:numPr>
        <w:spacing w:line="360" w:lineRule="auto"/>
        <w:ind w:left="9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食品抽检合格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（公开属性：主动公开）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  <w:sectPr>
          <w:pgSz w:w="11900" w:h="16838"/>
          <w:pgMar w:top="1440" w:right="1780" w:bottom="948" w:left="1800" w:header="0" w:footer="0" w:gutter="0"/>
          <w:cols w:equalWidth="0" w:num="1">
            <w:col w:w="8320"/>
          </w:cols>
          <w:docGrid w:linePitch="360" w:charSpace="0"/>
        </w:sectPr>
      </w:pPr>
    </w:p>
    <w:tbl>
      <w:tblPr>
        <w:tblStyle w:val="3"/>
        <w:tblW w:w="14837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4"/>
        <w:gridCol w:w="31"/>
        <w:gridCol w:w="693"/>
        <w:gridCol w:w="57"/>
        <w:gridCol w:w="668"/>
        <w:gridCol w:w="612"/>
        <w:gridCol w:w="113"/>
        <w:gridCol w:w="1892"/>
        <w:gridCol w:w="31"/>
        <w:gridCol w:w="725"/>
        <w:gridCol w:w="441"/>
        <w:gridCol w:w="1022"/>
        <w:gridCol w:w="671"/>
        <w:gridCol w:w="1100"/>
        <w:gridCol w:w="712"/>
        <w:gridCol w:w="53"/>
        <w:gridCol w:w="672"/>
        <w:gridCol w:w="228"/>
        <w:gridCol w:w="497"/>
        <w:gridCol w:w="628"/>
        <w:gridCol w:w="288"/>
        <w:gridCol w:w="672"/>
        <w:gridCol w:w="54"/>
        <w:gridCol w:w="92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83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page3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837" w:type="dxa"/>
            <w:gridSpan w:val="2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 15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期食品监督抽检产品合格信息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NCP19141100151400152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汾阳诚信水果店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冬枣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2019-09-29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NCP19141100151400153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汾阳诚信水果店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柚子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2019-09-29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NCP19141100151400154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汾阳诚信水果店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2019-09-29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NCP19141100151400155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汾阳诚信水果店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脆柿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2019-09-29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NCP19141100151400156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汾阳诚信水果店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2019-09-29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NCP19141100151400157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汾阳诚信水果店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西周蜜瓜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2019-09-29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NCP19141100151400158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汾阳诚信水果店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天山香梨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2019-09-29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NCP19141100151400159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汾阳诚信水果店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野芒芒果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2019-09-29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NCP19141100151400160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汾阳诚信水果店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2019-09-29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NCP19141100151400161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汾阳市晋阳农贸市场志伟蔬菜批发部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NCP19141100151400162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汾阳市晋阳农贸市场志伟蔬菜批发部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蒜苔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3"/>
              <w:tblW w:w="1100" w:type="dxa"/>
              <w:jc w:val="center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00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  <w:jc w:val="center"/>
              </w:trPr>
              <w:tc>
                <w:tcPr>
                  <w:tcW w:w="11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200" w:firstLineChars="10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购进日期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2019-10-14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NCP19141100151400163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汾阳市晋阳农贸市场志伟蔬菜批发部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西兰花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NCP19141100151400164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汾阳市晋阳农贸市场志伟蔬菜批发部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茴子白（甘蓝）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NCP19141100151400165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汾阳市晋阳农贸市场志伟蔬菜批发部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NCP19141100151400166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汾阳市晋阳农贸市场志伟蔬菜批发部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NCP19141100151400167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汾阳市晋阳农贸市场志伟蔬菜批发部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NCP19141100151400168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汾阳市晋阳农贸市场志伟蔬菜批发部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NCP19141100151400007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汾阳市晋阳农贸市场志伟蔬菜批发部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NCP19141100151400026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汾阳市晋阳农贸市场志伟蔬菜批发部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杏鲍菇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NCP19141100151400169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汾阳市晋阳市场树枫蔬菜批发店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NCP19141100151400170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汾阳市晋阳市场树枫蔬菜批发店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NCP19141100151400171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汾阳市晋阳市场树枫蔬菜批发店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NCP19141100151400172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汾阳市晋阳市场树枫蔬菜批发店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NCP19141100151400173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汾阳市晋阳市场树枫蔬菜批发店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NCP19141100151400174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汾阳市晋阳市场树枫蔬菜批发店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NCP19141100151400175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汾阳市晋阳市场树枫蔬菜批发店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NCP19141100151400176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汾阳市晋阳市场树枫蔬菜批发店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NCP19141100151400177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汾阳市晋阳市场树枫蔬菜批发店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NCP19141100151400178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汾阳市晋阳市场树枫蔬菜批发店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NCP19141100151400179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NCP19141100151400180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鲜老母鸡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NCP19141100151400181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NCP19141100151400182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猪肉（带皮前尖）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NCP19141100151400183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NCP19141100151400184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武昌鱼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NCP19141100151400185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毛蟹（母）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NCP19141100151400186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NCP19141100151400187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海虾（活）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NCP19141100151400188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鲫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NCP19141100151400189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村鱼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NCP19141100151400190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鲤鱼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NCP19141100151400191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珍珠庄园五花肉（精品）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2019-10-13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NCP19141100151400192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鸡妈妈鸡蛋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2019-10-08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NCP19141100151400193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山西永辉超市有限公司汾阳分公司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2019-10-08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NCP19141100151400019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NCP19141100151400194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酥梨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NCP19141100151400195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青蛇果（苹果）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NCP19141100151400196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栗子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NCP19141100151400198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NCP19141100151400199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NCP19141100151400200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冬枣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NCP19141100151400201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柚子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NCP19141100151400202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NCP19141100151400203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NCP19141100151400204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贡桔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NCP19141100151400205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NCP19141100151400206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NCP19141100151400207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NCP19141100151400208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NCP19141100151400209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NCP19141100151400210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西兰花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NCP19141100151400211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NCP19141100151400212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西芹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NCP19141100151400213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圆椒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NCP19141100151400214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NCP19141100151400215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NCP19141100151400216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NCP19141100151400217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NCP19141100151400218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泰椒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NCP19141100151400219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蒜苔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NCP19141100151400220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NCP19141100151400221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白萝卜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NCP19141100151400222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汾阳市新贵超市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菜花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NCP19141100151400225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猪肉（五花肉)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NCP19141100151400226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纸皮核桃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NCP19141100151400227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NCP19141100151400229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散柠檬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NCP19141100151400230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粉壳蛋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NCP19141100151400231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虫子蛋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NCP19141100151400233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丰水梨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NCP19141100151400234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海鲜菇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NCP19141100151400235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青柠檬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NCP19141100151400236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冰糖心脆柿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NCP19141100151400237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凯特芒果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NCP19141100151400238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水晶富士（苹果）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NCP19141100151400239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甜石榴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NCP19141100151400240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苤兰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NCP19141100151400241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NCP19141100151400242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水蜜桃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2019-10-17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NCP19141100151400243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NCP19141100151400244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板栗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NCP19141100151400246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NCP19141100151400247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百香果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NCP19141100151400250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小白嘴山药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NCP19141100151400251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西兰花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NCP19141100151400012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2019-10-16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5562" w:type="dxa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417"/>
        <w:gridCol w:w="812"/>
        <w:gridCol w:w="812"/>
        <w:gridCol w:w="1132"/>
        <w:gridCol w:w="1371"/>
        <w:gridCol w:w="674"/>
        <w:gridCol w:w="595"/>
        <w:gridCol w:w="417"/>
        <w:gridCol w:w="706"/>
        <w:gridCol w:w="869"/>
        <w:gridCol w:w="767"/>
        <w:gridCol w:w="699"/>
        <w:gridCol w:w="1005"/>
        <w:gridCol w:w="938"/>
        <w:gridCol w:w="1211"/>
        <w:gridCol w:w="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62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2019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年第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  <w:lang w:val="en-US" w:eastAsia="zh-CN"/>
              </w:rPr>
              <w:t xml:space="preserve">15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期食品监督抽检产品不合格信息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62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抽样编号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标称生产企业名称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标称生产企业地址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被抽样单位名称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被抽样单位地址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食品名称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规格型号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商标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生产日期</w:t>
            </w: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批号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不合格项目║检验结果║标准值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分类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公告号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公告日期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任务来源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检验机构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2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NCP19141100151400224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山西吉隆斯商贸股份有限公司汾阳市家家利超市英雄南路店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汾阳市英雄南路（玛玲商厦地下一层）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散装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购进日期2019-10-15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恩诺沙星（以恩诺沙星与环丙沙星之和计）|8587μg/kg |≤100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???????" w:hAnsi="???????" w:eastAsia="???????" w:cs="???????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2019.11.21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/>
              </w:rPr>
              <w:t>广东东方纵横检测有限公司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3760"/>
    <w:multiLevelType w:val="singleLevel"/>
    <w:tmpl w:val="59B7376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03255"/>
    <w:rsid w:val="08703255"/>
    <w:rsid w:val="0B140EC1"/>
    <w:rsid w:val="113C0D8A"/>
    <w:rsid w:val="1281388A"/>
    <w:rsid w:val="17F34971"/>
    <w:rsid w:val="185B3A18"/>
    <w:rsid w:val="1D7948F4"/>
    <w:rsid w:val="22403666"/>
    <w:rsid w:val="27001D54"/>
    <w:rsid w:val="27560E81"/>
    <w:rsid w:val="2939504B"/>
    <w:rsid w:val="2A015762"/>
    <w:rsid w:val="2AFD1003"/>
    <w:rsid w:val="2B4A4BA7"/>
    <w:rsid w:val="2B577C5D"/>
    <w:rsid w:val="2B853E06"/>
    <w:rsid w:val="2DBE05A8"/>
    <w:rsid w:val="2EBE52B9"/>
    <w:rsid w:val="307E285A"/>
    <w:rsid w:val="31C74BB8"/>
    <w:rsid w:val="326D636A"/>
    <w:rsid w:val="3AE05C10"/>
    <w:rsid w:val="408D6224"/>
    <w:rsid w:val="409A3E86"/>
    <w:rsid w:val="42901CDD"/>
    <w:rsid w:val="443512F8"/>
    <w:rsid w:val="45A609AF"/>
    <w:rsid w:val="47491A51"/>
    <w:rsid w:val="49CA0BB2"/>
    <w:rsid w:val="4C72537E"/>
    <w:rsid w:val="4DF6055A"/>
    <w:rsid w:val="4F622928"/>
    <w:rsid w:val="52B507D8"/>
    <w:rsid w:val="53CB1EE0"/>
    <w:rsid w:val="5790167E"/>
    <w:rsid w:val="57E638A4"/>
    <w:rsid w:val="5C2D464B"/>
    <w:rsid w:val="60866EB0"/>
    <w:rsid w:val="634E347E"/>
    <w:rsid w:val="64EE2657"/>
    <w:rsid w:val="6EC0269B"/>
    <w:rsid w:val="74BE3CAD"/>
    <w:rsid w:val="75F43303"/>
    <w:rsid w:val="797771D4"/>
    <w:rsid w:val="7E7436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2019-11-04T01:52:00Z</dcterms:created>
  <dc:creator>commy</dc:creator>
  <cp:lastModifiedBy>Administrator</cp:lastModifiedBy>
  <dcterms:modified xsi:type="dcterms:W3CDTF">2019-11-27T08:44:25Z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