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overflowPunct w:val="0"/>
      </w:pPr>
      <w:bookmarkStart w:id="0" w:name="_____"/>
      <w:bookmarkEnd w:id="0"/>
    </w:p>
    <w:p>
      <w:pPr>
        <w:widowControl w:val="0"/>
        <w:overflowPunct w:val="0"/>
        <w:jc w:val="center"/>
        <w:rPr>
          <w:rFonts w:hint="eastAsia"/>
          <w:sz w:val="52"/>
          <w:szCs w:val="52"/>
          <w:lang w:eastAsia="zh-CN"/>
        </w:rPr>
      </w:pPr>
    </w:p>
    <w:p>
      <w:pPr>
        <w:widowControl w:val="0"/>
        <w:overflowPunct w:val="0"/>
        <w:jc w:val="center"/>
        <w:rPr>
          <w:rFonts w:hint="eastAsia" w:ascii="黑体" w:hAnsi="黑体" w:eastAsia="黑体" w:cs="黑体"/>
          <w:sz w:val="72"/>
          <w:szCs w:val="72"/>
          <w:lang w:eastAsia="zh-CN"/>
        </w:rPr>
      </w:pPr>
      <w:r>
        <w:rPr>
          <w:rFonts w:hint="eastAsia" w:ascii="黑体" w:hAnsi="黑体" w:eastAsia="黑体" w:cs="黑体"/>
          <w:sz w:val="72"/>
          <w:szCs w:val="72"/>
          <w:lang w:eastAsia="zh-CN"/>
        </w:rPr>
        <w:t>吕梁市发展和改革委员会</w:t>
      </w:r>
    </w:p>
    <w:p>
      <w:pPr>
        <w:widowControl w:val="0"/>
        <w:overflowPunct w:val="0"/>
        <w:jc w:val="center"/>
        <w:rPr>
          <w:rFonts w:hint="eastAsia" w:ascii="黑体" w:hAnsi="黑体" w:eastAsia="黑体" w:cs="黑体"/>
          <w:sz w:val="72"/>
          <w:szCs w:val="72"/>
          <w:lang w:eastAsia="zh-CN"/>
        </w:rPr>
      </w:pPr>
      <w:r>
        <w:rPr>
          <w:rFonts w:hint="eastAsia" w:ascii="黑体" w:hAnsi="黑体" w:eastAsia="黑体" w:cs="黑体"/>
          <w:sz w:val="72"/>
          <w:szCs w:val="72"/>
          <w:lang w:eastAsia="zh-CN"/>
        </w:rPr>
        <w:t>政府采购业务内部控制</w:t>
      </w:r>
    </w:p>
    <w:p>
      <w:pPr>
        <w:widowControl w:val="0"/>
        <w:overflowPunct w:val="0"/>
        <w:jc w:val="center"/>
        <w:rPr>
          <w:rFonts w:hint="eastAsia" w:ascii="黑体" w:hAnsi="黑体" w:eastAsia="黑体" w:cs="黑体"/>
          <w:sz w:val="72"/>
          <w:szCs w:val="72"/>
          <w:lang w:eastAsia="zh-CN"/>
        </w:rPr>
      </w:pPr>
    </w:p>
    <w:p>
      <w:pPr>
        <w:widowControl w:val="0"/>
        <w:overflowPunct w:val="0"/>
        <w:jc w:val="center"/>
        <w:rPr>
          <w:rFonts w:hint="eastAsia" w:ascii="黑体" w:hAnsi="黑体" w:eastAsia="黑体" w:cs="黑体"/>
          <w:sz w:val="72"/>
          <w:szCs w:val="72"/>
          <w:lang w:eastAsia="zh-CN"/>
        </w:rPr>
      </w:pPr>
    </w:p>
    <w:p>
      <w:pPr>
        <w:widowControl w:val="0"/>
        <w:overflowPunct w:val="0"/>
        <w:jc w:val="center"/>
        <w:rPr>
          <w:rFonts w:hint="eastAsia" w:ascii="黑体" w:hAnsi="黑体" w:eastAsia="黑体" w:cs="黑体"/>
          <w:sz w:val="72"/>
          <w:szCs w:val="72"/>
          <w:lang w:eastAsia="zh-CN"/>
        </w:rPr>
      </w:pPr>
      <w:r>
        <w:rPr>
          <w:rFonts w:hint="eastAsia" w:ascii="黑体" w:hAnsi="黑体" w:eastAsia="黑体" w:cs="黑体"/>
          <w:sz w:val="72"/>
          <w:szCs w:val="72"/>
          <w:lang w:eastAsia="zh-CN"/>
        </w:rPr>
        <w:t>制</w:t>
      </w:r>
    </w:p>
    <w:p>
      <w:pPr>
        <w:widowControl w:val="0"/>
        <w:overflowPunct w:val="0"/>
        <w:jc w:val="center"/>
        <w:rPr>
          <w:rFonts w:hint="eastAsia" w:ascii="黑体" w:hAnsi="黑体" w:eastAsia="黑体" w:cs="黑体"/>
          <w:sz w:val="72"/>
          <w:szCs w:val="72"/>
          <w:lang w:eastAsia="zh-CN"/>
        </w:rPr>
      </w:pPr>
      <w:r>
        <w:rPr>
          <w:rFonts w:hint="eastAsia" w:ascii="黑体" w:hAnsi="黑体" w:eastAsia="黑体" w:cs="黑体"/>
          <w:sz w:val="72"/>
          <w:szCs w:val="72"/>
          <w:lang w:eastAsia="zh-CN"/>
        </w:rPr>
        <w:t>度</w:t>
      </w:r>
    </w:p>
    <w:p>
      <w:pPr>
        <w:widowControl w:val="0"/>
        <w:overflowPunct w:val="0"/>
        <w:jc w:val="center"/>
        <w:rPr>
          <w:rFonts w:hint="eastAsia" w:ascii="黑体" w:hAnsi="黑体" w:eastAsia="黑体" w:cs="黑体"/>
          <w:sz w:val="72"/>
          <w:szCs w:val="72"/>
          <w:lang w:eastAsia="zh-CN"/>
        </w:rPr>
      </w:pPr>
      <w:r>
        <w:rPr>
          <w:rFonts w:hint="eastAsia" w:ascii="黑体" w:hAnsi="黑体" w:eastAsia="黑体" w:cs="黑体"/>
          <w:sz w:val="72"/>
          <w:szCs w:val="72"/>
          <w:lang w:eastAsia="zh-CN"/>
        </w:rPr>
        <w:t>与</w:t>
      </w:r>
    </w:p>
    <w:p>
      <w:pPr>
        <w:widowControl w:val="0"/>
        <w:overflowPunct w:val="0"/>
        <w:jc w:val="center"/>
        <w:rPr>
          <w:rFonts w:hint="eastAsia" w:ascii="黑体" w:hAnsi="黑体" w:eastAsia="黑体" w:cs="黑体"/>
          <w:sz w:val="72"/>
          <w:szCs w:val="72"/>
          <w:lang w:eastAsia="zh-CN"/>
        </w:rPr>
      </w:pPr>
      <w:r>
        <w:rPr>
          <w:rFonts w:hint="eastAsia" w:ascii="黑体" w:hAnsi="黑体" w:eastAsia="黑体" w:cs="黑体"/>
          <w:sz w:val="72"/>
          <w:szCs w:val="72"/>
          <w:lang w:eastAsia="zh-CN"/>
        </w:rPr>
        <w:t>流</w:t>
      </w:r>
    </w:p>
    <w:p>
      <w:pPr>
        <w:widowControl w:val="0"/>
        <w:overflowPunct w:val="0"/>
        <w:jc w:val="center"/>
        <w:rPr>
          <w:rFonts w:hint="eastAsia" w:ascii="黑体" w:hAnsi="黑体" w:eastAsia="黑体" w:cs="黑体"/>
          <w:sz w:val="72"/>
          <w:szCs w:val="72"/>
          <w:lang w:eastAsia="zh-CN"/>
        </w:rPr>
      </w:pPr>
      <w:r>
        <w:rPr>
          <w:rFonts w:hint="eastAsia" w:ascii="黑体" w:hAnsi="黑体" w:eastAsia="黑体" w:cs="黑体"/>
          <w:sz w:val="72"/>
          <w:szCs w:val="72"/>
          <w:lang w:eastAsia="zh-CN"/>
        </w:rPr>
        <w:t>程</w:t>
      </w:r>
    </w:p>
    <w:p>
      <w:pPr>
        <w:widowControl w:val="0"/>
        <w:overflowPunct w:val="0"/>
        <w:jc w:val="center"/>
        <w:rPr>
          <w:rFonts w:hint="eastAsia" w:ascii="黑体" w:hAnsi="黑体" w:eastAsia="黑体" w:cs="黑体"/>
          <w:sz w:val="52"/>
          <w:szCs w:val="52"/>
          <w:lang w:eastAsia="zh-CN"/>
        </w:rPr>
      </w:pPr>
    </w:p>
    <w:p>
      <w:pPr>
        <w:widowControl w:val="0"/>
        <w:overflowPunct w:val="0"/>
        <w:jc w:val="center"/>
        <w:rPr>
          <w:rFonts w:hint="eastAsia" w:ascii="黑体" w:hAnsi="黑体" w:eastAsia="黑体" w:cs="黑体"/>
          <w:sz w:val="52"/>
          <w:szCs w:val="52"/>
          <w:lang w:eastAsia="zh-CN"/>
        </w:rPr>
      </w:pPr>
    </w:p>
    <w:p>
      <w:pPr>
        <w:widowControl w:val="0"/>
        <w:overflowPunct w:val="0"/>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吕梁市发展和改革委员会</w:t>
      </w:r>
    </w:p>
    <w:p>
      <w:pPr>
        <w:widowControl w:val="0"/>
        <w:overflowPunct w:val="0"/>
        <w:ind w:firstLine="3200" w:firstLineChars="1000"/>
        <w:jc w:val="both"/>
        <w:rPr>
          <w:rFonts w:hint="default" w:ascii="黑体" w:hAnsi="黑体" w:eastAsia="黑体" w:cs="黑体"/>
          <w:sz w:val="32"/>
          <w:szCs w:val="32"/>
          <w:lang w:val="en-US" w:eastAsia="zh-CN"/>
        </w:rPr>
        <w:sectPr>
          <w:headerReference r:id="rId5" w:type="first"/>
          <w:headerReference r:id="rId3" w:type="default"/>
          <w:headerReference r:id="rId4" w:type="even"/>
          <w:pgSz w:w="11906" w:h="16838"/>
          <w:pgMar w:top="1814" w:right="1418" w:bottom="1588" w:left="1418" w:header="1134" w:footer="1247" w:gutter="0"/>
          <w:pgNumType w:start="1"/>
          <w:cols w:space="425" w:num="1"/>
          <w:docGrid w:type="lines" w:linePitch="326" w:charSpace="0"/>
        </w:sectPr>
      </w:pPr>
      <w:r>
        <w:rPr>
          <w:rFonts w:hint="eastAsia" w:ascii="黑体" w:hAnsi="黑体" w:eastAsia="黑体" w:cs="黑体"/>
          <w:sz w:val="32"/>
          <w:szCs w:val="32"/>
          <w:lang w:val="en-US" w:eastAsia="zh-CN"/>
        </w:rPr>
        <w:t>2021年7月8号</w:t>
      </w:r>
      <w:bookmarkStart w:id="27" w:name="_GoBack"/>
      <w:bookmarkEnd w:id="27"/>
    </w:p>
    <w:p>
      <w:pPr>
        <w:pStyle w:val="2"/>
        <w:keepNext w:val="0"/>
        <w:widowControl w:val="0"/>
        <w:numPr>
          <w:ilvl w:val="0"/>
          <w:numId w:val="1"/>
        </w:numPr>
        <w:overflowPunct w:val="0"/>
        <w:spacing w:line="340" w:lineRule="auto"/>
        <w:ind w:left="0" w:firstLine="0"/>
        <w:rPr>
          <w:rFonts w:ascii="Times New Roman" w:hAnsi="Times New Roman" w:eastAsia="黑体" w:cs="宋体"/>
          <w:b w:val="0"/>
          <w:bCs w:val="0"/>
          <w:sz w:val="28"/>
        </w:rPr>
      </w:pPr>
      <w:bookmarkStart w:id="1" w:name="_____2"/>
      <w:bookmarkEnd w:id="1"/>
      <w:bookmarkStart w:id="2" w:name="_Toc74814757"/>
      <w:bookmarkStart w:id="3" w:name="_Toc49756795"/>
      <w:r>
        <w:rPr>
          <w:rFonts w:hint="eastAsia" w:ascii="Times New Roman" w:hAnsi="Times New Roman" w:eastAsia="黑体" w:cs="宋体"/>
          <w:b w:val="0"/>
          <w:bCs w:val="0"/>
          <w:sz w:val="28"/>
        </w:rPr>
        <w:t>制度汇编</w:t>
      </w:r>
      <w:bookmarkEnd w:id="2"/>
    </w:p>
    <w:p>
      <w:pPr>
        <w:pStyle w:val="3"/>
        <w:keepNext w:val="0"/>
        <w:widowControl w:val="0"/>
        <w:overflowPunct w:val="0"/>
        <w:spacing w:before="0" w:after="0"/>
        <w:jc w:val="center"/>
        <w:rPr>
          <w:rFonts w:ascii="Times New Roman" w:hAnsi="Times New Roman" w:eastAsia="黑体" w:cs="宋体"/>
          <w:b w:val="0"/>
          <w:bCs w:val="0"/>
          <w:i w:val="0"/>
          <w:iCs w:val="0"/>
          <w:sz w:val="32"/>
          <w:szCs w:val="32"/>
        </w:rPr>
      </w:pPr>
      <w:bookmarkStart w:id="4" w:name="_Toc74814780"/>
      <w:r>
        <w:rPr>
          <w:rFonts w:hint="eastAsia" w:ascii="Times New Roman" w:hAnsi="Times New Roman" w:eastAsia="黑体" w:cs="宋体"/>
          <w:b w:val="0"/>
          <w:bCs w:val="0"/>
          <w:i w:val="0"/>
          <w:iCs w:val="0"/>
          <w:sz w:val="32"/>
          <w:szCs w:val="32"/>
        </w:rPr>
        <w:t>政府采购业务内部管理制度</w:t>
      </w:r>
      <w:bookmarkEnd w:id="4"/>
    </w:p>
    <w:p>
      <w:pPr>
        <w:widowControl w:val="0"/>
        <w:overflowPunct w:val="0"/>
        <w:jc w:val="both"/>
        <w:rPr>
          <w:kern w:val="44"/>
          <w:sz w:val="21"/>
          <w:szCs w:val="21"/>
        </w:rPr>
      </w:pPr>
    </w:p>
    <w:p>
      <w:pPr>
        <w:widowControl w:val="0"/>
        <w:overflowPunct w:val="0"/>
        <w:jc w:val="both"/>
        <w:rPr>
          <w:kern w:val="44"/>
          <w:sz w:val="21"/>
          <w:szCs w:val="21"/>
        </w:rPr>
      </w:pPr>
    </w:p>
    <w:p>
      <w:pPr>
        <w:pStyle w:val="4"/>
        <w:widowControl w:val="0"/>
        <w:numPr>
          <w:ilvl w:val="0"/>
          <w:numId w:val="2"/>
        </w:numPr>
        <w:overflowPunct w:val="0"/>
        <w:spacing w:before="120" w:beforeLines="50" w:after="120" w:afterLines="50"/>
        <w:jc w:val="center"/>
        <w:rPr>
          <w:rFonts w:ascii="Times New Roman" w:hAnsi="Times New Roman" w:eastAsia="黑体"/>
          <w:b w:val="0"/>
          <w:bCs w:val="0"/>
          <w:sz w:val="24"/>
          <w:szCs w:val="24"/>
        </w:rPr>
      </w:pPr>
      <w:r>
        <w:rPr>
          <w:rFonts w:hint="eastAsia" w:ascii="Times New Roman" w:hAnsi="Times New Roman" w:eastAsia="黑体"/>
          <w:b w:val="0"/>
          <w:bCs w:val="0"/>
          <w:sz w:val="24"/>
          <w:szCs w:val="24"/>
        </w:rPr>
        <w:t xml:space="preserve"> </w:t>
      </w:r>
      <w:bookmarkStart w:id="5" w:name="_Toc74814781"/>
      <w:r>
        <w:rPr>
          <w:rFonts w:hint="eastAsia" w:ascii="Times New Roman" w:hAnsi="Times New Roman" w:eastAsia="黑体"/>
          <w:b w:val="0"/>
          <w:bCs w:val="0"/>
          <w:sz w:val="24"/>
          <w:szCs w:val="24"/>
        </w:rPr>
        <w:t>总  则</w:t>
      </w:r>
      <w:bookmarkEnd w:id="5"/>
    </w:p>
    <w:p>
      <w:pPr>
        <w:widowControl w:val="0"/>
        <w:numPr>
          <w:ilvl w:val="0"/>
          <w:numId w:val="3"/>
        </w:numPr>
        <w:overflowPunct w:val="0"/>
        <w:ind w:left="0" w:firstLine="420" w:firstLineChars="200"/>
        <w:jc w:val="both"/>
        <w:rPr>
          <w:sz w:val="21"/>
          <w:szCs w:val="21"/>
        </w:rPr>
      </w:pPr>
      <w:r>
        <w:rPr>
          <w:rFonts w:hint="eastAsia"/>
          <w:sz w:val="21"/>
          <w:szCs w:val="21"/>
        </w:rPr>
        <w:t>为规范单位政府采购业务管理，根据《中华人民共和国政府采购法》《中华人民共和国招标投标法》及其实施条例等，结合工作实际情况，制定本制度。</w:t>
      </w:r>
    </w:p>
    <w:p>
      <w:pPr>
        <w:widowControl w:val="0"/>
        <w:numPr>
          <w:ilvl w:val="0"/>
          <w:numId w:val="3"/>
        </w:numPr>
        <w:overflowPunct w:val="0"/>
        <w:ind w:left="0" w:firstLine="420" w:firstLineChars="200"/>
        <w:jc w:val="both"/>
        <w:rPr>
          <w:sz w:val="21"/>
          <w:szCs w:val="21"/>
        </w:rPr>
      </w:pPr>
      <w:r>
        <w:rPr>
          <w:rFonts w:hint="eastAsia"/>
          <w:sz w:val="21"/>
          <w:szCs w:val="21"/>
        </w:rPr>
        <w:t>本制度适用于单位本级。</w:t>
      </w:r>
    </w:p>
    <w:p>
      <w:pPr>
        <w:widowControl w:val="0"/>
        <w:numPr>
          <w:ilvl w:val="0"/>
          <w:numId w:val="3"/>
        </w:numPr>
        <w:overflowPunct w:val="0"/>
        <w:ind w:left="0" w:firstLine="420" w:firstLineChars="200"/>
        <w:jc w:val="both"/>
        <w:rPr>
          <w:sz w:val="21"/>
          <w:szCs w:val="21"/>
        </w:rPr>
      </w:pPr>
      <w:r>
        <w:rPr>
          <w:rFonts w:hint="eastAsia"/>
          <w:sz w:val="21"/>
          <w:szCs w:val="21"/>
        </w:rPr>
        <w:t>政府采购是指使用财政性资金采购依法制定的集中采购目录以内的或者采购限额标准以上的货物、工程和服务的行为。</w:t>
      </w:r>
    </w:p>
    <w:p>
      <w:pPr>
        <w:widowControl w:val="0"/>
        <w:overflowPunct w:val="0"/>
        <w:ind w:firstLine="420"/>
        <w:jc w:val="both"/>
        <w:rPr>
          <w:sz w:val="21"/>
          <w:szCs w:val="21"/>
        </w:rPr>
      </w:pPr>
      <w:r>
        <w:rPr>
          <w:rFonts w:hint="eastAsia"/>
          <w:sz w:val="21"/>
          <w:szCs w:val="21"/>
        </w:rPr>
        <w:t>采购是指以合同方式有偿取得货物、工程和服务的行为，包括购买、租赁、委托、雇用等。货物是指各种形态和种类的物品，包括原材料、燃料、设备、产品等。工程是指建设工程，包括建筑物和构筑物的新建、改建、扩建、装修、拆除、修缮等。服务是指除货物和工程以外的其他政府采购对象。</w:t>
      </w:r>
    </w:p>
    <w:p>
      <w:pPr>
        <w:widowControl w:val="0"/>
        <w:numPr>
          <w:ilvl w:val="0"/>
          <w:numId w:val="3"/>
        </w:numPr>
        <w:overflowPunct w:val="0"/>
        <w:ind w:left="0" w:firstLine="420" w:firstLineChars="200"/>
        <w:jc w:val="both"/>
        <w:rPr>
          <w:sz w:val="21"/>
          <w:szCs w:val="21"/>
        </w:rPr>
      </w:pPr>
      <w:r>
        <w:rPr>
          <w:rFonts w:hint="eastAsia"/>
          <w:sz w:val="21"/>
          <w:szCs w:val="21"/>
        </w:rPr>
        <w:t>政府采购应当遵循公开透明原则、公平竞争原则、公正原则和诚实信用原则。</w:t>
      </w:r>
    </w:p>
    <w:p>
      <w:pPr>
        <w:pStyle w:val="4"/>
        <w:widowControl w:val="0"/>
        <w:numPr>
          <w:ilvl w:val="0"/>
          <w:numId w:val="2"/>
        </w:numPr>
        <w:overflowPunct w:val="0"/>
        <w:spacing w:before="120" w:beforeLines="50" w:after="120" w:afterLines="50"/>
        <w:jc w:val="center"/>
        <w:rPr>
          <w:rFonts w:ascii="Times New Roman" w:hAnsi="Times New Roman" w:eastAsia="黑体"/>
          <w:b w:val="0"/>
          <w:bCs w:val="0"/>
          <w:sz w:val="24"/>
          <w:szCs w:val="24"/>
        </w:rPr>
      </w:pPr>
      <w:r>
        <w:rPr>
          <w:rFonts w:hint="eastAsia" w:ascii="Times New Roman" w:hAnsi="Times New Roman" w:eastAsia="黑体"/>
          <w:b w:val="0"/>
          <w:bCs w:val="0"/>
          <w:sz w:val="24"/>
          <w:szCs w:val="24"/>
        </w:rPr>
        <w:t xml:space="preserve"> </w:t>
      </w:r>
      <w:bookmarkStart w:id="6" w:name="_Toc74814782"/>
      <w:r>
        <w:rPr>
          <w:rFonts w:hint="eastAsia" w:ascii="Times New Roman" w:hAnsi="Times New Roman" w:eastAsia="黑体"/>
          <w:b w:val="0"/>
          <w:bCs w:val="0"/>
          <w:sz w:val="24"/>
          <w:szCs w:val="24"/>
        </w:rPr>
        <w:t>管理机构和岗位</w:t>
      </w:r>
      <w:bookmarkEnd w:id="6"/>
    </w:p>
    <w:p>
      <w:pPr>
        <w:widowControl w:val="0"/>
        <w:numPr>
          <w:ilvl w:val="0"/>
          <w:numId w:val="3"/>
        </w:numPr>
        <w:overflowPunct w:val="0"/>
        <w:ind w:left="0" w:firstLine="420" w:firstLineChars="200"/>
        <w:jc w:val="both"/>
        <w:rPr>
          <w:sz w:val="21"/>
          <w:szCs w:val="21"/>
        </w:rPr>
      </w:pPr>
      <w:r>
        <w:rPr>
          <w:rFonts w:hint="eastAsia"/>
          <w:sz w:val="21"/>
          <w:szCs w:val="21"/>
        </w:rPr>
        <w:t>领导班子会议是单位政府采购管理最高决策机构。主要职能包括：</w:t>
      </w:r>
    </w:p>
    <w:p>
      <w:pPr>
        <w:pStyle w:val="39"/>
        <w:widowControl w:val="0"/>
        <w:numPr>
          <w:ilvl w:val="0"/>
          <w:numId w:val="4"/>
        </w:numPr>
        <w:overflowPunct w:val="0"/>
        <w:ind w:firstLine="420"/>
        <w:jc w:val="both"/>
        <w:rPr>
          <w:sz w:val="21"/>
          <w:szCs w:val="21"/>
        </w:rPr>
      </w:pPr>
      <w:r>
        <w:rPr>
          <w:rFonts w:hint="eastAsia"/>
          <w:sz w:val="21"/>
          <w:szCs w:val="21"/>
        </w:rPr>
        <w:t>审定政府采购业务内部管理制度；</w:t>
      </w:r>
    </w:p>
    <w:p>
      <w:pPr>
        <w:pStyle w:val="39"/>
        <w:widowControl w:val="0"/>
        <w:numPr>
          <w:ilvl w:val="0"/>
          <w:numId w:val="4"/>
        </w:numPr>
        <w:overflowPunct w:val="0"/>
        <w:ind w:firstLine="420"/>
        <w:jc w:val="both"/>
        <w:rPr>
          <w:sz w:val="21"/>
          <w:szCs w:val="21"/>
        </w:rPr>
      </w:pPr>
      <w:r>
        <w:rPr>
          <w:rFonts w:hint="eastAsia"/>
          <w:sz w:val="21"/>
          <w:szCs w:val="21"/>
        </w:rPr>
        <w:t>研究决定重大政府采购事项；</w:t>
      </w:r>
    </w:p>
    <w:p>
      <w:pPr>
        <w:pStyle w:val="39"/>
        <w:widowControl w:val="0"/>
        <w:numPr>
          <w:ilvl w:val="0"/>
          <w:numId w:val="4"/>
        </w:numPr>
        <w:overflowPunct w:val="0"/>
        <w:ind w:firstLine="420"/>
        <w:jc w:val="both"/>
        <w:rPr>
          <w:sz w:val="21"/>
          <w:szCs w:val="21"/>
        </w:rPr>
      </w:pPr>
      <w:r>
        <w:rPr>
          <w:rFonts w:hint="eastAsia"/>
          <w:sz w:val="21"/>
          <w:szCs w:val="21"/>
        </w:rPr>
        <w:t>其他相关决策事项。</w:t>
      </w:r>
    </w:p>
    <w:p>
      <w:pPr>
        <w:widowControl w:val="0"/>
        <w:numPr>
          <w:ilvl w:val="0"/>
          <w:numId w:val="3"/>
        </w:numPr>
        <w:overflowPunct w:val="0"/>
        <w:ind w:left="0" w:firstLine="420" w:firstLineChars="200"/>
        <w:jc w:val="both"/>
        <w:rPr>
          <w:sz w:val="21"/>
          <w:szCs w:val="21"/>
        </w:rPr>
      </w:pPr>
      <w:r>
        <w:rPr>
          <w:rFonts w:hint="eastAsia"/>
          <w:sz w:val="21"/>
          <w:szCs w:val="21"/>
        </w:rPr>
        <w:t>办公室是政府采购归口部门。主要职能包括：</w:t>
      </w:r>
    </w:p>
    <w:p>
      <w:pPr>
        <w:pStyle w:val="39"/>
        <w:widowControl w:val="0"/>
        <w:numPr>
          <w:ilvl w:val="0"/>
          <w:numId w:val="5"/>
        </w:numPr>
        <w:overflowPunct w:val="0"/>
        <w:ind w:firstLine="420"/>
        <w:jc w:val="both"/>
        <w:rPr>
          <w:sz w:val="21"/>
          <w:szCs w:val="21"/>
        </w:rPr>
      </w:pPr>
      <w:r>
        <w:rPr>
          <w:rFonts w:hint="eastAsia"/>
          <w:sz w:val="21"/>
          <w:szCs w:val="21"/>
        </w:rPr>
        <w:t>草拟政府采购业务内部管理制度；</w:t>
      </w:r>
    </w:p>
    <w:p>
      <w:pPr>
        <w:pStyle w:val="39"/>
        <w:widowControl w:val="0"/>
        <w:numPr>
          <w:ilvl w:val="0"/>
          <w:numId w:val="5"/>
        </w:numPr>
        <w:overflowPunct w:val="0"/>
        <w:ind w:firstLine="420"/>
        <w:jc w:val="both"/>
        <w:rPr>
          <w:sz w:val="21"/>
          <w:szCs w:val="21"/>
        </w:rPr>
      </w:pPr>
      <w:r>
        <w:rPr>
          <w:rFonts w:hint="eastAsia"/>
          <w:sz w:val="21"/>
          <w:szCs w:val="21"/>
        </w:rPr>
        <w:t>转发有关管理规定与政府采购相关信息；</w:t>
      </w:r>
    </w:p>
    <w:p>
      <w:pPr>
        <w:pStyle w:val="39"/>
        <w:widowControl w:val="0"/>
        <w:numPr>
          <w:ilvl w:val="0"/>
          <w:numId w:val="5"/>
        </w:numPr>
        <w:overflowPunct w:val="0"/>
        <w:ind w:firstLine="420"/>
        <w:jc w:val="both"/>
        <w:rPr>
          <w:sz w:val="21"/>
          <w:szCs w:val="21"/>
        </w:rPr>
      </w:pPr>
      <w:r>
        <w:rPr>
          <w:rFonts w:hint="eastAsia"/>
          <w:sz w:val="21"/>
          <w:szCs w:val="21"/>
        </w:rPr>
        <w:t>确定政府采购组织形式和采购方式；</w:t>
      </w:r>
    </w:p>
    <w:p>
      <w:pPr>
        <w:pStyle w:val="39"/>
        <w:widowControl w:val="0"/>
        <w:numPr>
          <w:ilvl w:val="0"/>
          <w:numId w:val="5"/>
        </w:numPr>
        <w:overflowPunct w:val="0"/>
        <w:ind w:firstLine="420"/>
        <w:jc w:val="both"/>
        <w:rPr>
          <w:sz w:val="21"/>
          <w:szCs w:val="21"/>
        </w:rPr>
      </w:pPr>
      <w:r>
        <w:rPr>
          <w:rFonts w:hint="eastAsia"/>
          <w:sz w:val="21"/>
          <w:szCs w:val="21"/>
        </w:rPr>
        <w:t>申报政府采购计划（《采购执行建议书》）；</w:t>
      </w:r>
    </w:p>
    <w:p>
      <w:pPr>
        <w:pStyle w:val="39"/>
        <w:widowControl w:val="0"/>
        <w:numPr>
          <w:ilvl w:val="0"/>
          <w:numId w:val="5"/>
        </w:numPr>
        <w:overflowPunct w:val="0"/>
        <w:ind w:firstLine="420"/>
        <w:jc w:val="both"/>
        <w:rPr>
          <w:sz w:val="21"/>
          <w:szCs w:val="21"/>
        </w:rPr>
      </w:pPr>
      <w:r>
        <w:rPr>
          <w:rFonts w:hint="eastAsia"/>
          <w:sz w:val="21"/>
          <w:szCs w:val="21"/>
        </w:rPr>
        <w:t>根据采购需求统一组织采购活动；</w:t>
      </w:r>
    </w:p>
    <w:p>
      <w:pPr>
        <w:pStyle w:val="39"/>
        <w:widowControl w:val="0"/>
        <w:numPr>
          <w:ilvl w:val="0"/>
          <w:numId w:val="5"/>
        </w:numPr>
        <w:overflowPunct w:val="0"/>
        <w:ind w:firstLine="420"/>
        <w:jc w:val="both"/>
        <w:rPr>
          <w:sz w:val="21"/>
          <w:szCs w:val="21"/>
        </w:rPr>
      </w:pPr>
      <w:r>
        <w:rPr>
          <w:rFonts w:hint="eastAsia"/>
          <w:sz w:val="21"/>
          <w:szCs w:val="21"/>
        </w:rPr>
        <w:t>指导和督促相关部门依法订立和履行政府采购合同；</w:t>
      </w:r>
    </w:p>
    <w:p>
      <w:pPr>
        <w:pStyle w:val="39"/>
        <w:widowControl w:val="0"/>
        <w:numPr>
          <w:ilvl w:val="0"/>
          <w:numId w:val="5"/>
        </w:numPr>
        <w:overflowPunct w:val="0"/>
        <w:ind w:firstLine="420"/>
        <w:jc w:val="both"/>
        <w:rPr>
          <w:sz w:val="21"/>
          <w:szCs w:val="21"/>
        </w:rPr>
      </w:pPr>
      <w:r>
        <w:rPr>
          <w:rFonts w:hint="eastAsia"/>
          <w:sz w:val="21"/>
          <w:szCs w:val="21"/>
        </w:rPr>
        <w:t>组织政府采购验收，需求部门（实际使用人）参与验收；</w:t>
      </w:r>
    </w:p>
    <w:p>
      <w:pPr>
        <w:pStyle w:val="39"/>
        <w:widowControl w:val="0"/>
        <w:numPr>
          <w:ilvl w:val="0"/>
          <w:numId w:val="5"/>
        </w:numPr>
        <w:overflowPunct w:val="0"/>
        <w:ind w:firstLine="420"/>
        <w:jc w:val="both"/>
        <w:rPr>
          <w:sz w:val="21"/>
          <w:szCs w:val="21"/>
        </w:rPr>
      </w:pPr>
      <w:r>
        <w:rPr>
          <w:rFonts w:hint="eastAsia"/>
          <w:sz w:val="21"/>
          <w:szCs w:val="21"/>
        </w:rPr>
        <w:t>组织处理政府采购纠纷；</w:t>
      </w:r>
    </w:p>
    <w:p>
      <w:pPr>
        <w:pStyle w:val="39"/>
        <w:widowControl w:val="0"/>
        <w:numPr>
          <w:ilvl w:val="0"/>
          <w:numId w:val="5"/>
        </w:numPr>
        <w:overflowPunct w:val="0"/>
        <w:ind w:firstLine="420"/>
        <w:jc w:val="both"/>
        <w:rPr>
          <w:sz w:val="21"/>
          <w:szCs w:val="21"/>
        </w:rPr>
      </w:pPr>
      <w:r>
        <w:rPr>
          <w:rFonts w:hint="eastAsia"/>
          <w:sz w:val="21"/>
          <w:szCs w:val="21"/>
        </w:rPr>
        <w:t>备案政府采购合同和相关文件；</w:t>
      </w:r>
    </w:p>
    <w:p>
      <w:pPr>
        <w:pStyle w:val="39"/>
        <w:widowControl w:val="0"/>
        <w:numPr>
          <w:ilvl w:val="0"/>
          <w:numId w:val="5"/>
        </w:numPr>
        <w:overflowPunct w:val="0"/>
        <w:ind w:firstLine="420"/>
        <w:jc w:val="both"/>
        <w:rPr>
          <w:sz w:val="21"/>
          <w:szCs w:val="21"/>
        </w:rPr>
      </w:pPr>
      <w:r>
        <w:rPr>
          <w:rFonts w:hint="eastAsia"/>
          <w:sz w:val="21"/>
          <w:szCs w:val="21"/>
        </w:rPr>
        <w:t>妥善保管政府采购业务相关资料；</w:t>
      </w:r>
    </w:p>
    <w:p>
      <w:pPr>
        <w:pStyle w:val="39"/>
        <w:widowControl w:val="0"/>
        <w:numPr>
          <w:ilvl w:val="0"/>
          <w:numId w:val="5"/>
        </w:numPr>
        <w:overflowPunct w:val="0"/>
        <w:ind w:firstLine="420"/>
        <w:jc w:val="both"/>
        <w:rPr>
          <w:sz w:val="21"/>
          <w:szCs w:val="21"/>
        </w:rPr>
      </w:pPr>
      <w:r>
        <w:rPr>
          <w:rFonts w:hint="eastAsia"/>
          <w:sz w:val="21"/>
          <w:szCs w:val="21"/>
        </w:rPr>
        <w:t>定期对政府采购业务信息进行分类统计和分析，并在内部通报；</w:t>
      </w:r>
    </w:p>
    <w:p>
      <w:pPr>
        <w:pStyle w:val="39"/>
        <w:widowControl w:val="0"/>
        <w:numPr>
          <w:ilvl w:val="0"/>
          <w:numId w:val="5"/>
        </w:numPr>
        <w:overflowPunct w:val="0"/>
        <w:ind w:firstLine="420"/>
        <w:jc w:val="both"/>
        <w:rPr>
          <w:sz w:val="21"/>
          <w:szCs w:val="21"/>
        </w:rPr>
      </w:pPr>
      <w:r>
        <w:rPr>
          <w:rFonts w:hint="eastAsia"/>
          <w:sz w:val="21"/>
          <w:szCs w:val="21"/>
        </w:rPr>
        <w:t>配合财务部门核对政府采购业务结算情况。</w:t>
      </w:r>
    </w:p>
    <w:p>
      <w:pPr>
        <w:pStyle w:val="39"/>
        <w:widowControl w:val="0"/>
        <w:overflowPunct w:val="0"/>
        <w:jc w:val="both"/>
        <w:rPr>
          <w:sz w:val="21"/>
          <w:szCs w:val="21"/>
        </w:rPr>
      </w:pPr>
      <w:r>
        <w:rPr>
          <w:rFonts w:hint="eastAsia"/>
          <w:sz w:val="21"/>
          <w:szCs w:val="21"/>
        </w:rPr>
        <w:t>上述职能由采购管理岗具体负责。</w:t>
      </w:r>
    </w:p>
    <w:p>
      <w:pPr>
        <w:widowControl w:val="0"/>
        <w:numPr>
          <w:ilvl w:val="0"/>
          <w:numId w:val="3"/>
        </w:numPr>
        <w:overflowPunct w:val="0"/>
        <w:ind w:left="0" w:firstLine="420" w:firstLineChars="200"/>
        <w:jc w:val="both"/>
        <w:rPr>
          <w:sz w:val="21"/>
          <w:szCs w:val="21"/>
        </w:rPr>
      </w:pPr>
      <w:bookmarkStart w:id="7" w:name="_Hlk53337301"/>
      <w:r>
        <w:rPr>
          <w:rFonts w:hint="eastAsia"/>
          <w:sz w:val="21"/>
          <w:szCs w:val="21"/>
        </w:rPr>
        <w:t>财务部门是政府采购财务层面的协同管理机构。主要职能</w:t>
      </w:r>
      <w:bookmarkEnd w:id="7"/>
      <w:r>
        <w:rPr>
          <w:rFonts w:hint="eastAsia"/>
          <w:sz w:val="21"/>
          <w:szCs w:val="21"/>
        </w:rPr>
        <w:t>包括：</w:t>
      </w:r>
    </w:p>
    <w:p>
      <w:pPr>
        <w:pStyle w:val="39"/>
        <w:widowControl w:val="0"/>
        <w:numPr>
          <w:ilvl w:val="0"/>
          <w:numId w:val="6"/>
        </w:numPr>
        <w:overflowPunct w:val="0"/>
        <w:ind w:firstLine="420"/>
        <w:jc w:val="both"/>
        <w:rPr>
          <w:sz w:val="21"/>
          <w:szCs w:val="21"/>
        </w:rPr>
      </w:pPr>
      <w:r>
        <w:rPr>
          <w:rFonts w:hint="eastAsia"/>
          <w:sz w:val="21"/>
          <w:szCs w:val="21"/>
        </w:rPr>
        <w:t>汇总编制、下达政府采购预算；</w:t>
      </w:r>
    </w:p>
    <w:p>
      <w:pPr>
        <w:pStyle w:val="39"/>
        <w:widowControl w:val="0"/>
        <w:numPr>
          <w:ilvl w:val="0"/>
          <w:numId w:val="6"/>
        </w:numPr>
        <w:overflowPunct w:val="0"/>
        <w:ind w:firstLine="420"/>
        <w:jc w:val="both"/>
        <w:rPr>
          <w:sz w:val="21"/>
          <w:szCs w:val="21"/>
        </w:rPr>
      </w:pPr>
      <w:r>
        <w:rPr>
          <w:rFonts w:hint="eastAsia"/>
          <w:sz w:val="21"/>
          <w:szCs w:val="21"/>
        </w:rPr>
        <w:t>审核确定采购资金来源；</w:t>
      </w:r>
    </w:p>
    <w:p>
      <w:pPr>
        <w:pStyle w:val="39"/>
        <w:widowControl w:val="0"/>
        <w:numPr>
          <w:ilvl w:val="0"/>
          <w:numId w:val="6"/>
        </w:numPr>
        <w:overflowPunct w:val="0"/>
        <w:ind w:firstLine="420"/>
        <w:jc w:val="both"/>
        <w:rPr>
          <w:sz w:val="21"/>
          <w:szCs w:val="21"/>
        </w:rPr>
      </w:pPr>
      <w:r>
        <w:rPr>
          <w:rFonts w:hint="eastAsia"/>
          <w:sz w:val="21"/>
          <w:szCs w:val="21"/>
        </w:rPr>
        <w:t>审核政府采购支付申请手续；</w:t>
      </w:r>
    </w:p>
    <w:p>
      <w:pPr>
        <w:pStyle w:val="39"/>
        <w:widowControl w:val="0"/>
        <w:numPr>
          <w:ilvl w:val="0"/>
          <w:numId w:val="6"/>
        </w:numPr>
        <w:overflowPunct w:val="0"/>
        <w:ind w:firstLine="420"/>
        <w:jc w:val="both"/>
        <w:rPr>
          <w:sz w:val="21"/>
          <w:szCs w:val="21"/>
        </w:rPr>
      </w:pPr>
      <w:r>
        <w:rPr>
          <w:rFonts w:hint="eastAsia"/>
          <w:sz w:val="21"/>
          <w:szCs w:val="21"/>
        </w:rPr>
        <w:t>办理相关资金支付；</w:t>
      </w:r>
    </w:p>
    <w:p>
      <w:pPr>
        <w:pStyle w:val="39"/>
        <w:widowControl w:val="0"/>
        <w:numPr>
          <w:ilvl w:val="0"/>
          <w:numId w:val="6"/>
        </w:numPr>
        <w:overflowPunct w:val="0"/>
        <w:ind w:firstLine="420"/>
        <w:jc w:val="both"/>
        <w:rPr>
          <w:sz w:val="21"/>
          <w:szCs w:val="21"/>
        </w:rPr>
      </w:pPr>
      <w:r>
        <w:rPr>
          <w:rFonts w:hint="eastAsia"/>
          <w:sz w:val="21"/>
          <w:szCs w:val="21"/>
        </w:rPr>
        <w:t>对政府采购业务进行账务处理；</w:t>
      </w:r>
    </w:p>
    <w:p>
      <w:pPr>
        <w:pStyle w:val="39"/>
        <w:widowControl w:val="0"/>
        <w:numPr>
          <w:ilvl w:val="0"/>
          <w:numId w:val="6"/>
        </w:numPr>
        <w:overflowPunct w:val="0"/>
        <w:ind w:firstLine="420"/>
        <w:jc w:val="both"/>
        <w:rPr>
          <w:sz w:val="21"/>
          <w:szCs w:val="21"/>
        </w:rPr>
      </w:pPr>
      <w:r>
        <w:rPr>
          <w:rFonts w:hint="eastAsia"/>
          <w:sz w:val="21"/>
          <w:szCs w:val="21"/>
        </w:rPr>
        <w:t>定期与办公室核对政府采购业务结算情况。</w:t>
      </w:r>
    </w:p>
    <w:p>
      <w:pPr>
        <w:widowControl w:val="0"/>
        <w:overflowPunct w:val="0"/>
        <w:ind w:firstLine="420"/>
        <w:jc w:val="both"/>
        <w:rPr>
          <w:sz w:val="21"/>
          <w:szCs w:val="21"/>
        </w:rPr>
      </w:pPr>
      <w:r>
        <w:rPr>
          <w:rFonts w:hint="eastAsia"/>
          <w:sz w:val="21"/>
          <w:szCs w:val="21"/>
        </w:rPr>
        <w:t>上述第（一）项由预算管理岗负责。第（二）（三）项由财务审核岗负责。第（四）项由出纳岗负责。第（五）（六）项由会计岗负责。</w:t>
      </w:r>
    </w:p>
    <w:p>
      <w:pPr>
        <w:widowControl w:val="0"/>
        <w:numPr>
          <w:ilvl w:val="0"/>
          <w:numId w:val="3"/>
        </w:numPr>
        <w:overflowPunct w:val="0"/>
        <w:ind w:left="0" w:firstLine="420" w:firstLineChars="200"/>
        <w:jc w:val="both"/>
        <w:rPr>
          <w:sz w:val="21"/>
          <w:szCs w:val="21"/>
        </w:rPr>
      </w:pPr>
      <w:r>
        <w:rPr>
          <w:rFonts w:hint="eastAsia"/>
          <w:sz w:val="21"/>
          <w:szCs w:val="21"/>
        </w:rPr>
        <w:t>各内设机构是政府采购需求部门。归口管理的采购事项，各归口部门是政府采购需求部门。政府采购需求部门（以下简称需求部门）的主要职能包括：</w:t>
      </w:r>
    </w:p>
    <w:p>
      <w:pPr>
        <w:pStyle w:val="39"/>
        <w:widowControl w:val="0"/>
        <w:numPr>
          <w:ilvl w:val="0"/>
          <w:numId w:val="7"/>
        </w:numPr>
        <w:overflowPunct w:val="0"/>
        <w:ind w:firstLine="420"/>
        <w:jc w:val="both"/>
        <w:rPr>
          <w:sz w:val="21"/>
          <w:szCs w:val="21"/>
        </w:rPr>
      </w:pPr>
      <w:r>
        <w:rPr>
          <w:rFonts w:hint="eastAsia"/>
          <w:sz w:val="21"/>
          <w:szCs w:val="21"/>
        </w:rPr>
        <w:t>征集汇总归口管理的采购需求（如涉及归口）；</w:t>
      </w:r>
    </w:p>
    <w:p>
      <w:pPr>
        <w:pStyle w:val="39"/>
        <w:widowControl w:val="0"/>
        <w:numPr>
          <w:ilvl w:val="0"/>
          <w:numId w:val="7"/>
        </w:numPr>
        <w:overflowPunct w:val="0"/>
        <w:ind w:firstLine="420"/>
        <w:jc w:val="both"/>
        <w:rPr>
          <w:sz w:val="21"/>
          <w:szCs w:val="21"/>
        </w:rPr>
      </w:pPr>
      <w:r>
        <w:rPr>
          <w:rFonts w:hint="eastAsia"/>
          <w:sz w:val="21"/>
          <w:szCs w:val="21"/>
        </w:rPr>
        <w:t>申报政府采购预算；</w:t>
      </w:r>
    </w:p>
    <w:p>
      <w:pPr>
        <w:pStyle w:val="39"/>
        <w:widowControl w:val="0"/>
        <w:numPr>
          <w:ilvl w:val="0"/>
          <w:numId w:val="7"/>
        </w:numPr>
        <w:overflowPunct w:val="0"/>
        <w:ind w:firstLine="420"/>
        <w:jc w:val="both"/>
        <w:rPr>
          <w:sz w:val="21"/>
          <w:szCs w:val="21"/>
        </w:rPr>
      </w:pPr>
      <w:r>
        <w:rPr>
          <w:rFonts w:hint="eastAsia"/>
          <w:sz w:val="21"/>
          <w:szCs w:val="21"/>
        </w:rPr>
        <w:t>提出政府采购申请；</w:t>
      </w:r>
    </w:p>
    <w:p>
      <w:pPr>
        <w:pStyle w:val="39"/>
        <w:widowControl w:val="0"/>
        <w:numPr>
          <w:ilvl w:val="0"/>
          <w:numId w:val="7"/>
        </w:numPr>
        <w:overflowPunct w:val="0"/>
        <w:ind w:firstLine="420"/>
        <w:jc w:val="both"/>
        <w:rPr>
          <w:sz w:val="21"/>
          <w:szCs w:val="21"/>
        </w:rPr>
      </w:pPr>
      <w:r>
        <w:rPr>
          <w:rFonts w:hint="eastAsia"/>
          <w:sz w:val="21"/>
          <w:szCs w:val="21"/>
        </w:rPr>
        <w:t>确认政府采购文件；</w:t>
      </w:r>
    </w:p>
    <w:p>
      <w:pPr>
        <w:pStyle w:val="39"/>
        <w:widowControl w:val="0"/>
        <w:numPr>
          <w:ilvl w:val="0"/>
          <w:numId w:val="7"/>
        </w:numPr>
        <w:overflowPunct w:val="0"/>
        <w:ind w:firstLine="420"/>
        <w:jc w:val="both"/>
        <w:rPr>
          <w:sz w:val="21"/>
          <w:szCs w:val="21"/>
        </w:rPr>
      </w:pPr>
      <w:r>
        <w:rPr>
          <w:rFonts w:hint="eastAsia"/>
          <w:sz w:val="21"/>
          <w:szCs w:val="21"/>
        </w:rPr>
        <w:t>确认政府采购结果；</w:t>
      </w:r>
    </w:p>
    <w:p>
      <w:pPr>
        <w:pStyle w:val="39"/>
        <w:widowControl w:val="0"/>
        <w:numPr>
          <w:ilvl w:val="0"/>
          <w:numId w:val="7"/>
        </w:numPr>
        <w:overflowPunct w:val="0"/>
        <w:ind w:firstLine="420"/>
        <w:jc w:val="both"/>
        <w:rPr>
          <w:sz w:val="21"/>
          <w:szCs w:val="21"/>
        </w:rPr>
      </w:pPr>
      <w:r>
        <w:rPr>
          <w:rFonts w:hint="eastAsia"/>
          <w:sz w:val="21"/>
          <w:szCs w:val="21"/>
        </w:rPr>
        <w:t>参与政府采购合同订立；</w:t>
      </w:r>
    </w:p>
    <w:p>
      <w:pPr>
        <w:pStyle w:val="39"/>
        <w:widowControl w:val="0"/>
        <w:numPr>
          <w:ilvl w:val="0"/>
          <w:numId w:val="7"/>
        </w:numPr>
        <w:overflowPunct w:val="0"/>
        <w:ind w:firstLine="420"/>
        <w:jc w:val="both"/>
        <w:rPr>
          <w:sz w:val="21"/>
          <w:szCs w:val="21"/>
        </w:rPr>
      </w:pPr>
      <w:r>
        <w:rPr>
          <w:rFonts w:hint="eastAsia"/>
          <w:sz w:val="21"/>
          <w:szCs w:val="21"/>
        </w:rPr>
        <w:t>提出并参与政府采购验收；</w:t>
      </w:r>
    </w:p>
    <w:p>
      <w:pPr>
        <w:pStyle w:val="39"/>
        <w:widowControl w:val="0"/>
        <w:numPr>
          <w:ilvl w:val="0"/>
          <w:numId w:val="7"/>
        </w:numPr>
        <w:overflowPunct w:val="0"/>
        <w:ind w:firstLine="420"/>
        <w:jc w:val="both"/>
        <w:rPr>
          <w:sz w:val="21"/>
          <w:szCs w:val="21"/>
        </w:rPr>
      </w:pPr>
      <w:r>
        <w:rPr>
          <w:rFonts w:hint="eastAsia"/>
          <w:sz w:val="21"/>
          <w:szCs w:val="21"/>
        </w:rPr>
        <w:t>提出政府采购资金支付申请。</w:t>
      </w:r>
    </w:p>
    <w:p>
      <w:pPr>
        <w:pStyle w:val="39"/>
        <w:widowControl w:val="0"/>
        <w:overflowPunct w:val="0"/>
        <w:jc w:val="both"/>
        <w:rPr>
          <w:sz w:val="21"/>
          <w:szCs w:val="21"/>
        </w:rPr>
      </w:pPr>
      <w:r>
        <w:rPr>
          <w:rFonts w:hint="eastAsia"/>
          <w:sz w:val="21"/>
          <w:szCs w:val="21"/>
        </w:rPr>
        <w:t>上述职能由采购经办岗负责。</w:t>
      </w:r>
    </w:p>
    <w:p>
      <w:pPr>
        <w:widowControl w:val="0"/>
        <w:numPr>
          <w:ilvl w:val="0"/>
          <w:numId w:val="3"/>
        </w:numPr>
        <w:overflowPunct w:val="0"/>
        <w:ind w:left="0" w:firstLine="420" w:firstLineChars="200"/>
        <w:jc w:val="both"/>
        <w:rPr>
          <w:sz w:val="21"/>
          <w:szCs w:val="21"/>
        </w:rPr>
      </w:pPr>
      <w:r>
        <w:rPr>
          <w:rFonts w:hint="eastAsia"/>
          <w:sz w:val="21"/>
          <w:szCs w:val="21"/>
        </w:rPr>
        <w:t>审计处是政府采购监督机构。主要职能包括：</w:t>
      </w:r>
    </w:p>
    <w:p>
      <w:pPr>
        <w:pStyle w:val="39"/>
        <w:widowControl w:val="0"/>
        <w:numPr>
          <w:ilvl w:val="0"/>
          <w:numId w:val="8"/>
        </w:numPr>
        <w:overflowPunct w:val="0"/>
        <w:ind w:firstLine="420"/>
        <w:jc w:val="both"/>
        <w:rPr>
          <w:sz w:val="21"/>
          <w:szCs w:val="21"/>
        </w:rPr>
      </w:pPr>
      <w:r>
        <w:rPr>
          <w:rFonts w:hint="eastAsia"/>
          <w:sz w:val="21"/>
          <w:szCs w:val="21"/>
        </w:rPr>
        <w:t>监督检查各相关部门执行政府采购法律法规和相关规定的情况；</w:t>
      </w:r>
    </w:p>
    <w:p>
      <w:pPr>
        <w:pStyle w:val="39"/>
        <w:widowControl w:val="0"/>
        <w:numPr>
          <w:ilvl w:val="0"/>
          <w:numId w:val="8"/>
        </w:numPr>
        <w:overflowPunct w:val="0"/>
        <w:ind w:firstLine="420"/>
        <w:jc w:val="both"/>
        <w:rPr>
          <w:sz w:val="21"/>
          <w:szCs w:val="21"/>
        </w:rPr>
      </w:pPr>
      <w:r>
        <w:rPr>
          <w:rFonts w:hint="eastAsia"/>
          <w:sz w:val="21"/>
          <w:szCs w:val="21"/>
        </w:rPr>
        <w:t>参与政府采购业务质疑投诉答复的处理；</w:t>
      </w:r>
    </w:p>
    <w:p>
      <w:pPr>
        <w:pStyle w:val="39"/>
        <w:widowControl w:val="0"/>
        <w:numPr>
          <w:ilvl w:val="0"/>
          <w:numId w:val="8"/>
        </w:numPr>
        <w:overflowPunct w:val="0"/>
        <w:ind w:firstLine="420"/>
        <w:jc w:val="both"/>
        <w:rPr>
          <w:sz w:val="21"/>
          <w:szCs w:val="21"/>
        </w:rPr>
      </w:pPr>
      <w:bookmarkStart w:id="8" w:name="_Hlk48814796"/>
      <w:r>
        <w:rPr>
          <w:rFonts w:hint="eastAsia"/>
          <w:sz w:val="21"/>
          <w:szCs w:val="21"/>
        </w:rPr>
        <w:t>配合相关部门开展监督检查。</w:t>
      </w:r>
    </w:p>
    <w:bookmarkEnd w:id="8"/>
    <w:p>
      <w:pPr>
        <w:pStyle w:val="39"/>
        <w:widowControl w:val="0"/>
        <w:overflowPunct w:val="0"/>
        <w:ind w:left="420" w:firstLine="0" w:firstLineChars="0"/>
        <w:jc w:val="both"/>
        <w:rPr>
          <w:sz w:val="21"/>
          <w:szCs w:val="21"/>
        </w:rPr>
      </w:pPr>
      <w:r>
        <w:rPr>
          <w:rFonts w:hint="eastAsia"/>
          <w:sz w:val="21"/>
          <w:szCs w:val="21"/>
        </w:rPr>
        <w:t>上述职能由采购监督岗负责。</w:t>
      </w:r>
    </w:p>
    <w:p>
      <w:pPr>
        <w:widowControl w:val="0"/>
        <w:numPr>
          <w:ilvl w:val="0"/>
          <w:numId w:val="3"/>
        </w:numPr>
        <w:overflowPunct w:val="0"/>
        <w:ind w:left="0" w:firstLine="420" w:firstLineChars="200"/>
        <w:jc w:val="both"/>
        <w:rPr>
          <w:sz w:val="21"/>
          <w:szCs w:val="21"/>
        </w:rPr>
      </w:pPr>
      <w:r>
        <w:rPr>
          <w:rFonts w:hint="eastAsia"/>
          <w:sz w:val="21"/>
          <w:szCs w:val="21"/>
        </w:rPr>
        <w:t>政府采购需求制定与内部审批；采购文件准备与复核；合同签订与验收；验收与保管等不相容职责，由不同岗位和人员负责，相互分离。</w:t>
      </w:r>
    </w:p>
    <w:p>
      <w:pPr>
        <w:pStyle w:val="4"/>
        <w:widowControl w:val="0"/>
        <w:numPr>
          <w:ilvl w:val="0"/>
          <w:numId w:val="2"/>
        </w:numPr>
        <w:overflowPunct w:val="0"/>
        <w:spacing w:before="120" w:beforeLines="50" w:after="120" w:afterLines="50"/>
        <w:jc w:val="center"/>
        <w:rPr>
          <w:rFonts w:ascii="Times New Roman" w:hAnsi="Times New Roman" w:eastAsia="黑体"/>
          <w:b w:val="0"/>
          <w:bCs w:val="0"/>
          <w:sz w:val="24"/>
          <w:szCs w:val="24"/>
        </w:rPr>
      </w:pPr>
      <w:r>
        <w:rPr>
          <w:rFonts w:hint="eastAsia" w:ascii="Times New Roman" w:hAnsi="Times New Roman" w:eastAsia="黑体"/>
          <w:b w:val="0"/>
          <w:bCs w:val="0"/>
          <w:sz w:val="24"/>
          <w:szCs w:val="24"/>
        </w:rPr>
        <w:t xml:space="preserve"> </w:t>
      </w:r>
      <w:bookmarkStart w:id="9" w:name="_Toc74814783"/>
      <w:r>
        <w:rPr>
          <w:rFonts w:hint="eastAsia" w:ascii="Times New Roman" w:hAnsi="Times New Roman" w:eastAsia="黑体"/>
          <w:b w:val="0"/>
          <w:bCs w:val="0"/>
          <w:sz w:val="24"/>
          <w:szCs w:val="24"/>
        </w:rPr>
        <w:t>政府采购预算与计划</w:t>
      </w:r>
      <w:bookmarkEnd w:id="9"/>
    </w:p>
    <w:p>
      <w:pPr>
        <w:widowControl w:val="0"/>
        <w:numPr>
          <w:ilvl w:val="0"/>
          <w:numId w:val="3"/>
        </w:numPr>
        <w:overflowPunct w:val="0"/>
        <w:ind w:left="0" w:firstLine="420" w:firstLineChars="200"/>
        <w:jc w:val="both"/>
        <w:rPr>
          <w:sz w:val="21"/>
          <w:szCs w:val="21"/>
        </w:rPr>
      </w:pPr>
      <w:r>
        <w:rPr>
          <w:rFonts w:hint="eastAsia"/>
          <w:sz w:val="21"/>
          <w:szCs w:val="21"/>
        </w:rPr>
        <w:t>政府采购需求确定。</w:t>
      </w:r>
    </w:p>
    <w:p>
      <w:pPr>
        <w:widowControl w:val="0"/>
        <w:overflowPunct w:val="0"/>
        <w:ind w:firstLine="420"/>
        <w:jc w:val="both"/>
        <w:rPr>
          <w:sz w:val="21"/>
          <w:szCs w:val="21"/>
        </w:rPr>
      </w:pPr>
      <w:r>
        <w:rPr>
          <w:rFonts w:hint="eastAsia"/>
          <w:sz w:val="21"/>
          <w:szCs w:val="21"/>
        </w:rPr>
        <w:t>（一）资产采购项目需求：各部门在资产配置标准范围内申报次年资产采购清单，办公室汇总审核并统筹平衡报废待处置资产情况，形成单位资产采购清单报领导班子会议批准。</w:t>
      </w:r>
    </w:p>
    <w:p>
      <w:pPr>
        <w:widowControl w:val="0"/>
        <w:overflowPunct w:val="0"/>
        <w:ind w:firstLine="420"/>
        <w:jc w:val="both"/>
        <w:rPr>
          <w:sz w:val="21"/>
          <w:szCs w:val="21"/>
        </w:rPr>
      </w:pPr>
      <w:r>
        <w:rPr>
          <w:rFonts w:hint="eastAsia"/>
          <w:sz w:val="21"/>
          <w:szCs w:val="21"/>
        </w:rPr>
        <w:t>（二）会议、培训、出国经费、信息化项目等采购需求：各部门提出需求，业务归口部门统一组织编制预算报领导班子会议批准后申报政府采购预算。</w:t>
      </w:r>
    </w:p>
    <w:p>
      <w:pPr>
        <w:widowControl w:val="0"/>
        <w:numPr>
          <w:ilvl w:val="0"/>
          <w:numId w:val="3"/>
        </w:numPr>
        <w:overflowPunct w:val="0"/>
        <w:ind w:left="0" w:firstLine="420" w:firstLineChars="200"/>
        <w:jc w:val="both"/>
        <w:rPr>
          <w:sz w:val="21"/>
          <w:szCs w:val="21"/>
        </w:rPr>
      </w:pPr>
      <w:r>
        <w:rPr>
          <w:rFonts w:hint="eastAsia"/>
          <w:sz w:val="21"/>
          <w:szCs w:val="21"/>
        </w:rPr>
        <w:t>政府采购预算管理。</w:t>
      </w:r>
    </w:p>
    <w:p>
      <w:pPr>
        <w:widowControl w:val="0"/>
        <w:overflowPunct w:val="0"/>
        <w:ind w:firstLine="420" w:firstLineChars="200"/>
        <w:jc w:val="both"/>
        <w:rPr>
          <w:sz w:val="21"/>
          <w:szCs w:val="21"/>
        </w:rPr>
      </w:pPr>
      <w:r>
        <w:rPr>
          <w:rFonts w:hint="eastAsia"/>
          <w:sz w:val="21"/>
          <w:szCs w:val="21"/>
        </w:rPr>
        <w:t>（一）政府采购预算编制。需求部门在编制年度预算时，应按照财政部门和《预算业务内部管理制度》预算编制的要求编制政府采购预算。各部门不得编制无资金来源的政府采购预算。</w:t>
      </w:r>
    </w:p>
    <w:p>
      <w:pPr>
        <w:widowControl w:val="0"/>
        <w:overflowPunct w:val="0"/>
        <w:ind w:firstLine="420" w:firstLineChars="200"/>
        <w:jc w:val="both"/>
        <w:rPr>
          <w:sz w:val="21"/>
          <w:szCs w:val="21"/>
        </w:rPr>
      </w:pPr>
      <w:r>
        <w:rPr>
          <w:rFonts w:hint="eastAsia"/>
          <w:sz w:val="21"/>
          <w:szCs w:val="21"/>
        </w:rPr>
        <w:t>（二）政府采购预算执行。严格按照批准的预算执行，不得组织实施无政府采购预算的采购活动。</w:t>
      </w:r>
    </w:p>
    <w:p>
      <w:pPr>
        <w:widowControl w:val="0"/>
        <w:overflowPunct w:val="0"/>
        <w:ind w:firstLine="420" w:firstLineChars="200"/>
        <w:jc w:val="both"/>
        <w:rPr>
          <w:sz w:val="21"/>
          <w:szCs w:val="21"/>
        </w:rPr>
      </w:pPr>
      <w:r>
        <w:rPr>
          <w:rFonts w:hint="eastAsia"/>
          <w:sz w:val="21"/>
          <w:szCs w:val="21"/>
        </w:rPr>
        <w:t>（三）采购预算结余资金管理。政府采购预算的财政性资金在采购活动结束后，出现结余资金，由财务部门相应核减政府采购预算，结余资金按照规定程序报经批准可调整用于其他新增项目。已办理政府采购确认书超过两年但未实施采购的，其对应的采购预算资金将视同结余资金，由财政收回平衡预算。</w:t>
      </w:r>
    </w:p>
    <w:p>
      <w:pPr>
        <w:widowControl w:val="0"/>
        <w:numPr>
          <w:ilvl w:val="0"/>
          <w:numId w:val="3"/>
        </w:numPr>
        <w:overflowPunct w:val="0"/>
        <w:ind w:left="0" w:firstLine="420" w:firstLineChars="200"/>
        <w:jc w:val="both"/>
        <w:rPr>
          <w:sz w:val="21"/>
          <w:szCs w:val="21"/>
        </w:rPr>
      </w:pPr>
      <w:r>
        <w:rPr>
          <w:rFonts w:hint="eastAsia"/>
          <w:sz w:val="21"/>
          <w:szCs w:val="21"/>
        </w:rPr>
        <w:t>采购申请。</w:t>
      </w:r>
    </w:p>
    <w:p>
      <w:pPr>
        <w:widowControl w:val="0"/>
        <w:overflowPunct w:val="0"/>
        <w:ind w:firstLine="420" w:firstLineChars="200"/>
        <w:jc w:val="both"/>
        <w:rPr>
          <w:sz w:val="21"/>
          <w:szCs w:val="21"/>
        </w:rPr>
      </w:pPr>
      <w:r>
        <w:rPr>
          <w:rFonts w:hint="eastAsia"/>
          <w:sz w:val="21"/>
          <w:szCs w:val="21"/>
        </w:rPr>
        <w:t>（一）需求部门发起采购申请，填写《事项审批单》（会议服务填写《会议审批单》，培训服务填写《培训审批单》），采购申请应说明采购项目的基本情况。单项采购预算在限额标准以上的项目申请，应当同时报送项目需求分析报告，根据采购对应的支出事项，按照《收支业务内部管理制度》执行审批程序。</w:t>
      </w:r>
    </w:p>
    <w:p>
      <w:pPr>
        <w:widowControl w:val="0"/>
        <w:overflowPunct w:val="0"/>
        <w:ind w:firstLine="420" w:firstLineChars="200"/>
        <w:jc w:val="both"/>
        <w:rPr>
          <w:sz w:val="21"/>
          <w:szCs w:val="21"/>
        </w:rPr>
      </w:pPr>
      <w:r>
        <w:rPr>
          <w:rFonts w:hint="eastAsia"/>
          <w:sz w:val="21"/>
          <w:szCs w:val="21"/>
        </w:rPr>
        <w:t>（二）通过电子卖场采购的采购项目，应在发起前完成供应商的初步筛选，拟选供应商一并执行审批。</w:t>
      </w:r>
    </w:p>
    <w:p>
      <w:pPr>
        <w:widowControl w:val="0"/>
        <w:overflowPunct w:val="0"/>
        <w:ind w:firstLine="420" w:firstLineChars="200"/>
        <w:jc w:val="both"/>
        <w:rPr>
          <w:sz w:val="21"/>
          <w:szCs w:val="21"/>
        </w:rPr>
      </w:pPr>
      <w:r>
        <w:rPr>
          <w:rFonts w:hint="eastAsia"/>
          <w:sz w:val="21"/>
          <w:szCs w:val="21"/>
        </w:rPr>
        <w:t>（三）对于临时、紧急的采购项目，应说明特殊原因，经财务部门调整、审核预算，报经分管业务领导、分管财务领导批准后进行采购。</w:t>
      </w:r>
    </w:p>
    <w:p>
      <w:pPr>
        <w:widowControl w:val="0"/>
        <w:overflowPunct w:val="0"/>
        <w:ind w:firstLine="420" w:firstLineChars="200"/>
        <w:jc w:val="both"/>
        <w:rPr>
          <w:sz w:val="21"/>
          <w:szCs w:val="21"/>
        </w:rPr>
      </w:pPr>
      <w:r>
        <w:rPr>
          <w:rFonts w:hint="eastAsia"/>
          <w:sz w:val="21"/>
          <w:szCs w:val="21"/>
        </w:rPr>
        <w:t>（四）除通过电子卖场采购的采购项目和预算追加外，对采购需求相同的项目，同一年度内原则上不得分批（或分次）申请执行。</w:t>
      </w:r>
    </w:p>
    <w:p>
      <w:pPr>
        <w:widowControl w:val="0"/>
        <w:numPr>
          <w:ilvl w:val="0"/>
          <w:numId w:val="3"/>
        </w:numPr>
        <w:overflowPunct w:val="0"/>
        <w:ind w:left="0" w:firstLine="420" w:firstLineChars="200"/>
        <w:jc w:val="both"/>
        <w:rPr>
          <w:sz w:val="21"/>
          <w:szCs w:val="21"/>
        </w:rPr>
      </w:pPr>
      <w:r>
        <w:rPr>
          <w:rFonts w:hint="eastAsia"/>
          <w:sz w:val="21"/>
          <w:szCs w:val="21"/>
        </w:rPr>
        <w:t>采购计划申报与批复。</w:t>
      </w:r>
    </w:p>
    <w:p>
      <w:pPr>
        <w:widowControl w:val="0"/>
        <w:overflowPunct w:val="0"/>
        <w:ind w:firstLine="420" w:firstLineChars="200"/>
        <w:jc w:val="both"/>
        <w:rPr>
          <w:sz w:val="21"/>
          <w:szCs w:val="21"/>
        </w:rPr>
      </w:pPr>
      <w:r>
        <w:rPr>
          <w:rFonts w:hint="eastAsia"/>
          <w:sz w:val="21"/>
          <w:szCs w:val="21"/>
        </w:rPr>
        <w:t>（一）采购管理岗根据审批通过的采购申请，在政府采购项目实施前填报《政府采购预算执行建议书》，按照规定上报财政部门审核或备案，下达《政府采购预算执行确认书》。</w:t>
      </w:r>
    </w:p>
    <w:p>
      <w:pPr>
        <w:widowControl w:val="0"/>
        <w:overflowPunct w:val="0"/>
        <w:ind w:firstLine="420" w:firstLineChars="200"/>
        <w:jc w:val="both"/>
        <w:rPr>
          <w:sz w:val="21"/>
          <w:szCs w:val="21"/>
        </w:rPr>
      </w:pPr>
      <w:r>
        <w:rPr>
          <w:rFonts w:hint="eastAsia"/>
          <w:sz w:val="21"/>
          <w:szCs w:val="21"/>
        </w:rPr>
        <w:t>（二）采购管理岗通知需求部门按照财政部门的确认意见依法组织采购。</w:t>
      </w:r>
    </w:p>
    <w:p>
      <w:pPr>
        <w:pStyle w:val="4"/>
        <w:widowControl w:val="0"/>
        <w:numPr>
          <w:ilvl w:val="0"/>
          <w:numId w:val="2"/>
        </w:numPr>
        <w:overflowPunct w:val="0"/>
        <w:spacing w:before="120" w:beforeLines="50" w:after="120" w:afterLines="50"/>
        <w:jc w:val="center"/>
        <w:rPr>
          <w:rFonts w:ascii="Times New Roman" w:hAnsi="Times New Roman" w:eastAsia="黑体"/>
          <w:b w:val="0"/>
          <w:bCs w:val="0"/>
          <w:sz w:val="24"/>
          <w:szCs w:val="24"/>
        </w:rPr>
      </w:pPr>
      <w:r>
        <w:rPr>
          <w:rFonts w:hint="eastAsia" w:ascii="Times New Roman" w:hAnsi="Times New Roman" w:eastAsia="黑体"/>
          <w:b w:val="0"/>
          <w:bCs w:val="0"/>
          <w:sz w:val="24"/>
          <w:szCs w:val="24"/>
        </w:rPr>
        <w:t xml:space="preserve"> </w:t>
      </w:r>
      <w:bookmarkStart w:id="10" w:name="_Toc74814784"/>
      <w:r>
        <w:rPr>
          <w:rFonts w:hint="eastAsia" w:ascii="Times New Roman" w:hAnsi="Times New Roman" w:eastAsia="黑体"/>
          <w:b w:val="0"/>
          <w:bCs w:val="0"/>
          <w:sz w:val="24"/>
          <w:szCs w:val="24"/>
        </w:rPr>
        <w:t>政府采购活动</w:t>
      </w:r>
      <w:bookmarkEnd w:id="10"/>
    </w:p>
    <w:p>
      <w:pPr>
        <w:widowControl w:val="0"/>
        <w:numPr>
          <w:ilvl w:val="0"/>
          <w:numId w:val="3"/>
        </w:numPr>
        <w:overflowPunct w:val="0"/>
        <w:ind w:left="0" w:firstLine="420" w:firstLineChars="200"/>
        <w:jc w:val="both"/>
        <w:rPr>
          <w:sz w:val="21"/>
          <w:szCs w:val="21"/>
        </w:rPr>
      </w:pPr>
      <w:r>
        <w:rPr>
          <w:rFonts w:hint="eastAsia"/>
          <w:sz w:val="21"/>
          <w:szCs w:val="21"/>
        </w:rPr>
        <w:t>采购组织形式确定。</w:t>
      </w:r>
      <w:r>
        <w:rPr>
          <w:rFonts w:hint="eastAsia"/>
          <w:sz w:val="21"/>
          <w:szCs w:val="21"/>
          <w:lang w:eastAsia="zh-CN"/>
        </w:rPr>
        <w:t>（</w:t>
      </w:r>
      <w:r>
        <w:rPr>
          <w:rFonts w:hint="eastAsia"/>
          <w:sz w:val="21"/>
          <w:szCs w:val="21"/>
          <w:lang w:val="en-US" w:eastAsia="zh-CN"/>
        </w:rPr>
        <w:t>限额标准参照吕财购【2021】6号文件内容</w:t>
      </w:r>
      <w:r>
        <w:rPr>
          <w:rFonts w:hint="eastAsia"/>
          <w:sz w:val="21"/>
          <w:szCs w:val="21"/>
          <w:lang w:eastAsia="zh-CN"/>
        </w:rPr>
        <w:t>）</w:t>
      </w:r>
    </w:p>
    <w:p>
      <w:pPr>
        <w:widowControl w:val="0"/>
        <w:overflowPunct w:val="0"/>
        <w:ind w:firstLine="420" w:firstLineChars="200"/>
        <w:jc w:val="both"/>
        <w:rPr>
          <w:sz w:val="21"/>
          <w:szCs w:val="21"/>
        </w:rPr>
      </w:pPr>
      <w:r>
        <w:rPr>
          <w:rFonts w:hint="eastAsia"/>
          <w:sz w:val="21"/>
          <w:szCs w:val="21"/>
        </w:rPr>
        <w:t>（一）政府集中采购项目（目录内）：</w:t>
      </w:r>
    </w:p>
    <w:p>
      <w:pPr>
        <w:widowControl w:val="0"/>
        <w:overflowPunct w:val="0"/>
        <w:ind w:firstLine="420" w:firstLineChars="200"/>
        <w:jc w:val="both"/>
        <w:rPr>
          <w:sz w:val="21"/>
          <w:szCs w:val="21"/>
        </w:rPr>
      </w:pPr>
      <w:r>
        <w:rPr>
          <w:sz w:val="21"/>
          <w:szCs w:val="21"/>
        </w:rPr>
        <w:t>1.</w:t>
      </w:r>
      <w:r>
        <w:rPr>
          <w:rFonts w:hint="eastAsia"/>
          <w:sz w:val="21"/>
          <w:szCs w:val="21"/>
        </w:rPr>
        <w:t>全省统一集中采购项目，由办公室集中采购需求后，通过“政采云”平台的项目采购系统依法组织采购。</w:t>
      </w:r>
    </w:p>
    <w:p>
      <w:pPr>
        <w:widowControl w:val="0"/>
        <w:overflowPunct w:val="0"/>
        <w:ind w:firstLine="420" w:firstLineChars="200"/>
        <w:jc w:val="both"/>
        <w:rPr>
          <w:sz w:val="21"/>
          <w:szCs w:val="21"/>
        </w:rPr>
      </w:pPr>
      <w:r>
        <w:rPr>
          <w:rFonts w:hint="eastAsia"/>
          <w:sz w:val="21"/>
          <w:szCs w:val="21"/>
        </w:rPr>
        <w:t>2</w:t>
      </w:r>
      <w:r>
        <w:rPr>
          <w:sz w:val="21"/>
          <w:szCs w:val="21"/>
        </w:rPr>
        <w:t>.</w:t>
      </w:r>
      <w:r>
        <w:rPr>
          <w:rFonts w:hint="eastAsia"/>
          <w:sz w:val="21"/>
          <w:szCs w:val="21"/>
        </w:rPr>
        <w:t>分散采购限额以下的，由需求部门在电子卖场的网上超市、网上服务市场、行业馆或主题馆中选择供应商。</w:t>
      </w:r>
    </w:p>
    <w:p>
      <w:pPr>
        <w:widowControl w:val="0"/>
        <w:overflowPunct w:val="0"/>
        <w:ind w:firstLine="420" w:firstLineChars="200"/>
        <w:jc w:val="both"/>
        <w:rPr>
          <w:sz w:val="21"/>
          <w:szCs w:val="21"/>
        </w:rPr>
      </w:pPr>
      <w:r>
        <w:rPr>
          <w:sz w:val="21"/>
          <w:szCs w:val="21"/>
        </w:rPr>
        <w:t>3.</w:t>
      </w:r>
      <w:r>
        <w:rPr>
          <w:rFonts w:hint="eastAsia"/>
          <w:sz w:val="21"/>
          <w:szCs w:val="21"/>
        </w:rPr>
        <w:t>达到分散采购限额标准但在公开招标数额标准之下的，由需求部门在办公室的协同下，在电子卖场的在线询价系统、反向竞价系统、行业馆或主题馆、网上服务市场中进行竞价采购。</w:t>
      </w:r>
    </w:p>
    <w:p>
      <w:pPr>
        <w:widowControl w:val="0"/>
        <w:overflowPunct w:val="0"/>
        <w:ind w:firstLine="420" w:firstLineChars="200"/>
        <w:jc w:val="both"/>
        <w:rPr>
          <w:sz w:val="21"/>
          <w:szCs w:val="21"/>
        </w:rPr>
      </w:pPr>
      <w:r>
        <w:rPr>
          <w:sz w:val="21"/>
          <w:szCs w:val="21"/>
        </w:rPr>
        <w:t>4.</w:t>
      </w:r>
      <w:r>
        <w:rPr>
          <w:rFonts w:hint="eastAsia"/>
          <w:sz w:val="21"/>
          <w:szCs w:val="21"/>
        </w:rPr>
        <w:t>达到公开招标数额标准的，由办公室委托集中采购机构依法组织公开招标。</w:t>
      </w:r>
    </w:p>
    <w:p>
      <w:pPr>
        <w:widowControl w:val="0"/>
        <w:overflowPunct w:val="0"/>
        <w:ind w:firstLine="420" w:firstLineChars="200"/>
        <w:jc w:val="both"/>
        <w:rPr>
          <w:sz w:val="21"/>
          <w:szCs w:val="21"/>
        </w:rPr>
      </w:pPr>
      <w:r>
        <w:rPr>
          <w:rFonts w:hint="eastAsia"/>
          <w:sz w:val="21"/>
          <w:szCs w:val="21"/>
        </w:rPr>
        <w:t>（二）部门集中采购项目：由办公室委托集中采购机构或其他采购代理机构采购组织采购。</w:t>
      </w:r>
    </w:p>
    <w:p>
      <w:pPr>
        <w:widowControl w:val="0"/>
        <w:overflowPunct w:val="0"/>
        <w:ind w:firstLine="420" w:firstLineChars="200"/>
        <w:jc w:val="both"/>
        <w:rPr>
          <w:sz w:val="21"/>
          <w:szCs w:val="21"/>
        </w:rPr>
      </w:pPr>
      <w:r>
        <w:rPr>
          <w:rFonts w:hint="eastAsia"/>
          <w:sz w:val="21"/>
          <w:szCs w:val="21"/>
        </w:rPr>
        <w:t>（三）分散采购项目：</w:t>
      </w:r>
    </w:p>
    <w:p>
      <w:pPr>
        <w:widowControl w:val="0"/>
        <w:overflowPunct w:val="0"/>
        <w:ind w:firstLine="420" w:firstLineChars="200"/>
        <w:jc w:val="both"/>
        <w:rPr>
          <w:sz w:val="21"/>
          <w:szCs w:val="21"/>
        </w:rPr>
      </w:pPr>
      <w:r>
        <w:rPr>
          <w:sz w:val="21"/>
          <w:szCs w:val="21"/>
        </w:rPr>
        <w:t>1.</w:t>
      </w:r>
      <w:r>
        <w:rPr>
          <w:rFonts w:hint="eastAsia"/>
          <w:sz w:val="21"/>
          <w:szCs w:val="21"/>
        </w:rPr>
        <w:t>由办公室依法自行组织采购，优先选择通过电子卖场采购；其中达到公开招标数额标准以上的项目，如不具备编制招标文件和组织评标能力的，应当委托采购代理机构进行采购。</w:t>
      </w:r>
    </w:p>
    <w:p>
      <w:pPr>
        <w:widowControl w:val="0"/>
        <w:overflowPunct w:val="0"/>
        <w:ind w:firstLine="420" w:firstLineChars="200"/>
        <w:jc w:val="both"/>
        <w:rPr>
          <w:sz w:val="21"/>
          <w:szCs w:val="21"/>
        </w:rPr>
      </w:pPr>
      <w:r>
        <w:rPr>
          <w:rFonts w:hint="eastAsia"/>
          <w:sz w:val="21"/>
          <w:szCs w:val="21"/>
        </w:rPr>
        <w:t>2</w:t>
      </w:r>
      <w:r>
        <w:rPr>
          <w:sz w:val="21"/>
          <w:szCs w:val="21"/>
        </w:rPr>
        <w:t>.</w:t>
      </w:r>
      <w:r>
        <w:rPr>
          <w:rFonts w:hint="eastAsia"/>
          <w:sz w:val="21"/>
          <w:szCs w:val="21"/>
        </w:rPr>
        <w:t>单项或年度批量预算金额在分散采购限额标准以上、公开招标数额标准以下，规格标准较为统一、现货货源充足且价格变化幅度小的货物类分散采购项目，由需求部门在办公室的协同下，通过“政采云”平台电子卖场——在线询价系统、反向竞价系统、行业馆或主题馆进行竞价采购。</w:t>
      </w:r>
    </w:p>
    <w:p>
      <w:pPr>
        <w:widowControl w:val="0"/>
        <w:overflowPunct w:val="0"/>
        <w:ind w:firstLine="420" w:firstLineChars="200"/>
        <w:jc w:val="both"/>
        <w:rPr>
          <w:sz w:val="21"/>
          <w:szCs w:val="21"/>
        </w:rPr>
      </w:pPr>
      <w:r>
        <w:rPr>
          <w:sz w:val="21"/>
          <w:szCs w:val="21"/>
        </w:rPr>
        <w:t>3.</w:t>
      </w:r>
      <w:r>
        <w:rPr>
          <w:rFonts w:hint="eastAsia"/>
          <w:sz w:val="21"/>
          <w:szCs w:val="21"/>
        </w:rPr>
        <w:t>单项或年度批量预算金额在分散采购限额标准以上、公开招标数额标准以下，服务标准较为统一、市场竞争充分且价格变化幅度小的服务类分散采购项目，由需求部门在办公室的协同下，通过“政采云”平台电子卖场——网上服务市场进行竞价采购。</w:t>
      </w:r>
    </w:p>
    <w:p>
      <w:pPr>
        <w:widowControl w:val="0"/>
        <w:overflowPunct w:val="0"/>
        <w:ind w:firstLine="420" w:firstLineChars="200"/>
        <w:jc w:val="both"/>
        <w:rPr>
          <w:sz w:val="21"/>
          <w:szCs w:val="21"/>
        </w:rPr>
      </w:pPr>
      <w:r>
        <w:rPr>
          <w:rFonts w:hint="eastAsia"/>
          <w:sz w:val="21"/>
          <w:szCs w:val="21"/>
        </w:rPr>
        <w:t>（四）其他采购项目：</w:t>
      </w:r>
    </w:p>
    <w:p>
      <w:pPr>
        <w:widowControl w:val="0"/>
        <w:overflowPunct w:val="0"/>
        <w:ind w:firstLine="420" w:firstLineChars="200"/>
        <w:jc w:val="both"/>
        <w:rPr>
          <w:sz w:val="21"/>
          <w:szCs w:val="21"/>
        </w:rPr>
      </w:pPr>
      <w:r>
        <w:rPr>
          <w:rFonts w:hint="eastAsia"/>
          <w:sz w:val="21"/>
          <w:szCs w:val="21"/>
        </w:rPr>
        <w:t>1</w:t>
      </w:r>
      <w:r>
        <w:rPr>
          <w:sz w:val="21"/>
          <w:szCs w:val="21"/>
        </w:rPr>
        <w:t>.</w:t>
      </w:r>
      <w:r>
        <w:rPr>
          <w:rFonts w:hint="eastAsia"/>
          <w:sz w:val="21"/>
          <w:szCs w:val="21"/>
        </w:rPr>
        <w:t>对集中采购目录以外，年度批量预算金额在分散采购限额标准以下的货物或服务类项目，由需求部门通过“政采云”平台电子卖场-网上超市、网上服务市场、行业馆或主题馆、分散服务市场进行采购。</w:t>
      </w:r>
    </w:p>
    <w:p>
      <w:pPr>
        <w:widowControl w:val="0"/>
        <w:overflowPunct w:val="0"/>
        <w:ind w:firstLine="420" w:firstLineChars="200"/>
        <w:jc w:val="both"/>
        <w:rPr>
          <w:sz w:val="21"/>
          <w:szCs w:val="21"/>
        </w:rPr>
      </w:pPr>
      <w:r>
        <w:rPr>
          <w:sz w:val="21"/>
          <w:szCs w:val="21"/>
        </w:rPr>
        <w:t>2.</w:t>
      </w:r>
      <w:r>
        <w:rPr>
          <w:rFonts w:hint="eastAsia"/>
          <w:sz w:val="21"/>
          <w:szCs w:val="21"/>
        </w:rPr>
        <w:t>网上超市、网上服务市场、行业馆或主题馆等未上线的货物或服务，由需求部门自行组织采购。</w:t>
      </w:r>
    </w:p>
    <w:p>
      <w:pPr>
        <w:widowControl w:val="0"/>
        <w:numPr>
          <w:ilvl w:val="0"/>
          <w:numId w:val="3"/>
        </w:numPr>
        <w:overflowPunct w:val="0"/>
        <w:ind w:left="0" w:firstLine="420" w:firstLineChars="200"/>
        <w:jc w:val="both"/>
        <w:rPr>
          <w:sz w:val="21"/>
          <w:szCs w:val="21"/>
        </w:rPr>
      </w:pPr>
      <w:r>
        <w:rPr>
          <w:rFonts w:hint="eastAsia"/>
          <w:sz w:val="21"/>
          <w:szCs w:val="21"/>
        </w:rPr>
        <w:t>采购方式确定。</w:t>
      </w:r>
    </w:p>
    <w:p>
      <w:pPr>
        <w:widowControl w:val="0"/>
        <w:overflowPunct w:val="0"/>
        <w:ind w:firstLine="420" w:firstLineChars="200"/>
        <w:jc w:val="both"/>
        <w:rPr>
          <w:sz w:val="21"/>
          <w:szCs w:val="21"/>
        </w:rPr>
      </w:pPr>
      <w:r>
        <w:rPr>
          <w:rFonts w:hint="eastAsia"/>
          <w:sz w:val="21"/>
          <w:szCs w:val="21"/>
        </w:rPr>
        <w:t>（一）公开招标应作为采购的主要方式。未经财政部门批准，不得将应当采用公开招标的项目以非公开招标采购方式开展采购活动。</w:t>
      </w:r>
    </w:p>
    <w:p>
      <w:pPr>
        <w:widowControl w:val="0"/>
        <w:overflowPunct w:val="0"/>
        <w:ind w:firstLine="420" w:firstLineChars="200"/>
        <w:jc w:val="both"/>
        <w:rPr>
          <w:sz w:val="21"/>
          <w:szCs w:val="21"/>
        </w:rPr>
      </w:pPr>
      <w:r>
        <w:rPr>
          <w:rFonts w:hint="eastAsia"/>
          <w:sz w:val="21"/>
          <w:szCs w:val="21"/>
        </w:rPr>
        <w:t>（二）</w:t>
      </w:r>
      <w:bookmarkStart w:id="11" w:name="_Hlk48155811"/>
      <w:r>
        <w:rPr>
          <w:rFonts w:hint="eastAsia"/>
          <w:sz w:val="21"/>
          <w:szCs w:val="21"/>
        </w:rPr>
        <w:t>采用非公开招标方式采购</w:t>
      </w:r>
      <w:bookmarkEnd w:id="11"/>
      <w:r>
        <w:rPr>
          <w:rFonts w:hint="eastAsia"/>
          <w:sz w:val="21"/>
          <w:szCs w:val="21"/>
        </w:rPr>
        <w:t>的，需满足采购方式的适用范围。</w:t>
      </w:r>
    </w:p>
    <w:p>
      <w:pPr>
        <w:widowControl w:val="0"/>
        <w:overflowPunct w:val="0"/>
        <w:ind w:firstLine="420" w:firstLineChars="200"/>
        <w:jc w:val="both"/>
        <w:rPr>
          <w:sz w:val="21"/>
          <w:szCs w:val="21"/>
        </w:rPr>
      </w:pPr>
      <w:r>
        <w:rPr>
          <w:rFonts w:hint="eastAsia"/>
          <w:sz w:val="21"/>
          <w:szCs w:val="21"/>
        </w:rPr>
        <w:t>（三）应当采用公开招标的项目以非公开招标采购方式的，需求部门提出意见，经办公室、财务部门初核，分管业务领导、分管财务领导审核后，报财政部门批准。</w:t>
      </w:r>
    </w:p>
    <w:p>
      <w:pPr>
        <w:widowControl w:val="0"/>
        <w:numPr>
          <w:ilvl w:val="0"/>
          <w:numId w:val="3"/>
        </w:numPr>
        <w:overflowPunct w:val="0"/>
        <w:ind w:left="0" w:firstLine="420" w:firstLineChars="200"/>
        <w:jc w:val="both"/>
        <w:rPr>
          <w:sz w:val="21"/>
          <w:szCs w:val="21"/>
        </w:rPr>
      </w:pPr>
      <w:r>
        <w:rPr>
          <w:rFonts w:hint="eastAsia"/>
          <w:sz w:val="21"/>
          <w:szCs w:val="21"/>
        </w:rPr>
        <w:t>委托集中采购机构或其他采购代理机构组织采购。</w:t>
      </w:r>
    </w:p>
    <w:p>
      <w:pPr>
        <w:pStyle w:val="39"/>
        <w:widowControl w:val="0"/>
        <w:numPr>
          <w:ilvl w:val="0"/>
          <w:numId w:val="9"/>
        </w:numPr>
        <w:overflowPunct w:val="0"/>
        <w:ind w:firstLine="420"/>
        <w:jc w:val="both"/>
        <w:rPr>
          <w:sz w:val="21"/>
          <w:szCs w:val="21"/>
        </w:rPr>
      </w:pPr>
      <w:r>
        <w:rPr>
          <w:rFonts w:hint="eastAsia"/>
          <w:sz w:val="21"/>
          <w:szCs w:val="21"/>
        </w:rPr>
        <w:t>代理机构的委托。由办公室与采购代理机构签订《政府采购委托代理协议》，明确委托的事项、双方的权利与义务，并依规评价代理工作。对公开招标限额以下、无特别要求的集中采购项目，可按年签订《委托代理协议》。</w:t>
      </w:r>
    </w:p>
    <w:p>
      <w:pPr>
        <w:pStyle w:val="39"/>
        <w:widowControl w:val="0"/>
        <w:numPr>
          <w:ilvl w:val="0"/>
          <w:numId w:val="9"/>
        </w:numPr>
        <w:overflowPunct w:val="0"/>
        <w:ind w:firstLine="420"/>
        <w:jc w:val="both"/>
        <w:rPr>
          <w:sz w:val="21"/>
          <w:szCs w:val="21"/>
        </w:rPr>
      </w:pPr>
      <w:r>
        <w:rPr>
          <w:rFonts w:hint="eastAsia"/>
          <w:sz w:val="21"/>
          <w:szCs w:val="21"/>
        </w:rPr>
        <w:t>采购需求编制与论证。需求部门提交详细的采购需求，办公室根据项目特点，结合预算编制、相关可行性论证和需求调研情况，可以对采购需求统一组织论证。政府向社会公众提供的公共服务项目，需求部门应当会同办公室就确定采购需求征求社会公众的意见。需求复杂的采购项目可引入第三方专业机构和专家，吸纳社会力量参与采购需求编制及论证。</w:t>
      </w:r>
    </w:p>
    <w:p>
      <w:pPr>
        <w:pStyle w:val="39"/>
        <w:widowControl w:val="0"/>
        <w:numPr>
          <w:ilvl w:val="0"/>
          <w:numId w:val="9"/>
        </w:numPr>
        <w:overflowPunct w:val="0"/>
        <w:ind w:firstLine="420"/>
        <w:jc w:val="both"/>
        <w:rPr>
          <w:sz w:val="21"/>
          <w:szCs w:val="21"/>
        </w:rPr>
      </w:pPr>
      <w:r>
        <w:rPr>
          <w:rFonts w:hint="eastAsia"/>
          <w:sz w:val="21"/>
          <w:szCs w:val="21"/>
        </w:rPr>
        <w:t>采购文件的编制与确认。采购代理机构根据采购需求编制采购（招标）文件，需求部门负责人确认采购（招标）文件，涉及归口管理的，需求部门需将采购（招标）文件交原需求提出部门负责人共同确认。采购文件应当完整反映采购需求的有关内容，设定的评审因素应当与采购需求对应，采购需求相关指标有区间规定的，评审因素应当量化到相应区间。</w:t>
      </w:r>
    </w:p>
    <w:p>
      <w:pPr>
        <w:pStyle w:val="39"/>
        <w:widowControl w:val="0"/>
        <w:numPr>
          <w:ilvl w:val="0"/>
          <w:numId w:val="9"/>
        </w:numPr>
        <w:overflowPunct w:val="0"/>
        <w:ind w:firstLine="420"/>
        <w:jc w:val="both"/>
        <w:rPr>
          <w:sz w:val="21"/>
          <w:szCs w:val="21"/>
        </w:rPr>
      </w:pPr>
      <w:r>
        <w:rPr>
          <w:rFonts w:hint="eastAsia"/>
          <w:sz w:val="21"/>
          <w:szCs w:val="21"/>
        </w:rPr>
        <w:t>采购活动的实施。采购代理机构刊登招标公告或发出投标邀请，接收投标，组织开标，成立评标委员会进行评标、定标。</w:t>
      </w:r>
    </w:p>
    <w:p>
      <w:pPr>
        <w:widowControl w:val="0"/>
        <w:overflowPunct w:val="0"/>
        <w:ind w:firstLine="420"/>
        <w:jc w:val="both"/>
        <w:rPr>
          <w:sz w:val="21"/>
          <w:szCs w:val="21"/>
        </w:rPr>
      </w:pPr>
      <w:r>
        <w:rPr>
          <w:rFonts w:hint="eastAsia"/>
          <w:sz w:val="21"/>
          <w:szCs w:val="21"/>
        </w:rPr>
        <w:t>需求部门可推选采购人代表参加采购评审，采购人代表参与评审过程中不得诱导、左右其他评标专家的意见，保证其他评标专家的独立性。</w:t>
      </w:r>
    </w:p>
    <w:p>
      <w:pPr>
        <w:pStyle w:val="39"/>
        <w:widowControl w:val="0"/>
        <w:numPr>
          <w:ilvl w:val="0"/>
          <w:numId w:val="9"/>
        </w:numPr>
        <w:overflowPunct w:val="0"/>
        <w:ind w:firstLine="420"/>
        <w:jc w:val="both"/>
        <w:rPr>
          <w:sz w:val="21"/>
          <w:szCs w:val="21"/>
        </w:rPr>
      </w:pPr>
      <w:r>
        <w:rPr>
          <w:rFonts w:hint="eastAsia"/>
          <w:sz w:val="21"/>
          <w:szCs w:val="21"/>
        </w:rPr>
        <w:t>采购结果确认。评标委员会（谈判、询价、磋商小组）出具评审报告，</w:t>
      </w:r>
      <w:r>
        <w:rPr>
          <w:rFonts w:hint="eastAsia" w:eastAsia="宋体"/>
          <w:sz w:val="21"/>
          <w:szCs w:val="21"/>
        </w:rPr>
        <w:t>需求部门从评审报告推荐的中标或成交候选人中按顺序确定中标（成交）供应商</w:t>
      </w:r>
      <w:r>
        <w:rPr>
          <w:rFonts w:hint="eastAsia"/>
          <w:sz w:val="21"/>
          <w:szCs w:val="21"/>
        </w:rPr>
        <w:t>，也可以书面授权评标委员会直接确定成交供应商。采购人代表经需求部门负责人授权后现场签字确认采购结果，在评审结束后带回并妥善保管评标资料。</w:t>
      </w:r>
    </w:p>
    <w:p>
      <w:pPr>
        <w:pStyle w:val="39"/>
        <w:widowControl w:val="0"/>
        <w:numPr>
          <w:ilvl w:val="0"/>
          <w:numId w:val="9"/>
        </w:numPr>
        <w:overflowPunct w:val="0"/>
        <w:ind w:firstLine="420"/>
        <w:jc w:val="both"/>
        <w:rPr>
          <w:sz w:val="21"/>
          <w:szCs w:val="21"/>
        </w:rPr>
      </w:pPr>
      <w:r>
        <w:rPr>
          <w:rFonts w:hint="eastAsia"/>
          <w:sz w:val="21"/>
          <w:szCs w:val="21"/>
        </w:rPr>
        <w:t>代理机构发布中标（成交）通知书并按照规定进行公示。</w:t>
      </w:r>
    </w:p>
    <w:p>
      <w:pPr>
        <w:widowControl w:val="0"/>
        <w:numPr>
          <w:ilvl w:val="0"/>
          <w:numId w:val="3"/>
        </w:numPr>
        <w:overflowPunct w:val="0"/>
        <w:ind w:left="0" w:firstLine="420" w:firstLineChars="200"/>
        <w:jc w:val="both"/>
        <w:rPr>
          <w:sz w:val="21"/>
          <w:szCs w:val="21"/>
        </w:rPr>
      </w:pPr>
      <w:r>
        <w:rPr>
          <w:rFonts w:hint="eastAsia"/>
          <w:sz w:val="21"/>
          <w:szCs w:val="21"/>
        </w:rPr>
        <w:t>电子卖场采购。办公室指定专人办理电子卖场采购事项，按照规定做好用户账号、工作流程及操作权限的配置维护，具体采购流程、合同模板、合同签订形式等环节以系统设定为准。按照计划或实际需要合理选择电子卖场采购方式，在同等条件下优先选购价格更低的商品或服务。相同商品未上架或在其他市场价格更低的，可从其他市场采购，在报销时提供电子卖场价格截屏。</w:t>
      </w:r>
    </w:p>
    <w:p>
      <w:pPr>
        <w:widowControl w:val="0"/>
        <w:numPr>
          <w:ilvl w:val="0"/>
          <w:numId w:val="3"/>
        </w:numPr>
        <w:overflowPunct w:val="0"/>
        <w:ind w:left="0" w:firstLine="420" w:firstLineChars="200"/>
        <w:jc w:val="both"/>
        <w:rPr>
          <w:sz w:val="21"/>
          <w:szCs w:val="21"/>
        </w:rPr>
      </w:pPr>
      <w:r>
        <w:rPr>
          <w:rFonts w:hint="eastAsia"/>
          <w:sz w:val="21"/>
          <w:szCs w:val="21"/>
        </w:rPr>
        <w:t>自行组织采购。办公室参照第十七条组织，其中代理机构工作职责由办公室负责。</w:t>
      </w:r>
    </w:p>
    <w:p>
      <w:pPr>
        <w:widowControl w:val="0"/>
        <w:numPr>
          <w:ilvl w:val="0"/>
          <w:numId w:val="3"/>
        </w:numPr>
        <w:overflowPunct w:val="0"/>
        <w:ind w:left="0" w:firstLine="420" w:firstLineChars="200"/>
        <w:jc w:val="both"/>
        <w:rPr>
          <w:sz w:val="21"/>
          <w:szCs w:val="21"/>
        </w:rPr>
      </w:pPr>
      <w:r>
        <w:rPr>
          <w:rFonts w:hint="eastAsia"/>
          <w:sz w:val="21"/>
          <w:szCs w:val="21"/>
        </w:rPr>
        <w:t>采购合同管理。</w:t>
      </w:r>
    </w:p>
    <w:p>
      <w:pPr>
        <w:pStyle w:val="39"/>
        <w:widowControl w:val="0"/>
        <w:numPr>
          <w:ilvl w:val="0"/>
          <w:numId w:val="10"/>
        </w:numPr>
        <w:overflowPunct w:val="0"/>
        <w:ind w:firstLine="420"/>
        <w:jc w:val="both"/>
        <w:rPr>
          <w:sz w:val="21"/>
          <w:szCs w:val="21"/>
        </w:rPr>
      </w:pPr>
      <w:r>
        <w:rPr>
          <w:rFonts w:hint="eastAsia"/>
          <w:sz w:val="21"/>
          <w:szCs w:val="21"/>
        </w:rPr>
        <w:t>严格依据采购需求与中标文件编制采购合同。采购合同的具体条款应当包括项目的验收要求、与履约验收挂钩的资金支付条件及时间、争议处理规定、采购人及供应商各自权利义务等内容。采购需求、项目验收标准和程序应当作为采购合同的附件。</w:t>
      </w:r>
    </w:p>
    <w:p>
      <w:pPr>
        <w:pStyle w:val="39"/>
        <w:widowControl w:val="0"/>
        <w:numPr>
          <w:ilvl w:val="0"/>
          <w:numId w:val="10"/>
        </w:numPr>
        <w:overflowPunct w:val="0"/>
        <w:ind w:firstLine="420"/>
        <w:jc w:val="both"/>
        <w:rPr>
          <w:sz w:val="21"/>
          <w:szCs w:val="21"/>
        </w:rPr>
      </w:pPr>
      <w:r>
        <w:rPr>
          <w:rFonts w:hint="eastAsia"/>
          <w:sz w:val="21"/>
          <w:szCs w:val="21"/>
        </w:rPr>
        <w:t>在中标或成交通知书发出后的30日内，办公室应按照《经济合同管理内部管理制度》执行采购合同审查与用印程序，完成政府采购合同签订，并在合同签订后7个工作日内，将合同副本报财政部门备案。委托采购代理机构签订采购合同的，由办公室申请签订授权委托书，作为合同的附件。</w:t>
      </w:r>
    </w:p>
    <w:p>
      <w:pPr>
        <w:widowControl w:val="0"/>
        <w:numPr>
          <w:ilvl w:val="0"/>
          <w:numId w:val="3"/>
        </w:numPr>
        <w:overflowPunct w:val="0"/>
        <w:ind w:left="0" w:firstLine="420" w:firstLineChars="200"/>
        <w:jc w:val="both"/>
        <w:rPr>
          <w:sz w:val="21"/>
          <w:szCs w:val="21"/>
        </w:rPr>
      </w:pPr>
      <w:r>
        <w:rPr>
          <w:rFonts w:hint="eastAsia"/>
          <w:sz w:val="21"/>
          <w:szCs w:val="21"/>
        </w:rPr>
        <w:t>采购变更。</w:t>
      </w:r>
    </w:p>
    <w:p>
      <w:pPr>
        <w:pStyle w:val="39"/>
        <w:widowControl w:val="0"/>
        <w:numPr>
          <w:ilvl w:val="0"/>
          <w:numId w:val="11"/>
        </w:numPr>
        <w:overflowPunct w:val="0"/>
        <w:ind w:firstLine="420"/>
        <w:jc w:val="both"/>
        <w:rPr>
          <w:sz w:val="21"/>
          <w:szCs w:val="21"/>
        </w:rPr>
      </w:pPr>
      <w:r>
        <w:rPr>
          <w:rFonts w:hint="eastAsia"/>
          <w:sz w:val="21"/>
          <w:szCs w:val="21"/>
        </w:rPr>
        <w:t>采购实施过程中发生采购需求或采购方式变更的，由需求部门提出变更申请，经办公室、财务部门初核，分管业务领导、分管财务领导审核后，报财政部门审批后执行。</w:t>
      </w:r>
    </w:p>
    <w:p>
      <w:pPr>
        <w:pStyle w:val="39"/>
        <w:widowControl w:val="0"/>
        <w:numPr>
          <w:ilvl w:val="0"/>
          <w:numId w:val="11"/>
        </w:numPr>
        <w:overflowPunct w:val="0"/>
        <w:ind w:firstLine="420"/>
        <w:jc w:val="both"/>
        <w:rPr>
          <w:sz w:val="21"/>
          <w:szCs w:val="21"/>
        </w:rPr>
      </w:pPr>
      <w:r>
        <w:rPr>
          <w:rFonts w:hint="eastAsia"/>
          <w:sz w:val="21"/>
          <w:szCs w:val="21"/>
        </w:rPr>
        <w:t>合同履行过程中，因特殊原因需要变更或终止合同的，按照《经济合同内部管理制度》执行审批，需求部门应与供应商协商一致，并将变更、终止合同的理由、变更内容和责任等以书面形式经采购代理机构审查同意后，报财政部门批准备案。</w:t>
      </w:r>
    </w:p>
    <w:p>
      <w:pPr>
        <w:widowControl w:val="0"/>
        <w:numPr>
          <w:ilvl w:val="0"/>
          <w:numId w:val="3"/>
        </w:numPr>
        <w:overflowPunct w:val="0"/>
        <w:ind w:left="0" w:firstLine="420" w:firstLineChars="200"/>
        <w:jc w:val="both"/>
        <w:rPr>
          <w:sz w:val="21"/>
          <w:szCs w:val="21"/>
        </w:rPr>
      </w:pPr>
      <w:r>
        <w:rPr>
          <w:rFonts w:hint="eastAsia"/>
          <w:sz w:val="21"/>
          <w:szCs w:val="21"/>
        </w:rPr>
        <w:t>政府采购进口产品。对未纳入统一组织专家论证范围的进口产品，因工作需要确需采购的，由办公室组织专家论证，填写《政府采购进口产品申请核准表》，报财政部门审核批复后执行。</w:t>
      </w:r>
    </w:p>
    <w:p>
      <w:pPr>
        <w:pStyle w:val="4"/>
        <w:widowControl w:val="0"/>
        <w:numPr>
          <w:ilvl w:val="0"/>
          <w:numId w:val="2"/>
        </w:numPr>
        <w:overflowPunct w:val="0"/>
        <w:spacing w:before="120" w:beforeLines="50" w:after="120" w:afterLines="50"/>
        <w:jc w:val="center"/>
        <w:rPr>
          <w:rFonts w:ascii="Times New Roman" w:hAnsi="Times New Roman" w:eastAsia="黑体"/>
          <w:b w:val="0"/>
          <w:bCs w:val="0"/>
          <w:sz w:val="24"/>
          <w:szCs w:val="24"/>
        </w:rPr>
      </w:pPr>
      <w:r>
        <w:rPr>
          <w:rFonts w:hint="eastAsia" w:ascii="Times New Roman" w:hAnsi="Times New Roman" w:eastAsia="黑体"/>
          <w:b w:val="0"/>
          <w:bCs w:val="0"/>
          <w:sz w:val="24"/>
          <w:szCs w:val="24"/>
        </w:rPr>
        <w:t xml:space="preserve"> </w:t>
      </w:r>
      <w:bookmarkStart w:id="12" w:name="_Toc74814785"/>
      <w:r>
        <w:rPr>
          <w:rFonts w:hint="eastAsia" w:ascii="Times New Roman" w:hAnsi="Times New Roman" w:eastAsia="黑体"/>
          <w:b w:val="0"/>
          <w:bCs w:val="0"/>
          <w:sz w:val="24"/>
          <w:szCs w:val="24"/>
        </w:rPr>
        <w:t>政府采购履约与验收</w:t>
      </w:r>
      <w:bookmarkEnd w:id="12"/>
    </w:p>
    <w:p>
      <w:pPr>
        <w:widowControl w:val="0"/>
        <w:numPr>
          <w:ilvl w:val="0"/>
          <w:numId w:val="3"/>
        </w:numPr>
        <w:overflowPunct w:val="0"/>
        <w:ind w:left="0" w:firstLine="420" w:firstLineChars="200"/>
        <w:jc w:val="both"/>
        <w:rPr>
          <w:sz w:val="21"/>
          <w:szCs w:val="21"/>
        </w:rPr>
      </w:pPr>
      <w:r>
        <w:rPr>
          <w:rFonts w:hint="eastAsia"/>
          <w:sz w:val="21"/>
          <w:szCs w:val="21"/>
        </w:rPr>
        <w:t>履约跟踪。需求部门应按照要求定期上报政府采购项目履约情况，办公室进行分类统计，并在单位内部进行通报。</w:t>
      </w:r>
    </w:p>
    <w:p>
      <w:pPr>
        <w:widowControl w:val="0"/>
        <w:numPr>
          <w:ilvl w:val="0"/>
          <w:numId w:val="3"/>
        </w:numPr>
        <w:overflowPunct w:val="0"/>
        <w:ind w:left="0" w:firstLine="420" w:firstLineChars="200"/>
        <w:jc w:val="both"/>
        <w:rPr>
          <w:sz w:val="21"/>
          <w:szCs w:val="21"/>
        </w:rPr>
      </w:pPr>
      <w:r>
        <w:rPr>
          <w:rFonts w:hint="eastAsia"/>
          <w:sz w:val="21"/>
          <w:szCs w:val="21"/>
        </w:rPr>
        <w:t>履约过程核验。供应商、需求部门或采购代理机构认为有必要，可以在合同履行过程中，对履约程度进行核验，并作为交付或验收的依据。供应商在履约过程中有政府采购法律法规规定的违法违规情形的，需求部门应当及时会同办公室报告财政部门。</w:t>
      </w:r>
    </w:p>
    <w:p>
      <w:pPr>
        <w:widowControl w:val="0"/>
        <w:numPr>
          <w:ilvl w:val="0"/>
          <w:numId w:val="3"/>
        </w:numPr>
        <w:overflowPunct w:val="0"/>
        <w:ind w:left="0" w:firstLine="420" w:firstLineChars="200"/>
        <w:jc w:val="both"/>
        <w:rPr>
          <w:sz w:val="21"/>
          <w:szCs w:val="21"/>
        </w:rPr>
      </w:pPr>
      <w:r>
        <w:rPr>
          <w:rFonts w:hint="eastAsia"/>
          <w:sz w:val="21"/>
          <w:szCs w:val="21"/>
        </w:rPr>
        <w:t>验收的组织。需求部门或采购代理机构应当按照投标文件和采购合同的约定，组织人员对供应商的履约结果进行验收。其中分散采购项目，原则上应由需求部门发起，采购归口部门组织验收。委托采购代理机构进行履约验收的，由需求部门对验收结果进行书面确认。</w:t>
      </w:r>
    </w:p>
    <w:p>
      <w:pPr>
        <w:widowControl w:val="0"/>
        <w:numPr>
          <w:ilvl w:val="0"/>
          <w:numId w:val="3"/>
        </w:numPr>
        <w:overflowPunct w:val="0"/>
        <w:ind w:left="0" w:firstLine="420" w:firstLineChars="200"/>
        <w:jc w:val="both"/>
        <w:rPr>
          <w:sz w:val="21"/>
          <w:szCs w:val="21"/>
        </w:rPr>
      </w:pPr>
      <w:r>
        <w:rPr>
          <w:rFonts w:hint="eastAsia"/>
          <w:sz w:val="21"/>
          <w:szCs w:val="21"/>
        </w:rPr>
        <w:t>编制验收方案。需求部门应当根据项目特点制定验收方案，明确履约验收的时间、方式、程序等内容。技术复杂、社会影响较大的货物类项目，可以根据需要设置出厂检验、到货检验、安装调试检验、配套服务检验等多重验收环节；服务类项目，可根据项目特点对服务期内的服务实施情况进行分期考核，结合考核情况和服务效果进行验收；工程类项目应当按照行业管理部门规定的标准、方法和内容进行验收。</w:t>
      </w:r>
    </w:p>
    <w:p>
      <w:pPr>
        <w:widowControl w:val="0"/>
        <w:numPr>
          <w:ilvl w:val="0"/>
          <w:numId w:val="3"/>
        </w:numPr>
        <w:overflowPunct w:val="0"/>
        <w:ind w:left="0" w:firstLine="420" w:firstLineChars="200"/>
        <w:jc w:val="both"/>
        <w:rPr>
          <w:sz w:val="21"/>
          <w:szCs w:val="21"/>
        </w:rPr>
      </w:pPr>
      <w:r>
        <w:rPr>
          <w:rFonts w:hint="eastAsia"/>
          <w:sz w:val="21"/>
          <w:szCs w:val="21"/>
        </w:rPr>
        <w:t>验收方式。采购归口部门应成立验收小组，按照采购合同的约定对供应商履约情况进行验收，实际使用人应参与验收。可以邀请参加本项目的其他供应商或第三方专业机构及专家参与验收，相关验收意见作为验收书的参考资料。</w:t>
      </w:r>
    </w:p>
    <w:p>
      <w:pPr>
        <w:widowControl w:val="0"/>
        <w:overflowPunct w:val="0"/>
        <w:ind w:firstLine="420"/>
        <w:jc w:val="both"/>
        <w:rPr>
          <w:sz w:val="21"/>
          <w:szCs w:val="21"/>
        </w:rPr>
      </w:pPr>
      <w:r>
        <w:rPr>
          <w:rFonts w:hint="eastAsia"/>
          <w:sz w:val="21"/>
          <w:szCs w:val="21"/>
        </w:rPr>
        <w:t>采购金额较大且技术复杂的政府采购项目，应当邀请国家认可的专业质量检测机构共同参加验收。验收小组成员应由需求部门代表、采购代理机构代表及相关技术专家等组成，立项、采购文件审查曾委托第三方专家进行的，第三方专家也必须参与，直接参与该项目的采购人员不得作为验收小组成员。</w:t>
      </w:r>
    </w:p>
    <w:p>
      <w:pPr>
        <w:widowControl w:val="0"/>
        <w:overflowPunct w:val="0"/>
        <w:ind w:firstLine="420"/>
        <w:jc w:val="both"/>
        <w:rPr>
          <w:sz w:val="21"/>
          <w:szCs w:val="21"/>
        </w:rPr>
      </w:pPr>
      <w:r>
        <w:rPr>
          <w:rFonts w:hint="eastAsia"/>
          <w:sz w:val="21"/>
          <w:szCs w:val="21"/>
        </w:rPr>
        <w:t>政府向社会公众提供的公共服务项目，验收时应当邀请服务对象参与并出具意见，验收结果应当向社会公告。</w:t>
      </w:r>
    </w:p>
    <w:p>
      <w:pPr>
        <w:widowControl w:val="0"/>
        <w:numPr>
          <w:ilvl w:val="0"/>
          <w:numId w:val="3"/>
        </w:numPr>
        <w:overflowPunct w:val="0"/>
        <w:ind w:left="0" w:firstLine="420" w:firstLineChars="200"/>
        <w:jc w:val="both"/>
        <w:rPr>
          <w:sz w:val="21"/>
          <w:szCs w:val="21"/>
        </w:rPr>
      </w:pPr>
      <w:r>
        <w:rPr>
          <w:rFonts w:hint="eastAsia"/>
          <w:sz w:val="21"/>
          <w:szCs w:val="21"/>
        </w:rPr>
        <w:t>验收确认。验收小组应当按照采购合同的约定对每一项技术、服务、安全标准的履约情况进行确认。验收结束后，应当出具验收书，列明各项标准的验收情况及项目总体评价，由验收双方共同签署。验收结果应当与采购合同约定的资金支付及履约保证金返还条件挂钩。履约验收的各项资料应当存档备查。</w:t>
      </w:r>
    </w:p>
    <w:p>
      <w:pPr>
        <w:widowControl w:val="0"/>
        <w:numPr>
          <w:ilvl w:val="0"/>
          <w:numId w:val="3"/>
        </w:numPr>
        <w:overflowPunct w:val="0"/>
        <w:ind w:left="0" w:firstLine="420" w:firstLineChars="200"/>
        <w:jc w:val="both"/>
        <w:rPr>
          <w:sz w:val="21"/>
          <w:szCs w:val="21"/>
        </w:rPr>
      </w:pPr>
      <w:r>
        <w:rPr>
          <w:rFonts w:hint="eastAsia"/>
          <w:sz w:val="21"/>
          <w:szCs w:val="21"/>
        </w:rPr>
        <w:t>验收结算。验收合格的项目，需求部门应当根据采购合同的约定及时提请向供应商支付采购资金、退还履约保证金，具体程序按照《收支业务内部管理制度》执行。</w:t>
      </w:r>
    </w:p>
    <w:p>
      <w:pPr>
        <w:widowControl w:val="0"/>
        <w:overflowPunct w:val="0"/>
        <w:ind w:firstLine="420"/>
        <w:jc w:val="both"/>
        <w:rPr>
          <w:sz w:val="21"/>
          <w:szCs w:val="21"/>
        </w:rPr>
      </w:pPr>
      <w:r>
        <w:rPr>
          <w:rFonts w:hint="eastAsia"/>
          <w:sz w:val="21"/>
          <w:szCs w:val="21"/>
        </w:rPr>
        <w:t>验收人（或验收小组组长）和财务负责人应当在验收结算单上分别签署验收、结算意见，参加验收的各成员应签名并承担相应责任。验收结算单是支付采购资金的必备要件。</w:t>
      </w:r>
    </w:p>
    <w:p>
      <w:pPr>
        <w:widowControl w:val="0"/>
        <w:numPr>
          <w:ilvl w:val="0"/>
          <w:numId w:val="3"/>
        </w:numPr>
        <w:overflowPunct w:val="0"/>
        <w:ind w:left="0" w:firstLine="420" w:firstLineChars="200"/>
        <w:jc w:val="both"/>
        <w:rPr>
          <w:sz w:val="21"/>
          <w:szCs w:val="21"/>
        </w:rPr>
      </w:pPr>
      <w:r>
        <w:rPr>
          <w:rFonts w:hint="eastAsia"/>
          <w:sz w:val="21"/>
          <w:szCs w:val="21"/>
        </w:rPr>
        <w:t>验收变更。验收结果如不符合合同约定的，由需求部门通知供应商限期达到合同约定的要求。验收结果与采购合同约定不完全符合，但不影响安全、不降低使用要求和功能，而且要改变确有困难的，经供应商与需求部门及采购代理机构协商一致，并报财政部门同意后，可减价接受。</w:t>
      </w:r>
    </w:p>
    <w:p>
      <w:pPr>
        <w:widowControl w:val="0"/>
        <w:overflowPunct w:val="0"/>
        <w:ind w:firstLine="420"/>
        <w:jc w:val="both"/>
        <w:rPr>
          <w:sz w:val="21"/>
          <w:szCs w:val="21"/>
        </w:rPr>
      </w:pPr>
      <w:r>
        <w:rPr>
          <w:rFonts w:hint="eastAsia"/>
          <w:sz w:val="21"/>
          <w:szCs w:val="21"/>
        </w:rPr>
        <w:t>只有非重要部分不符合合同要求，而其他部分可以先行使用的，且需求部门确有先使用的必要，经供应商与需求部门及采购代理机构协商一致，并报财政部门同意，可就先使用部分验收，并支付部分价款。</w:t>
      </w:r>
    </w:p>
    <w:p>
      <w:pPr>
        <w:pStyle w:val="4"/>
        <w:widowControl w:val="0"/>
        <w:numPr>
          <w:ilvl w:val="0"/>
          <w:numId w:val="2"/>
        </w:numPr>
        <w:overflowPunct w:val="0"/>
        <w:spacing w:before="120" w:beforeLines="50" w:after="120" w:afterLines="50"/>
        <w:jc w:val="center"/>
        <w:rPr>
          <w:rFonts w:ascii="Times New Roman" w:hAnsi="Times New Roman" w:eastAsia="黑体"/>
          <w:b w:val="0"/>
          <w:bCs w:val="0"/>
          <w:sz w:val="24"/>
          <w:szCs w:val="24"/>
        </w:rPr>
      </w:pPr>
      <w:r>
        <w:rPr>
          <w:rFonts w:hint="eastAsia" w:ascii="Times New Roman" w:hAnsi="Times New Roman" w:eastAsia="黑体"/>
          <w:b w:val="0"/>
          <w:bCs w:val="0"/>
          <w:sz w:val="24"/>
          <w:szCs w:val="24"/>
        </w:rPr>
        <w:t xml:space="preserve"> </w:t>
      </w:r>
      <w:bookmarkStart w:id="13" w:name="_Toc74814786"/>
      <w:r>
        <w:rPr>
          <w:rFonts w:hint="eastAsia" w:ascii="Times New Roman" w:hAnsi="Times New Roman" w:eastAsia="黑体"/>
          <w:b w:val="0"/>
          <w:bCs w:val="0"/>
          <w:sz w:val="24"/>
          <w:szCs w:val="24"/>
        </w:rPr>
        <w:t>政府采购质疑与投诉</w:t>
      </w:r>
      <w:bookmarkEnd w:id="13"/>
    </w:p>
    <w:p>
      <w:pPr>
        <w:widowControl w:val="0"/>
        <w:numPr>
          <w:ilvl w:val="0"/>
          <w:numId w:val="3"/>
        </w:numPr>
        <w:overflowPunct w:val="0"/>
        <w:ind w:left="0" w:firstLine="420" w:firstLineChars="200"/>
        <w:jc w:val="both"/>
        <w:rPr>
          <w:sz w:val="21"/>
          <w:szCs w:val="21"/>
        </w:rPr>
      </w:pPr>
      <w:r>
        <w:rPr>
          <w:rFonts w:hint="eastAsia"/>
          <w:sz w:val="21"/>
          <w:szCs w:val="21"/>
        </w:rPr>
        <w:t>采购质疑管理。办公室应当在收到供应商的书面质疑后七个工作日内作出答复，并以书面形式通知质疑供应商和其他有关供应商，但答复的内容不得涉及商业秘密。</w:t>
      </w:r>
    </w:p>
    <w:p>
      <w:pPr>
        <w:widowControl w:val="0"/>
        <w:numPr>
          <w:ilvl w:val="0"/>
          <w:numId w:val="3"/>
        </w:numPr>
        <w:overflowPunct w:val="0"/>
        <w:ind w:left="0" w:firstLine="420" w:firstLineChars="200"/>
        <w:jc w:val="both"/>
        <w:rPr>
          <w:sz w:val="21"/>
          <w:szCs w:val="21"/>
        </w:rPr>
      </w:pPr>
      <w:r>
        <w:rPr>
          <w:rFonts w:hint="eastAsia"/>
          <w:sz w:val="21"/>
          <w:szCs w:val="21"/>
        </w:rPr>
        <w:t>采购投诉管理。办公室针对投诉事项，应政府采购监督管理部门要求及时作出必要说明。</w:t>
      </w:r>
    </w:p>
    <w:p>
      <w:pPr>
        <w:pStyle w:val="4"/>
        <w:widowControl w:val="0"/>
        <w:numPr>
          <w:ilvl w:val="0"/>
          <w:numId w:val="2"/>
        </w:numPr>
        <w:overflowPunct w:val="0"/>
        <w:spacing w:before="120" w:beforeLines="50" w:after="120" w:afterLines="50"/>
        <w:jc w:val="center"/>
        <w:rPr>
          <w:rFonts w:ascii="Times New Roman" w:hAnsi="Times New Roman" w:eastAsia="黑体"/>
          <w:b w:val="0"/>
          <w:bCs w:val="0"/>
          <w:sz w:val="24"/>
          <w:szCs w:val="24"/>
        </w:rPr>
      </w:pPr>
      <w:r>
        <w:rPr>
          <w:rFonts w:hint="eastAsia" w:ascii="Times New Roman" w:hAnsi="Times New Roman" w:eastAsia="黑体"/>
          <w:b w:val="0"/>
          <w:bCs w:val="0"/>
          <w:sz w:val="24"/>
          <w:szCs w:val="24"/>
        </w:rPr>
        <w:t xml:space="preserve"> </w:t>
      </w:r>
      <w:bookmarkStart w:id="14" w:name="_Toc74814787"/>
      <w:r>
        <w:rPr>
          <w:rFonts w:hint="eastAsia" w:ascii="Times New Roman" w:hAnsi="Times New Roman" w:eastAsia="黑体"/>
          <w:b w:val="0"/>
          <w:bCs w:val="0"/>
          <w:sz w:val="24"/>
          <w:szCs w:val="24"/>
        </w:rPr>
        <w:t>政府采购档案</w:t>
      </w:r>
      <w:bookmarkEnd w:id="14"/>
    </w:p>
    <w:p>
      <w:pPr>
        <w:widowControl w:val="0"/>
        <w:numPr>
          <w:ilvl w:val="0"/>
          <w:numId w:val="3"/>
        </w:numPr>
        <w:overflowPunct w:val="0"/>
        <w:ind w:left="0" w:firstLine="420" w:firstLineChars="200"/>
        <w:jc w:val="both"/>
        <w:rPr>
          <w:sz w:val="21"/>
          <w:szCs w:val="21"/>
        </w:rPr>
      </w:pPr>
      <w:r>
        <w:rPr>
          <w:rFonts w:hint="eastAsia"/>
          <w:sz w:val="21"/>
          <w:szCs w:val="21"/>
        </w:rPr>
        <w:t>办公室和需求部门应对政府采购项目每项采购活动的采购文件应当妥善保存，不得伪造、变造、隐匿或者销毁。采购文件的保存期限为从采购结束之日起至少保存十五年。</w:t>
      </w:r>
    </w:p>
    <w:p>
      <w:pPr>
        <w:widowControl w:val="0"/>
        <w:numPr>
          <w:ilvl w:val="0"/>
          <w:numId w:val="3"/>
        </w:numPr>
        <w:overflowPunct w:val="0"/>
        <w:ind w:left="0" w:firstLine="420" w:firstLineChars="200"/>
        <w:jc w:val="both"/>
        <w:rPr>
          <w:sz w:val="21"/>
          <w:szCs w:val="21"/>
        </w:rPr>
      </w:pPr>
      <w:r>
        <w:rPr>
          <w:rFonts w:hint="eastAsia"/>
          <w:sz w:val="21"/>
          <w:szCs w:val="21"/>
        </w:rPr>
        <w:t>采购文件包括采购活动记录、采购预算、招标文件、投标文件、评标标准、评估报告、定标文件、合同文本、验收证明、质疑答复、投诉处理决定及其他有关文件、资料。</w:t>
      </w:r>
    </w:p>
    <w:p>
      <w:pPr>
        <w:widowControl w:val="0"/>
        <w:overflowPunct w:val="0"/>
        <w:ind w:firstLine="420"/>
        <w:jc w:val="both"/>
        <w:rPr>
          <w:sz w:val="21"/>
          <w:szCs w:val="21"/>
        </w:rPr>
      </w:pPr>
      <w:r>
        <w:rPr>
          <w:rFonts w:hint="eastAsia"/>
          <w:sz w:val="21"/>
          <w:szCs w:val="21"/>
        </w:rPr>
        <w:t>采购活动记录至少应当包括下列内容：</w:t>
      </w:r>
    </w:p>
    <w:p>
      <w:pPr>
        <w:widowControl w:val="0"/>
        <w:overflowPunct w:val="0"/>
        <w:ind w:firstLine="420"/>
        <w:jc w:val="both"/>
        <w:rPr>
          <w:sz w:val="21"/>
          <w:szCs w:val="21"/>
        </w:rPr>
      </w:pPr>
      <w:r>
        <w:rPr>
          <w:rFonts w:hint="eastAsia"/>
          <w:sz w:val="21"/>
          <w:szCs w:val="21"/>
        </w:rPr>
        <w:t>（一）采购项目类别、名称。</w:t>
      </w:r>
    </w:p>
    <w:p>
      <w:pPr>
        <w:widowControl w:val="0"/>
        <w:overflowPunct w:val="0"/>
        <w:ind w:firstLine="420"/>
        <w:jc w:val="both"/>
        <w:rPr>
          <w:sz w:val="21"/>
          <w:szCs w:val="21"/>
        </w:rPr>
      </w:pPr>
      <w:r>
        <w:rPr>
          <w:rFonts w:hint="eastAsia"/>
          <w:sz w:val="21"/>
          <w:szCs w:val="21"/>
        </w:rPr>
        <w:t>（二）采购项目预算、资金构成和合同价格。</w:t>
      </w:r>
    </w:p>
    <w:p>
      <w:pPr>
        <w:widowControl w:val="0"/>
        <w:overflowPunct w:val="0"/>
        <w:ind w:firstLine="420"/>
        <w:jc w:val="both"/>
        <w:rPr>
          <w:sz w:val="21"/>
          <w:szCs w:val="21"/>
        </w:rPr>
      </w:pPr>
      <w:r>
        <w:rPr>
          <w:rFonts w:hint="eastAsia"/>
          <w:sz w:val="21"/>
          <w:szCs w:val="21"/>
        </w:rPr>
        <w:t>（三）采购方式，采用公开招标以外的采购方式的，应当载明原因。</w:t>
      </w:r>
    </w:p>
    <w:p>
      <w:pPr>
        <w:widowControl w:val="0"/>
        <w:overflowPunct w:val="0"/>
        <w:ind w:firstLine="420"/>
        <w:jc w:val="both"/>
        <w:rPr>
          <w:sz w:val="21"/>
          <w:szCs w:val="21"/>
        </w:rPr>
      </w:pPr>
      <w:r>
        <w:rPr>
          <w:rFonts w:hint="eastAsia"/>
          <w:sz w:val="21"/>
          <w:szCs w:val="21"/>
        </w:rPr>
        <w:t>（四）邀请和选择供应商的条件及原因。</w:t>
      </w:r>
    </w:p>
    <w:p>
      <w:pPr>
        <w:widowControl w:val="0"/>
        <w:overflowPunct w:val="0"/>
        <w:ind w:firstLine="420"/>
        <w:jc w:val="both"/>
        <w:rPr>
          <w:sz w:val="21"/>
          <w:szCs w:val="21"/>
        </w:rPr>
      </w:pPr>
      <w:r>
        <w:rPr>
          <w:rFonts w:hint="eastAsia"/>
          <w:sz w:val="21"/>
          <w:szCs w:val="21"/>
        </w:rPr>
        <w:t>（五）评标标准及确定中标人的原因。</w:t>
      </w:r>
    </w:p>
    <w:p>
      <w:pPr>
        <w:widowControl w:val="0"/>
        <w:overflowPunct w:val="0"/>
        <w:ind w:firstLine="420"/>
        <w:jc w:val="both"/>
        <w:rPr>
          <w:sz w:val="21"/>
          <w:szCs w:val="21"/>
        </w:rPr>
      </w:pPr>
      <w:r>
        <w:rPr>
          <w:rFonts w:hint="eastAsia"/>
          <w:sz w:val="21"/>
          <w:szCs w:val="21"/>
        </w:rPr>
        <w:t>（六）废标的原因。</w:t>
      </w:r>
    </w:p>
    <w:p>
      <w:pPr>
        <w:widowControl w:val="0"/>
        <w:overflowPunct w:val="0"/>
        <w:ind w:firstLine="420"/>
        <w:jc w:val="both"/>
        <w:rPr>
          <w:sz w:val="21"/>
          <w:szCs w:val="21"/>
        </w:rPr>
      </w:pPr>
      <w:r>
        <w:rPr>
          <w:rFonts w:hint="eastAsia"/>
          <w:sz w:val="21"/>
          <w:szCs w:val="21"/>
        </w:rPr>
        <w:t>（七）采用招标以外采购方式的相应记载。</w:t>
      </w:r>
    </w:p>
    <w:p>
      <w:pPr>
        <w:widowControl w:val="0"/>
        <w:numPr>
          <w:ilvl w:val="0"/>
          <w:numId w:val="3"/>
        </w:numPr>
        <w:overflowPunct w:val="0"/>
        <w:ind w:left="0" w:firstLine="420" w:firstLineChars="200"/>
        <w:jc w:val="both"/>
        <w:rPr>
          <w:sz w:val="21"/>
          <w:szCs w:val="21"/>
        </w:rPr>
      </w:pPr>
      <w:r>
        <w:rPr>
          <w:rFonts w:hint="eastAsia"/>
          <w:sz w:val="21"/>
          <w:szCs w:val="21"/>
        </w:rPr>
        <w:t>非招标采购方式文件包括采购活动记录、采购预算、谈判文件、询价通知书、响应文件、推荐供应商的意见、评审报告、成交供应商确定文件、单一来源采购协商情况记录、合同文本、验收证明、质疑答复、投诉处理决定以及其他有关文件、资料。采购文件可以电子档案方式保存。</w:t>
      </w:r>
    </w:p>
    <w:p>
      <w:pPr>
        <w:widowControl w:val="0"/>
        <w:overflowPunct w:val="0"/>
        <w:ind w:firstLine="420"/>
        <w:jc w:val="both"/>
        <w:rPr>
          <w:sz w:val="21"/>
          <w:szCs w:val="21"/>
        </w:rPr>
      </w:pPr>
      <w:r>
        <w:rPr>
          <w:rFonts w:hint="eastAsia"/>
          <w:sz w:val="21"/>
          <w:szCs w:val="21"/>
        </w:rPr>
        <w:t>采购活动记录至少应当包括下列内容：</w:t>
      </w:r>
    </w:p>
    <w:p>
      <w:pPr>
        <w:widowControl w:val="0"/>
        <w:overflowPunct w:val="0"/>
        <w:ind w:firstLine="420"/>
        <w:jc w:val="both"/>
        <w:rPr>
          <w:sz w:val="21"/>
          <w:szCs w:val="21"/>
        </w:rPr>
      </w:pPr>
      <w:r>
        <w:rPr>
          <w:rFonts w:hint="eastAsia"/>
          <w:sz w:val="21"/>
          <w:szCs w:val="21"/>
        </w:rPr>
        <w:t>（一）采购项目类别、名称。</w:t>
      </w:r>
    </w:p>
    <w:p>
      <w:pPr>
        <w:widowControl w:val="0"/>
        <w:overflowPunct w:val="0"/>
        <w:ind w:firstLine="420"/>
        <w:jc w:val="both"/>
        <w:rPr>
          <w:sz w:val="21"/>
          <w:szCs w:val="21"/>
        </w:rPr>
      </w:pPr>
      <w:r>
        <w:rPr>
          <w:rFonts w:hint="eastAsia"/>
          <w:sz w:val="21"/>
          <w:szCs w:val="21"/>
        </w:rPr>
        <w:t>（二）采购项目预算、资金构成和合同价格。</w:t>
      </w:r>
    </w:p>
    <w:p>
      <w:pPr>
        <w:widowControl w:val="0"/>
        <w:overflowPunct w:val="0"/>
        <w:ind w:firstLine="420"/>
        <w:jc w:val="both"/>
        <w:rPr>
          <w:sz w:val="21"/>
          <w:szCs w:val="21"/>
        </w:rPr>
      </w:pPr>
      <w:r>
        <w:rPr>
          <w:rFonts w:hint="eastAsia"/>
          <w:sz w:val="21"/>
          <w:szCs w:val="21"/>
        </w:rPr>
        <w:t>（三）采购方式，采用该方式的原因及相关说明材料。</w:t>
      </w:r>
    </w:p>
    <w:p>
      <w:pPr>
        <w:widowControl w:val="0"/>
        <w:overflowPunct w:val="0"/>
        <w:ind w:firstLine="420"/>
        <w:jc w:val="both"/>
        <w:rPr>
          <w:sz w:val="21"/>
          <w:szCs w:val="21"/>
        </w:rPr>
      </w:pPr>
      <w:r>
        <w:rPr>
          <w:rFonts w:hint="eastAsia"/>
          <w:sz w:val="21"/>
          <w:szCs w:val="21"/>
        </w:rPr>
        <w:t>（四）选择参加采购活动的供应商的方式及原因。</w:t>
      </w:r>
    </w:p>
    <w:p>
      <w:pPr>
        <w:widowControl w:val="0"/>
        <w:overflowPunct w:val="0"/>
        <w:ind w:firstLine="420"/>
        <w:jc w:val="both"/>
        <w:rPr>
          <w:sz w:val="21"/>
          <w:szCs w:val="21"/>
        </w:rPr>
      </w:pPr>
      <w:r>
        <w:rPr>
          <w:rFonts w:hint="eastAsia"/>
          <w:sz w:val="21"/>
          <w:szCs w:val="21"/>
        </w:rPr>
        <w:t>（五）评定成交的标准及确定成交供应商的原因。</w:t>
      </w:r>
    </w:p>
    <w:p>
      <w:pPr>
        <w:widowControl w:val="0"/>
        <w:overflowPunct w:val="0"/>
        <w:ind w:firstLine="420"/>
        <w:jc w:val="both"/>
        <w:rPr>
          <w:sz w:val="21"/>
          <w:szCs w:val="21"/>
        </w:rPr>
      </w:pPr>
      <w:r>
        <w:rPr>
          <w:rFonts w:hint="eastAsia"/>
          <w:sz w:val="21"/>
          <w:szCs w:val="21"/>
        </w:rPr>
        <w:t>（六）终止采购活动的，终止的原因。</w:t>
      </w:r>
    </w:p>
    <w:p>
      <w:pPr>
        <w:pStyle w:val="4"/>
        <w:widowControl w:val="0"/>
        <w:numPr>
          <w:ilvl w:val="0"/>
          <w:numId w:val="2"/>
        </w:numPr>
        <w:overflowPunct w:val="0"/>
        <w:spacing w:before="120" w:beforeLines="50" w:after="120" w:afterLines="50"/>
        <w:jc w:val="center"/>
        <w:rPr>
          <w:rFonts w:ascii="Times New Roman" w:hAnsi="Times New Roman" w:eastAsia="黑体"/>
          <w:b w:val="0"/>
          <w:bCs w:val="0"/>
          <w:sz w:val="24"/>
          <w:szCs w:val="24"/>
        </w:rPr>
      </w:pPr>
      <w:r>
        <w:rPr>
          <w:rFonts w:hint="eastAsia" w:ascii="Times New Roman" w:hAnsi="Times New Roman" w:eastAsia="黑体"/>
          <w:b w:val="0"/>
          <w:bCs w:val="0"/>
          <w:sz w:val="24"/>
          <w:szCs w:val="24"/>
        </w:rPr>
        <w:t xml:space="preserve"> </w:t>
      </w:r>
      <w:bookmarkStart w:id="15" w:name="_Toc74814788"/>
      <w:r>
        <w:rPr>
          <w:rFonts w:hint="eastAsia" w:ascii="Times New Roman" w:hAnsi="Times New Roman" w:eastAsia="黑体"/>
          <w:b w:val="0"/>
          <w:bCs w:val="0"/>
          <w:sz w:val="24"/>
          <w:szCs w:val="24"/>
        </w:rPr>
        <w:t>政府采购安全保密</w:t>
      </w:r>
      <w:bookmarkEnd w:id="15"/>
    </w:p>
    <w:p>
      <w:pPr>
        <w:widowControl w:val="0"/>
        <w:numPr>
          <w:ilvl w:val="0"/>
          <w:numId w:val="3"/>
        </w:numPr>
        <w:overflowPunct w:val="0"/>
        <w:ind w:left="0" w:firstLine="420" w:firstLineChars="200"/>
        <w:jc w:val="both"/>
        <w:rPr>
          <w:sz w:val="21"/>
          <w:szCs w:val="21"/>
        </w:rPr>
      </w:pPr>
      <w:r>
        <w:rPr>
          <w:rFonts w:hint="eastAsia"/>
          <w:sz w:val="21"/>
          <w:szCs w:val="21"/>
        </w:rPr>
        <w:t>做好采购信息管理工作，杜绝无关人员接触信息，做好保密工作。委托代理机构组织采购的，应签订保密协议。</w:t>
      </w:r>
    </w:p>
    <w:p>
      <w:pPr>
        <w:widowControl w:val="0"/>
        <w:numPr>
          <w:ilvl w:val="0"/>
          <w:numId w:val="3"/>
        </w:numPr>
        <w:overflowPunct w:val="0"/>
        <w:ind w:left="0" w:firstLine="420" w:firstLineChars="200"/>
        <w:jc w:val="both"/>
        <w:rPr>
          <w:sz w:val="21"/>
          <w:szCs w:val="21"/>
        </w:rPr>
      </w:pPr>
      <w:r>
        <w:rPr>
          <w:rFonts w:hint="eastAsia"/>
          <w:sz w:val="21"/>
          <w:szCs w:val="21"/>
        </w:rPr>
        <w:t>对于涉密政府采购项目，需求部门应当与相关供应商或采购中介机构签订保密协议或者在合同中设定保密条款。</w:t>
      </w:r>
    </w:p>
    <w:p>
      <w:pPr>
        <w:pStyle w:val="4"/>
        <w:widowControl w:val="0"/>
        <w:numPr>
          <w:ilvl w:val="0"/>
          <w:numId w:val="2"/>
        </w:numPr>
        <w:overflowPunct w:val="0"/>
        <w:spacing w:before="120" w:beforeLines="50" w:after="120" w:afterLines="50"/>
        <w:jc w:val="center"/>
        <w:rPr>
          <w:rFonts w:ascii="Times New Roman" w:hAnsi="Times New Roman" w:eastAsia="黑体"/>
          <w:b w:val="0"/>
          <w:bCs w:val="0"/>
          <w:sz w:val="24"/>
          <w:szCs w:val="24"/>
        </w:rPr>
      </w:pPr>
      <w:r>
        <w:rPr>
          <w:rFonts w:hint="eastAsia" w:ascii="Times New Roman" w:hAnsi="Times New Roman" w:eastAsia="黑体"/>
          <w:b w:val="0"/>
          <w:bCs w:val="0"/>
          <w:sz w:val="24"/>
          <w:szCs w:val="24"/>
        </w:rPr>
        <w:t xml:space="preserve"> </w:t>
      </w:r>
      <w:bookmarkStart w:id="16" w:name="_Toc74814789"/>
      <w:r>
        <w:rPr>
          <w:rFonts w:hint="eastAsia" w:ascii="Times New Roman" w:hAnsi="Times New Roman" w:eastAsia="黑体"/>
          <w:b w:val="0"/>
          <w:bCs w:val="0"/>
          <w:sz w:val="24"/>
          <w:szCs w:val="24"/>
        </w:rPr>
        <w:t>附  则</w:t>
      </w:r>
      <w:bookmarkEnd w:id="16"/>
    </w:p>
    <w:p>
      <w:pPr>
        <w:widowControl w:val="0"/>
        <w:numPr>
          <w:ilvl w:val="0"/>
          <w:numId w:val="3"/>
        </w:numPr>
        <w:overflowPunct w:val="0"/>
        <w:ind w:left="0" w:firstLine="420" w:firstLineChars="200"/>
        <w:jc w:val="both"/>
        <w:rPr>
          <w:sz w:val="21"/>
          <w:szCs w:val="21"/>
        </w:rPr>
      </w:pPr>
      <w:r>
        <w:rPr>
          <w:rFonts w:hint="eastAsia"/>
          <w:sz w:val="21"/>
          <w:szCs w:val="21"/>
        </w:rPr>
        <w:t>集中采购目录、分散采购限额标准、公开招标数额，依据财政部门发布的年度政府集中采购目录及标准执行。</w:t>
      </w:r>
    </w:p>
    <w:p>
      <w:pPr>
        <w:widowControl w:val="0"/>
        <w:numPr>
          <w:ilvl w:val="0"/>
          <w:numId w:val="3"/>
        </w:numPr>
        <w:overflowPunct w:val="0"/>
        <w:ind w:left="0" w:firstLine="420" w:firstLineChars="200"/>
        <w:jc w:val="both"/>
        <w:rPr>
          <w:sz w:val="21"/>
          <w:szCs w:val="21"/>
        </w:rPr>
      </w:pPr>
      <w:r>
        <w:rPr>
          <w:rFonts w:hint="eastAsia"/>
          <w:sz w:val="21"/>
          <w:szCs w:val="21"/>
        </w:rPr>
        <w:t>本制度由办公室负责解释。</w:t>
      </w:r>
    </w:p>
    <w:p>
      <w:pPr>
        <w:widowControl w:val="0"/>
        <w:numPr>
          <w:ilvl w:val="0"/>
          <w:numId w:val="3"/>
        </w:numPr>
        <w:overflowPunct w:val="0"/>
        <w:ind w:left="0" w:firstLine="420" w:firstLineChars="200"/>
        <w:jc w:val="both"/>
        <w:rPr>
          <w:sz w:val="21"/>
          <w:szCs w:val="21"/>
        </w:rPr>
      </w:pPr>
      <w:r>
        <w:rPr>
          <w:rFonts w:hint="eastAsia"/>
          <w:sz w:val="21"/>
          <w:szCs w:val="21"/>
        </w:rPr>
        <w:t>本制度自印发之日起施行。此前制订的与本制度相抵触的，以本制度为准。</w:t>
      </w:r>
    </w:p>
    <w:p>
      <w:pPr>
        <w:widowControl w:val="0"/>
        <w:overflowPunct w:val="0"/>
        <w:jc w:val="both"/>
        <w:rPr>
          <w:b/>
          <w:sz w:val="21"/>
          <w:szCs w:val="21"/>
        </w:rPr>
      </w:pPr>
    </w:p>
    <w:p>
      <w:pPr>
        <w:widowControl w:val="0"/>
        <w:overflowPunct w:val="0"/>
        <w:jc w:val="both"/>
        <w:rPr>
          <w:b/>
          <w:sz w:val="21"/>
          <w:szCs w:val="21"/>
        </w:rPr>
      </w:pPr>
    </w:p>
    <w:p>
      <w:pPr>
        <w:widowControl w:val="0"/>
        <w:overflowPunct w:val="0"/>
        <w:jc w:val="both"/>
        <w:rPr>
          <w:b/>
          <w:sz w:val="21"/>
          <w:szCs w:val="21"/>
        </w:rPr>
      </w:pPr>
    </w:p>
    <w:p>
      <w:pPr>
        <w:rPr>
          <w:rFonts w:eastAsia="黑体" w:cs="宋体"/>
          <w:sz w:val="32"/>
          <w:szCs w:val="32"/>
        </w:rPr>
      </w:pPr>
      <w:bookmarkStart w:id="17" w:name="_Toc74814790"/>
      <w:r>
        <w:rPr>
          <w:rFonts w:eastAsia="黑体" w:cs="宋体"/>
          <w:b/>
          <w:bCs/>
          <w:i/>
          <w:iCs/>
          <w:sz w:val="32"/>
          <w:szCs w:val="32"/>
        </w:rPr>
        <w:br w:type="page"/>
      </w:r>
    </w:p>
    <w:bookmarkEnd w:id="17"/>
    <w:p>
      <w:pPr>
        <w:pStyle w:val="2"/>
        <w:keepNext w:val="0"/>
        <w:widowControl w:val="0"/>
        <w:numPr>
          <w:ilvl w:val="0"/>
          <w:numId w:val="1"/>
        </w:numPr>
        <w:overflowPunct w:val="0"/>
        <w:spacing w:line="340" w:lineRule="auto"/>
        <w:ind w:left="0" w:firstLine="0"/>
        <w:rPr>
          <w:rFonts w:ascii="Times New Roman" w:hAnsi="Times New Roman" w:eastAsia="黑体"/>
          <w:b w:val="0"/>
          <w:bCs w:val="0"/>
          <w:sz w:val="28"/>
        </w:rPr>
      </w:pPr>
      <w:bookmarkStart w:id="18" w:name="_Toc74814823"/>
      <w:r>
        <w:rPr>
          <w:rFonts w:ascii="Times New Roman" w:hAnsi="Times New Roman" w:eastAsia="黑体"/>
          <w:b w:val="0"/>
          <w:bCs w:val="0"/>
          <w:sz w:val="28"/>
        </w:rPr>
        <w:t>业务</w:t>
      </w:r>
      <w:bookmarkEnd w:id="3"/>
      <w:r>
        <w:rPr>
          <w:rFonts w:hint="eastAsia" w:ascii="Times New Roman" w:hAnsi="Times New Roman" w:eastAsia="黑体"/>
          <w:b w:val="0"/>
          <w:bCs w:val="0"/>
          <w:sz w:val="28"/>
        </w:rPr>
        <w:t>流程图汇编</w:t>
      </w:r>
      <w:bookmarkEnd w:id="18"/>
    </w:p>
    <w:p>
      <w:pPr>
        <w:pStyle w:val="3"/>
        <w:keepNext w:val="0"/>
        <w:widowControl w:val="0"/>
        <w:numPr>
          <w:ilvl w:val="1"/>
          <w:numId w:val="1"/>
        </w:numPr>
        <w:overflowPunct w:val="0"/>
        <w:spacing w:line="340" w:lineRule="auto"/>
        <w:ind w:left="200" w:firstLine="0"/>
        <w:rPr>
          <w:rFonts w:ascii="Times New Roman" w:hAnsi="Times New Roman" w:eastAsia="宋体" w:cs="宋体"/>
          <w:sz w:val="24"/>
        </w:rPr>
      </w:pPr>
      <w:bookmarkStart w:id="19" w:name="_____60"/>
      <w:bookmarkEnd w:id="19"/>
      <w:bookmarkStart w:id="20" w:name="_Toc74814836"/>
      <w:bookmarkStart w:id="21" w:name="_Toc49756810"/>
      <w:r>
        <w:rPr>
          <w:rFonts w:hint="eastAsia" w:ascii="Times New Roman" w:hAnsi="Times New Roman" w:eastAsia="宋体" w:cs="宋体"/>
          <w:sz w:val="24"/>
        </w:rPr>
        <w:t>政府采购业务指引</w:t>
      </w:r>
      <w:bookmarkEnd w:id="20"/>
      <w:bookmarkEnd w:id="21"/>
    </w:p>
    <w:p>
      <w:pPr>
        <w:pStyle w:val="4"/>
        <w:rPr>
          <w:rFonts w:eastAsia="宋体" w:cs="宋体"/>
          <w:sz w:val="24"/>
        </w:rPr>
      </w:pPr>
      <w:bookmarkStart w:id="22" w:name="_Toc74814837"/>
      <w:r>
        <w:rPr>
          <w:rFonts w:hint="eastAsia" w:eastAsia="宋体" w:cs="宋体"/>
          <w:sz w:val="24"/>
        </w:rPr>
        <w:t>采购申请与执行流程图</w:t>
      </w:r>
      <w:bookmarkEnd w:id="22"/>
    </w:p>
    <w:p>
      <w:pPr>
        <w:widowControl w:val="0"/>
        <w:overflowPunct w:val="0"/>
        <w:jc w:val="center"/>
      </w:pPr>
      <w:r>
        <w:object>
          <v:shape id="_x0000_i1025" o:spt="75" type="#_x0000_t75" style="height:413.6pt;width:453.75pt;" o:ole="t" filled="f" o:preferrelative="t" stroked="f" coordsize="21600,21600">
            <v:path/>
            <v:fill on="f" focussize="0,0"/>
            <v:stroke on="f" joinstyle="miter"/>
            <v:imagedata r:id="rId12" o:title=""/>
            <o:lock v:ext="edit" aspectratio="t"/>
            <w10:wrap type="none"/>
            <w10:anchorlock/>
          </v:shape>
          <o:OLEObject Type="Embed" ProgID="Visio.Drawing.15" ShapeID="_x0000_i1025" DrawAspect="Content" ObjectID="_1468075725" r:id="rId11">
            <o:LockedField>false</o:LockedField>
          </o:OLEObject>
        </w:object>
      </w:r>
    </w:p>
    <w:p>
      <w:pPr>
        <w:pStyle w:val="4"/>
        <w:rPr>
          <w:rFonts w:eastAsia="宋体" w:cs="宋体"/>
          <w:sz w:val="24"/>
        </w:rPr>
      </w:pPr>
      <w:bookmarkStart w:id="23" w:name="_Toc74814838"/>
      <w:r>
        <w:rPr>
          <w:rFonts w:hint="eastAsia" w:eastAsia="宋体" w:cs="宋体"/>
          <w:sz w:val="24"/>
        </w:rPr>
        <w:t>采购方式变更流程图</w:t>
      </w:r>
      <w:bookmarkEnd w:id="23"/>
    </w:p>
    <w:p>
      <w:pPr>
        <w:widowControl w:val="0"/>
        <w:overflowPunct w:val="0"/>
        <w:jc w:val="center"/>
      </w:pPr>
      <w:r>
        <w:object>
          <v:shape id="_x0000_i1026" o:spt="75" type="#_x0000_t75" style="height:281.3pt;width:452.1pt;" o:ole="t" filled="f" o:preferrelative="t" stroked="f" coordsize="21600,21600">
            <v:path/>
            <v:fill on="f" focussize="0,0"/>
            <v:stroke on="f" joinstyle="miter"/>
            <v:imagedata r:id="rId14" o:title=""/>
            <o:lock v:ext="edit" aspectratio="t"/>
            <w10:wrap type="none"/>
            <w10:anchorlock/>
          </v:shape>
          <o:OLEObject Type="Embed" ProgID="Visio.Drawing.15" ShapeID="_x0000_i1026" DrawAspect="Content" ObjectID="_1468075726" r:id="rId13">
            <o:LockedField>false</o:LockedField>
          </o:OLEObject>
        </w:object>
      </w:r>
    </w:p>
    <w:p>
      <w:r>
        <w:br w:type="page"/>
      </w:r>
    </w:p>
    <w:p>
      <w:pPr>
        <w:pStyle w:val="4"/>
        <w:rPr>
          <w:rFonts w:eastAsia="宋体" w:cs="宋体"/>
          <w:sz w:val="24"/>
        </w:rPr>
      </w:pPr>
      <w:bookmarkStart w:id="24" w:name="_Toc74814839"/>
      <w:bookmarkStart w:id="25" w:name="_Hlk58235937"/>
      <w:r>
        <w:rPr>
          <w:rFonts w:hint="eastAsia" w:eastAsia="宋体" w:cs="宋体"/>
          <w:sz w:val="24"/>
        </w:rPr>
        <w:t>采购验收流程图</w:t>
      </w:r>
      <w:bookmarkEnd w:id="24"/>
    </w:p>
    <w:bookmarkEnd w:id="25"/>
    <w:p>
      <w:pPr>
        <w:widowControl w:val="0"/>
        <w:overflowPunct w:val="0"/>
        <w:jc w:val="center"/>
      </w:pPr>
      <w:r>
        <w:object>
          <v:shape id="_x0000_i1027" o:spt="75" type="#_x0000_t75" style="height:190.05pt;width:453.75pt;" o:ole="t" filled="f" o:preferrelative="t" stroked="f" coordsize="21600,21600">
            <v:path/>
            <v:fill on="f" focussize="0,0"/>
            <v:stroke on="f" joinstyle="miter"/>
            <v:imagedata r:id="rId16" o:title=""/>
            <o:lock v:ext="edit" aspectratio="t"/>
            <w10:wrap type="none"/>
            <w10:anchorlock/>
          </v:shape>
          <o:OLEObject Type="Embed" ProgID="Visio.Drawing.15" ShapeID="_x0000_i1027" DrawAspect="Content" ObjectID="_1468075727" r:id="rId15">
            <o:LockedField>false</o:LockedField>
          </o:OLEObject>
        </w:object>
      </w:r>
    </w:p>
    <w:p>
      <w:pPr>
        <w:pStyle w:val="4"/>
        <w:rPr>
          <w:rFonts w:eastAsia="宋体" w:cs="宋体"/>
          <w:sz w:val="24"/>
        </w:rPr>
      </w:pPr>
      <w:bookmarkStart w:id="26" w:name="_Toc74814840"/>
      <w:r>
        <w:rPr>
          <w:rFonts w:hint="eastAsia" w:eastAsia="宋体" w:cs="宋体"/>
          <w:sz w:val="24"/>
        </w:rPr>
        <w:t>采购质疑与投诉流程图</w:t>
      </w:r>
      <w:bookmarkEnd w:id="26"/>
    </w:p>
    <w:p>
      <w:pPr>
        <w:widowControl w:val="0"/>
        <w:overflowPunct w:val="0"/>
        <w:jc w:val="center"/>
      </w:pPr>
      <w:r>
        <w:object>
          <v:shape id="_x0000_i1028" o:spt="75" type="#_x0000_t75" style="height:499pt;width:453.75pt;" o:ole="t" filled="f" o:preferrelative="t" stroked="f" coordsize="21600,21600">
            <v:path/>
            <v:fill on="f" focussize="0,0"/>
            <v:stroke on="f" joinstyle="miter"/>
            <v:imagedata r:id="rId18" o:title=""/>
            <o:lock v:ext="edit" aspectratio="t"/>
            <w10:wrap type="none"/>
            <w10:anchorlock/>
          </v:shape>
          <o:OLEObject Type="Embed" ProgID="Visio.Drawing.15" ShapeID="_x0000_i1028" DrawAspect="Content" ObjectID="_1468075728" r:id="rId17">
            <o:LockedField>false</o:LockedField>
          </o:OLEObject>
        </w:object>
      </w:r>
    </w:p>
    <w:sectPr>
      <w:headerReference r:id="rId8" w:type="first"/>
      <w:headerReference r:id="rId6" w:type="default"/>
      <w:footerReference r:id="rId9" w:type="default"/>
      <w:headerReference r:id="rId7" w:type="even"/>
      <w:pgSz w:w="11906" w:h="16838"/>
      <w:pgMar w:top="1814" w:right="1418" w:bottom="1588" w:left="1418" w:header="1134" w:footer="1247" w:gutter="0"/>
      <w:pgNumType w:start="1"/>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Adobe 宋体 Std L">
    <w:altName w:val="宋体"/>
    <w:panose1 w:val="00000000000000000000"/>
    <w:charset w:val="86"/>
    <w:family w:val="roman"/>
    <w:pitch w:val="default"/>
    <w:sig w:usb0="00000000" w:usb1="00000000" w:usb2="00000016" w:usb3="00000000" w:csb0="00060007" w:csb1="00000000"/>
  </w:font>
  <w:font w:name="Verdana">
    <w:panose1 w:val="020B0604030504040204"/>
    <w:charset w:val="00"/>
    <w:family w:val="swiss"/>
    <w:pitch w:val="default"/>
    <w:sig w:usb0="A10006FF" w:usb1="4000205B" w:usb2="00000010" w:usb3="00000000" w:csb0="2000019F"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ind w:left="240" w:leftChars="100" w:right="240" w:rightChars="100"/>
      <w:rPr>
        <w:sz w:val="21"/>
        <w:szCs w:val="21"/>
      </w:rPr>
    </w:pPr>
    <w:r>
      <w:rPr>
        <w:rFonts w:hint="eastAsia"/>
        <w:sz w:val="21"/>
        <w:szCs w:val="21"/>
      </w:rPr>
      <w:t xml:space="preserve">— </w:t>
    </w:r>
    <w:r>
      <w:rPr>
        <w:sz w:val="21"/>
        <w:szCs w:val="21"/>
      </w:rPr>
      <w:fldChar w:fldCharType="begin"/>
    </w:r>
    <w:r>
      <w:rPr>
        <w:sz w:val="21"/>
        <w:szCs w:val="21"/>
      </w:rPr>
      <w:instrText xml:space="preserve"> PAGE  \* Arabic  \* MERGEFORMAT </w:instrText>
    </w:r>
    <w:r>
      <w:rPr>
        <w:sz w:val="21"/>
        <w:szCs w:val="21"/>
      </w:rPr>
      <w:fldChar w:fldCharType="separate"/>
    </w:r>
    <w:r>
      <w:rPr>
        <w:sz w:val="21"/>
        <w:szCs w:val="21"/>
      </w:rPr>
      <w:t>2</w:t>
    </w:r>
    <w:r>
      <w:rPr>
        <w:sz w:val="21"/>
        <w:szCs w:val="21"/>
      </w:rPr>
      <w:fldChar w:fldCharType="end"/>
    </w:r>
    <w:r>
      <w:rPr>
        <w:rFonts w:hint="eastAsia"/>
        <w:sz w:val="21"/>
        <w:szCs w:val="21"/>
      </w:rPr>
      <w:t xml:space="preserve"> —</w:t>
    </w:r>
  </w:p>
  <w:p>
    <w:pPr>
      <w:pStyle w:val="1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lang w:val="en-US" w:eastAsia="zh-CN"/>
      </w:rPr>
    </w:pPr>
    <w:r>
      <w:rPr>
        <w:rFonts w:hint="eastAsia"/>
        <w:lang w:val="en-US" w:eastAsia="zh-CN"/>
      </w:rPr>
      <w:t>+</w:t>
    </w:r>
  </w:p>
  <w:p>
    <w:pPr>
      <w:rPr>
        <w:rFonts w:hint="eastAsia"/>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284"/>
        </w:tabs>
        <w:ind w:left="73" w:hanging="357"/>
      </w:pPr>
      <w:rPr>
        <w:rFonts w:hint="eastAsia" w:ascii="Times New Roman" w:hAnsi="Times New Roman" w:eastAsia="宋体" w:cs="Calibri"/>
        <w:i w:val="0"/>
        <w:sz w:val="28"/>
      </w:rPr>
    </w:lvl>
    <w:lvl w:ilvl="1" w:tentative="0">
      <w:start w:val="1"/>
      <w:numFmt w:val="decimal"/>
      <w:suff w:val="nothing"/>
      <w:lvlText w:val="%1.%2."/>
      <w:lvlJc w:val="left"/>
      <w:pPr>
        <w:ind w:left="430" w:hanging="357"/>
      </w:pPr>
      <w:rPr>
        <w:rFonts w:hint="eastAsia" w:ascii="Times New Roman" w:hAnsi="Times New Roman" w:eastAsia="宋体" w:cs="Calibri"/>
        <w:i w:val="0"/>
        <w:sz w:val="24"/>
      </w:rPr>
    </w:lvl>
    <w:lvl w:ilvl="2" w:tentative="0">
      <w:start w:val="1"/>
      <w:numFmt w:val="decimal"/>
      <w:suff w:val="nothing"/>
      <w:lvlText w:val="%1.%2.%3."/>
      <w:lvlJc w:val="left"/>
      <w:pPr>
        <w:ind w:left="787" w:hanging="357"/>
      </w:pPr>
      <w:rPr>
        <w:rFonts w:hint="eastAsia" w:ascii="Times New Roman" w:hAnsi="Times New Roman" w:cs="Calibri" w:eastAsiaTheme="majorEastAsia"/>
        <w:i w:val="0"/>
        <w:sz w:val="24"/>
      </w:rPr>
    </w:lvl>
    <w:lvl w:ilvl="3" w:tentative="0">
      <w:start w:val="1"/>
      <w:numFmt w:val="decimal"/>
      <w:suff w:val="nothing"/>
      <w:lvlText w:val="%1.%2.%3.%4."/>
      <w:lvlJc w:val="left"/>
      <w:pPr>
        <w:ind w:left="1144" w:hanging="357"/>
      </w:pPr>
      <w:rPr>
        <w:rFonts w:hint="eastAsia" w:ascii="Times New Roman" w:hAnsi="Times New Roman" w:cs="Calibri" w:eastAsiaTheme="majorEastAsia"/>
        <w:i w:val="0"/>
        <w:sz w:val="24"/>
      </w:rPr>
    </w:lvl>
    <w:lvl w:ilvl="4" w:tentative="0">
      <w:start w:val="1"/>
      <w:numFmt w:val="decimal"/>
      <w:lvlText w:val="%1.%2.%3.%4.%5."/>
      <w:lvlJc w:val="left"/>
      <w:pPr>
        <w:tabs>
          <w:tab w:val="left" w:pos="1144"/>
        </w:tabs>
        <w:ind w:left="1501" w:hanging="357"/>
      </w:pPr>
      <w:rPr>
        <w:rFonts w:hint="eastAsia" w:ascii="Calibri" w:hAnsi="Calibri" w:eastAsia="宋体" w:cs="Calibri"/>
        <w:i w:val="0"/>
        <w:sz w:val="24"/>
      </w:rPr>
    </w:lvl>
    <w:lvl w:ilvl="5" w:tentative="0">
      <w:start w:val="1"/>
      <w:numFmt w:val="decimal"/>
      <w:lvlText w:val="%1.%2.%3.%4.%5.%6."/>
      <w:lvlJc w:val="left"/>
      <w:pPr>
        <w:tabs>
          <w:tab w:val="left" w:pos="1501"/>
        </w:tabs>
        <w:ind w:left="1858" w:hanging="357"/>
      </w:pPr>
      <w:rPr>
        <w:rFonts w:hint="eastAsia" w:ascii="Calibri" w:hAnsi="Calibri" w:eastAsia="宋体" w:cs="Calibri"/>
        <w:i w:val="0"/>
        <w:sz w:val="24"/>
      </w:rPr>
    </w:lvl>
    <w:lvl w:ilvl="6" w:tentative="0">
      <w:start w:val="1"/>
      <w:numFmt w:val="decimal"/>
      <w:lvlText w:val="%1.%2.%3.%4.%5.%6.%7."/>
      <w:lvlJc w:val="left"/>
      <w:pPr>
        <w:tabs>
          <w:tab w:val="left" w:pos="1858"/>
        </w:tabs>
        <w:ind w:left="2215" w:hanging="357"/>
      </w:pPr>
      <w:rPr>
        <w:rFonts w:hint="eastAsia" w:ascii="Calibri" w:hAnsi="Calibri" w:eastAsia="宋体" w:cs="Calibri"/>
        <w:i w:val="0"/>
        <w:sz w:val="24"/>
      </w:rPr>
    </w:lvl>
    <w:lvl w:ilvl="7" w:tentative="0">
      <w:start w:val="1"/>
      <w:numFmt w:val="decimal"/>
      <w:lvlText w:val="%1.%2.%3.%4.%5.%6.%7.%8."/>
      <w:lvlJc w:val="left"/>
      <w:pPr>
        <w:tabs>
          <w:tab w:val="left" w:pos="2215"/>
        </w:tabs>
        <w:ind w:left="2572" w:hanging="357"/>
      </w:pPr>
      <w:rPr>
        <w:rFonts w:hint="eastAsia" w:ascii="Calibri" w:hAnsi="Calibri" w:eastAsia="宋体" w:cs="Calibri"/>
        <w:i w:val="0"/>
        <w:sz w:val="24"/>
      </w:rPr>
    </w:lvl>
    <w:lvl w:ilvl="8" w:tentative="0">
      <w:start w:val="1"/>
      <w:numFmt w:val="decimal"/>
      <w:lvlText w:val="%1.%2.%3.%4.%5.%6.%7.%8.%9."/>
      <w:lvlJc w:val="left"/>
      <w:pPr>
        <w:tabs>
          <w:tab w:val="left" w:pos="2572"/>
        </w:tabs>
        <w:ind w:left="2929" w:hanging="357"/>
      </w:pPr>
      <w:rPr>
        <w:rFonts w:hint="eastAsia" w:ascii="Calibri" w:hAnsi="Calibri" w:eastAsia="宋体" w:cs="Calibri"/>
        <w:i w:val="0"/>
        <w:sz w:val="24"/>
      </w:rPr>
    </w:lvl>
  </w:abstractNum>
  <w:abstractNum w:abstractNumId="1">
    <w:nsid w:val="04DA3F44"/>
    <w:multiLevelType w:val="multilevel"/>
    <w:tmpl w:val="04DA3F44"/>
    <w:lvl w:ilvl="0" w:tentative="0">
      <w:start w:val="1"/>
      <w:numFmt w:val="chineseCountingThousand"/>
      <w:suff w:val="nothing"/>
      <w:lvlText w:val="（%1）"/>
      <w:lvlJc w:val="left"/>
      <w:pPr>
        <w:ind w:left="0" w:firstLine="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1BA96BD1"/>
    <w:multiLevelType w:val="multilevel"/>
    <w:tmpl w:val="1BA96BD1"/>
    <w:lvl w:ilvl="0" w:tentative="0">
      <w:start w:val="1"/>
      <w:numFmt w:val="chineseCountingThousand"/>
      <w:suff w:val="nothing"/>
      <w:lvlText w:val="（%1）"/>
      <w:lvlJc w:val="left"/>
      <w:pPr>
        <w:ind w:left="0" w:firstLine="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288E179F"/>
    <w:multiLevelType w:val="multilevel"/>
    <w:tmpl w:val="288E179F"/>
    <w:lvl w:ilvl="0" w:tentative="0">
      <w:start w:val="1"/>
      <w:numFmt w:val="chineseCountingThousand"/>
      <w:suff w:val="nothing"/>
      <w:lvlText w:val="（%1）"/>
      <w:lvlJc w:val="left"/>
      <w:pPr>
        <w:ind w:left="0" w:firstLine="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38A6B65"/>
    <w:multiLevelType w:val="multilevel"/>
    <w:tmpl w:val="338A6B65"/>
    <w:lvl w:ilvl="0" w:tentative="0">
      <w:start w:val="1"/>
      <w:numFmt w:val="chineseCountingThousand"/>
      <w:suff w:val="nothing"/>
      <w:lvlText w:val="（%1）"/>
      <w:lvlJc w:val="left"/>
      <w:pPr>
        <w:ind w:left="0" w:firstLine="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3D3964D8"/>
    <w:multiLevelType w:val="multilevel"/>
    <w:tmpl w:val="3D3964D8"/>
    <w:lvl w:ilvl="0" w:tentative="0">
      <w:start w:val="1"/>
      <w:numFmt w:val="chineseCountingThousand"/>
      <w:suff w:val="nothing"/>
      <w:lvlText w:val="（%1）"/>
      <w:lvlJc w:val="left"/>
      <w:pPr>
        <w:ind w:left="0" w:firstLine="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DE51D20"/>
    <w:multiLevelType w:val="multilevel"/>
    <w:tmpl w:val="4DE51D20"/>
    <w:lvl w:ilvl="0" w:tentative="0">
      <w:start w:val="1"/>
      <w:numFmt w:val="chineseCountingThousand"/>
      <w:suff w:val="nothing"/>
      <w:lvlText w:val="（%1）"/>
      <w:lvlJc w:val="left"/>
      <w:pPr>
        <w:ind w:left="0" w:firstLine="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7">
    <w:nsid w:val="4FB048B4"/>
    <w:multiLevelType w:val="multilevel"/>
    <w:tmpl w:val="4FB048B4"/>
    <w:lvl w:ilvl="0" w:tentative="0">
      <w:start w:val="1"/>
      <w:numFmt w:val="chineseCountingThousand"/>
      <w:suff w:val="nothing"/>
      <w:lvlText w:val="第%1章  "/>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29D11C5"/>
    <w:multiLevelType w:val="multilevel"/>
    <w:tmpl w:val="529D11C5"/>
    <w:lvl w:ilvl="0" w:tentative="0">
      <w:start w:val="1"/>
      <w:numFmt w:val="chineseCountingThousand"/>
      <w:suff w:val="nothing"/>
      <w:lvlText w:val="（%1）"/>
      <w:lvlJc w:val="left"/>
      <w:pPr>
        <w:ind w:left="0" w:firstLine="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DF30899"/>
    <w:multiLevelType w:val="multilevel"/>
    <w:tmpl w:val="5DF30899"/>
    <w:lvl w:ilvl="0" w:tentative="0">
      <w:start w:val="1"/>
      <w:numFmt w:val="chineseCountingThousand"/>
      <w:suff w:val="nothing"/>
      <w:lvlText w:val="（%1）"/>
      <w:lvlJc w:val="left"/>
      <w:pPr>
        <w:ind w:left="0" w:firstLine="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0">
    <w:nsid w:val="62831548"/>
    <w:multiLevelType w:val="multilevel"/>
    <w:tmpl w:val="62831548"/>
    <w:lvl w:ilvl="0" w:tentative="0">
      <w:start w:val="1"/>
      <w:numFmt w:val="chineseCountingThousand"/>
      <w:suff w:val="nothing"/>
      <w:lvlText w:val="第%1条  "/>
      <w:lvlJc w:val="left"/>
      <w:pPr>
        <w:ind w:left="420" w:hanging="132"/>
      </w:pPr>
      <w:rPr>
        <w:rFonts w:hint="eastAsia" w:ascii="宋体" w:hAnsi="宋体" w:eastAsia="宋体"/>
        <w:b/>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7"/>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389"/>
    <w:rsid w:val="00001A38"/>
    <w:rsid w:val="00002AAE"/>
    <w:rsid w:val="00002B2F"/>
    <w:rsid w:val="00003D87"/>
    <w:rsid w:val="0000402A"/>
    <w:rsid w:val="000040CD"/>
    <w:rsid w:val="00004BA6"/>
    <w:rsid w:val="00012FFE"/>
    <w:rsid w:val="00013E2F"/>
    <w:rsid w:val="00017122"/>
    <w:rsid w:val="00017A27"/>
    <w:rsid w:val="00020486"/>
    <w:rsid w:val="00022121"/>
    <w:rsid w:val="00025AA6"/>
    <w:rsid w:val="000263F9"/>
    <w:rsid w:val="00026812"/>
    <w:rsid w:val="000279B8"/>
    <w:rsid w:val="00030A77"/>
    <w:rsid w:val="000322E5"/>
    <w:rsid w:val="0003609C"/>
    <w:rsid w:val="000368A2"/>
    <w:rsid w:val="00040061"/>
    <w:rsid w:val="00041B69"/>
    <w:rsid w:val="00041CDB"/>
    <w:rsid w:val="00043802"/>
    <w:rsid w:val="00045171"/>
    <w:rsid w:val="000451B3"/>
    <w:rsid w:val="00045D1E"/>
    <w:rsid w:val="00046F01"/>
    <w:rsid w:val="00050AB9"/>
    <w:rsid w:val="00051460"/>
    <w:rsid w:val="00053BC8"/>
    <w:rsid w:val="00053CE5"/>
    <w:rsid w:val="00055CCC"/>
    <w:rsid w:val="00055D6E"/>
    <w:rsid w:val="000615CA"/>
    <w:rsid w:val="00062070"/>
    <w:rsid w:val="00063456"/>
    <w:rsid w:val="00063862"/>
    <w:rsid w:val="00063D9C"/>
    <w:rsid w:val="00070650"/>
    <w:rsid w:val="00072079"/>
    <w:rsid w:val="00077BE3"/>
    <w:rsid w:val="00080B33"/>
    <w:rsid w:val="0008142C"/>
    <w:rsid w:val="00083365"/>
    <w:rsid w:val="0008493C"/>
    <w:rsid w:val="00086001"/>
    <w:rsid w:val="00086053"/>
    <w:rsid w:val="00086D23"/>
    <w:rsid w:val="0008752C"/>
    <w:rsid w:val="00087891"/>
    <w:rsid w:val="00091B27"/>
    <w:rsid w:val="00091C16"/>
    <w:rsid w:val="00092102"/>
    <w:rsid w:val="000966BC"/>
    <w:rsid w:val="000A0756"/>
    <w:rsid w:val="000A2506"/>
    <w:rsid w:val="000A4770"/>
    <w:rsid w:val="000A49F5"/>
    <w:rsid w:val="000A56CD"/>
    <w:rsid w:val="000A70BF"/>
    <w:rsid w:val="000A70E8"/>
    <w:rsid w:val="000B267A"/>
    <w:rsid w:val="000C0E4F"/>
    <w:rsid w:val="000C2719"/>
    <w:rsid w:val="000C38B8"/>
    <w:rsid w:val="000C4FEC"/>
    <w:rsid w:val="000C6107"/>
    <w:rsid w:val="000C7078"/>
    <w:rsid w:val="000D04D4"/>
    <w:rsid w:val="000D0BD7"/>
    <w:rsid w:val="000D2414"/>
    <w:rsid w:val="000D4C21"/>
    <w:rsid w:val="000D4E2F"/>
    <w:rsid w:val="000D5153"/>
    <w:rsid w:val="000D5279"/>
    <w:rsid w:val="000D5FE8"/>
    <w:rsid w:val="000D6687"/>
    <w:rsid w:val="000D7795"/>
    <w:rsid w:val="000E16D5"/>
    <w:rsid w:val="000E3B81"/>
    <w:rsid w:val="000E448C"/>
    <w:rsid w:val="000E44F3"/>
    <w:rsid w:val="000E5832"/>
    <w:rsid w:val="000E79EA"/>
    <w:rsid w:val="000F0F62"/>
    <w:rsid w:val="000F1258"/>
    <w:rsid w:val="000F1B20"/>
    <w:rsid w:val="000F248F"/>
    <w:rsid w:val="000F272D"/>
    <w:rsid w:val="000F2EC6"/>
    <w:rsid w:val="000F3CFE"/>
    <w:rsid w:val="000F4F97"/>
    <w:rsid w:val="000F6E6C"/>
    <w:rsid w:val="000F79F2"/>
    <w:rsid w:val="000F7B5A"/>
    <w:rsid w:val="001008AF"/>
    <w:rsid w:val="001041A9"/>
    <w:rsid w:val="001060DD"/>
    <w:rsid w:val="0010677D"/>
    <w:rsid w:val="00111F53"/>
    <w:rsid w:val="00113216"/>
    <w:rsid w:val="00113A6B"/>
    <w:rsid w:val="00115298"/>
    <w:rsid w:val="00120246"/>
    <w:rsid w:val="001202E9"/>
    <w:rsid w:val="001229D5"/>
    <w:rsid w:val="001236F5"/>
    <w:rsid w:val="00126CF7"/>
    <w:rsid w:val="0012785D"/>
    <w:rsid w:val="001304C2"/>
    <w:rsid w:val="0013270A"/>
    <w:rsid w:val="00133B4C"/>
    <w:rsid w:val="001346D4"/>
    <w:rsid w:val="0013525B"/>
    <w:rsid w:val="00135CCF"/>
    <w:rsid w:val="00140B80"/>
    <w:rsid w:val="001412B2"/>
    <w:rsid w:val="0014278E"/>
    <w:rsid w:val="001429B4"/>
    <w:rsid w:val="001443DE"/>
    <w:rsid w:val="00144854"/>
    <w:rsid w:val="001509A3"/>
    <w:rsid w:val="001519AC"/>
    <w:rsid w:val="0015293B"/>
    <w:rsid w:val="00154585"/>
    <w:rsid w:val="00154DD5"/>
    <w:rsid w:val="00154E8B"/>
    <w:rsid w:val="00155C67"/>
    <w:rsid w:val="001562D2"/>
    <w:rsid w:val="001563E5"/>
    <w:rsid w:val="00156BEF"/>
    <w:rsid w:val="00162044"/>
    <w:rsid w:val="0016215A"/>
    <w:rsid w:val="00163C26"/>
    <w:rsid w:val="0016476C"/>
    <w:rsid w:val="0016716E"/>
    <w:rsid w:val="00170980"/>
    <w:rsid w:val="00171231"/>
    <w:rsid w:val="00171DD8"/>
    <w:rsid w:val="00172242"/>
    <w:rsid w:val="00174806"/>
    <w:rsid w:val="00174E57"/>
    <w:rsid w:val="00176A4B"/>
    <w:rsid w:val="001779D3"/>
    <w:rsid w:val="00177DC8"/>
    <w:rsid w:val="001825A2"/>
    <w:rsid w:val="0018352A"/>
    <w:rsid w:val="001877F8"/>
    <w:rsid w:val="00190ED9"/>
    <w:rsid w:val="00191186"/>
    <w:rsid w:val="001923C0"/>
    <w:rsid w:val="00192BFF"/>
    <w:rsid w:val="0019573C"/>
    <w:rsid w:val="001958F7"/>
    <w:rsid w:val="00195E42"/>
    <w:rsid w:val="001A12FD"/>
    <w:rsid w:val="001A14D0"/>
    <w:rsid w:val="001A252C"/>
    <w:rsid w:val="001A3488"/>
    <w:rsid w:val="001A49D7"/>
    <w:rsid w:val="001A6D29"/>
    <w:rsid w:val="001B0233"/>
    <w:rsid w:val="001B069A"/>
    <w:rsid w:val="001B0997"/>
    <w:rsid w:val="001B16C7"/>
    <w:rsid w:val="001B3C8A"/>
    <w:rsid w:val="001B5B15"/>
    <w:rsid w:val="001B68A6"/>
    <w:rsid w:val="001B70F2"/>
    <w:rsid w:val="001B7A0D"/>
    <w:rsid w:val="001C4339"/>
    <w:rsid w:val="001C43BB"/>
    <w:rsid w:val="001C4464"/>
    <w:rsid w:val="001C44E5"/>
    <w:rsid w:val="001C45A0"/>
    <w:rsid w:val="001C473A"/>
    <w:rsid w:val="001C49DF"/>
    <w:rsid w:val="001C5B09"/>
    <w:rsid w:val="001C6467"/>
    <w:rsid w:val="001C6B3C"/>
    <w:rsid w:val="001C7E92"/>
    <w:rsid w:val="001D3016"/>
    <w:rsid w:val="001D3F06"/>
    <w:rsid w:val="001E1BA2"/>
    <w:rsid w:val="001E5758"/>
    <w:rsid w:val="001E64A7"/>
    <w:rsid w:val="001E64E6"/>
    <w:rsid w:val="001E6FD9"/>
    <w:rsid w:val="001E7CD1"/>
    <w:rsid w:val="001F1BA5"/>
    <w:rsid w:val="001F287F"/>
    <w:rsid w:val="001F3AA3"/>
    <w:rsid w:val="001F5185"/>
    <w:rsid w:val="001F7094"/>
    <w:rsid w:val="001F76E9"/>
    <w:rsid w:val="00200D45"/>
    <w:rsid w:val="00206F94"/>
    <w:rsid w:val="0020769F"/>
    <w:rsid w:val="00207F40"/>
    <w:rsid w:val="0021087E"/>
    <w:rsid w:val="00210FB7"/>
    <w:rsid w:val="0021336D"/>
    <w:rsid w:val="00213604"/>
    <w:rsid w:val="002140F2"/>
    <w:rsid w:val="00215CCD"/>
    <w:rsid w:val="002170E0"/>
    <w:rsid w:val="00222F83"/>
    <w:rsid w:val="0022333A"/>
    <w:rsid w:val="00224758"/>
    <w:rsid w:val="002278C5"/>
    <w:rsid w:val="002279BA"/>
    <w:rsid w:val="00231D46"/>
    <w:rsid w:val="002325B4"/>
    <w:rsid w:val="00237241"/>
    <w:rsid w:val="002374D7"/>
    <w:rsid w:val="00240DEE"/>
    <w:rsid w:val="002454D1"/>
    <w:rsid w:val="0024571F"/>
    <w:rsid w:val="00245E8F"/>
    <w:rsid w:val="00246020"/>
    <w:rsid w:val="002465EF"/>
    <w:rsid w:val="002469AE"/>
    <w:rsid w:val="002469DB"/>
    <w:rsid w:val="0024765D"/>
    <w:rsid w:val="00250F2D"/>
    <w:rsid w:val="002511B8"/>
    <w:rsid w:val="00252488"/>
    <w:rsid w:val="00252FBA"/>
    <w:rsid w:val="002539A4"/>
    <w:rsid w:val="00253F46"/>
    <w:rsid w:val="00255155"/>
    <w:rsid w:val="00255F33"/>
    <w:rsid w:val="0025649D"/>
    <w:rsid w:val="00256E98"/>
    <w:rsid w:val="00257760"/>
    <w:rsid w:val="0026144D"/>
    <w:rsid w:val="002621D1"/>
    <w:rsid w:val="002628D9"/>
    <w:rsid w:val="00262DC0"/>
    <w:rsid w:val="00265A40"/>
    <w:rsid w:val="00265DBB"/>
    <w:rsid w:val="00270623"/>
    <w:rsid w:val="002713CF"/>
    <w:rsid w:val="0027209D"/>
    <w:rsid w:val="00273259"/>
    <w:rsid w:val="0027389C"/>
    <w:rsid w:val="00273D2C"/>
    <w:rsid w:val="00276968"/>
    <w:rsid w:val="00277CFD"/>
    <w:rsid w:val="0028403D"/>
    <w:rsid w:val="00290F8C"/>
    <w:rsid w:val="0029114B"/>
    <w:rsid w:val="00291241"/>
    <w:rsid w:val="002920AF"/>
    <w:rsid w:val="002961A2"/>
    <w:rsid w:val="002A31FC"/>
    <w:rsid w:val="002A4CBC"/>
    <w:rsid w:val="002A4DF1"/>
    <w:rsid w:val="002A66F6"/>
    <w:rsid w:val="002A6BE0"/>
    <w:rsid w:val="002B0718"/>
    <w:rsid w:val="002B22BF"/>
    <w:rsid w:val="002B24F2"/>
    <w:rsid w:val="002B327B"/>
    <w:rsid w:val="002B4239"/>
    <w:rsid w:val="002B4E68"/>
    <w:rsid w:val="002B55B2"/>
    <w:rsid w:val="002B56A2"/>
    <w:rsid w:val="002B60A6"/>
    <w:rsid w:val="002C0726"/>
    <w:rsid w:val="002C1FA2"/>
    <w:rsid w:val="002C2EE7"/>
    <w:rsid w:val="002C618A"/>
    <w:rsid w:val="002D0AE9"/>
    <w:rsid w:val="002D1805"/>
    <w:rsid w:val="002D1D78"/>
    <w:rsid w:val="002D2A24"/>
    <w:rsid w:val="002D2C72"/>
    <w:rsid w:val="002D59F3"/>
    <w:rsid w:val="002D5F54"/>
    <w:rsid w:val="002D7D88"/>
    <w:rsid w:val="002E1F3C"/>
    <w:rsid w:val="002E3328"/>
    <w:rsid w:val="002E3626"/>
    <w:rsid w:val="002E605A"/>
    <w:rsid w:val="002E720F"/>
    <w:rsid w:val="002E7586"/>
    <w:rsid w:val="002E77DA"/>
    <w:rsid w:val="002E792D"/>
    <w:rsid w:val="002F23B7"/>
    <w:rsid w:val="002F26D9"/>
    <w:rsid w:val="002F277F"/>
    <w:rsid w:val="002F34CE"/>
    <w:rsid w:val="002F53E8"/>
    <w:rsid w:val="003005FC"/>
    <w:rsid w:val="00301F3F"/>
    <w:rsid w:val="003025E9"/>
    <w:rsid w:val="00303056"/>
    <w:rsid w:val="00303CCD"/>
    <w:rsid w:val="003040CF"/>
    <w:rsid w:val="003047E3"/>
    <w:rsid w:val="00304CCB"/>
    <w:rsid w:val="003050BB"/>
    <w:rsid w:val="00305372"/>
    <w:rsid w:val="00305F3B"/>
    <w:rsid w:val="00307FED"/>
    <w:rsid w:val="0031183F"/>
    <w:rsid w:val="00313390"/>
    <w:rsid w:val="003138F7"/>
    <w:rsid w:val="00313CAB"/>
    <w:rsid w:val="00313CC0"/>
    <w:rsid w:val="00313FB5"/>
    <w:rsid w:val="0031465F"/>
    <w:rsid w:val="00315440"/>
    <w:rsid w:val="00315583"/>
    <w:rsid w:val="0031558F"/>
    <w:rsid w:val="0031674F"/>
    <w:rsid w:val="00316AA9"/>
    <w:rsid w:val="00316BE2"/>
    <w:rsid w:val="00316DAC"/>
    <w:rsid w:val="00317CCC"/>
    <w:rsid w:val="00320798"/>
    <w:rsid w:val="00323FCA"/>
    <w:rsid w:val="00324471"/>
    <w:rsid w:val="003259E9"/>
    <w:rsid w:val="0032758D"/>
    <w:rsid w:val="00330C22"/>
    <w:rsid w:val="00334459"/>
    <w:rsid w:val="003370EE"/>
    <w:rsid w:val="00340233"/>
    <w:rsid w:val="00340B79"/>
    <w:rsid w:val="00342163"/>
    <w:rsid w:val="00343EAB"/>
    <w:rsid w:val="00344172"/>
    <w:rsid w:val="00345BEB"/>
    <w:rsid w:val="0034644A"/>
    <w:rsid w:val="003465DD"/>
    <w:rsid w:val="00347E69"/>
    <w:rsid w:val="00352EC0"/>
    <w:rsid w:val="00352F2F"/>
    <w:rsid w:val="0035705E"/>
    <w:rsid w:val="00362E0A"/>
    <w:rsid w:val="00363B6A"/>
    <w:rsid w:val="003650D5"/>
    <w:rsid w:val="00366379"/>
    <w:rsid w:val="003676D1"/>
    <w:rsid w:val="003679E6"/>
    <w:rsid w:val="00367D31"/>
    <w:rsid w:val="00371B74"/>
    <w:rsid w:val="00371D48"/>
    <w:rsid w:val="00372541"/>
    <w:rsid w:val="00372647"/>
    <w:rsid w:val="003761CE"/>
    <w:rsid w:val="003804D7"/>
    <w:rsid w:val="00381BF3"/>
    <w:rsid w:val="00382EB4"/>
    <w:rsid w:val="003833EE"/>
    <w:rsid w:val="00385EB8"/>
    <w:rsid w:val="0038780F"/>
    <w:rsid w:val="00387B3E"/>
    <w:rsid w:val="00387CF6"/>
    <w:rsid w:val="00390543"/>
    <w:rsid w:val="00391845"/>
    <w:rsid w:val="003920E0"/>
    <w:rsid w:val="00393754"/>
    <w:rsid w:val="00393982"/>
    <w:rsid w:val="0039401E"/>
    <w:rsid w:val="00396517"/>
    <w:rsid w:val="00397164"/>
    <w:rsid w:val="003A5149"/>
    <w:rsid w:val="003A6631"/>
    <w:rsid w:val="003A77E3"/>
    <w:rsid w:val="003B0DA4"/>
    <w:rsid w:val="003B1B1C"/>
    <w:rsid w:val="003B3112"/>
    <w:rsid w:val="003B35F1"/>
    <w:rsid w:val="003B3920"/>
    <w:rsid w:val="003B3B41"/>
    <w:rsid w:val="003B5470"/>
    <w:rsid w:val="003B5A4B"/>
    <w:rsid w:val="003C2A9A"/>
    <w:rsid w:val="003C545A"/>
    <w:rsid w:val="003C54A4"/>
    <w:rsid w:val="003C6996"/>
    <w:rsid w:val="003C7AA3"/>
    <w:rsid w:val="003D43D9"/>
    <w:rsid w:val="003D57E4"/>
    <w:rsid w:val="003D5F60"/>
    <w:rsid w:val="003E1471"/>
    <w:rsid w:val="003E182E"/>
    <w:rsid w:val="003E1CA7"/>
    <w:rsid w:val="003E1CC2"/>
    <w:rsid w:val="003E22F9"/>
    <w:rsid w:val="003E2D91"/>
    <w:rsid w:val="003E365F"/>
    <w:rsid w:val="003E55D3"/>
    <w:rsid w:val="003E6B7B"/>
    <w:rsid w:val="003E6FE0"/>
    <w:rsid w:val="003E73E2"/>
    <w:rsid w:val="003E7536"/>
    <w:rsid w:val="003E7586"/>
    <w:rsid w:val="003F199C"/>
    <w:rsid w:val="003F1C02"/>
    <w:rsid w:val="003F24D4"/>
    <w:rsid w:val="003F47FC"/>
    <w:rsid w:val="003F50FC"/>
    <w:rsid w:val="003F5A93"/>
    <w:rsid w:val="003F5DE4"/>
    <w:rsid w:val="003F6706"/>
    <w:rsid w:val="003F7B16"/>
    <w:rsid w:val="0040134A"/>
    <w:rsid w:val="00404691"/>
    <w:rsid w:val="00404C72"/>
    <w:rsid w:val="00404F36"/>
    <w:rsid w:val="0040512C"/>
    <w:rsid w:val="004056FA"/>
    <w:rsid w:val="00405C12"/>
    <w:rsid w:val="00406832"/>
    <w:rsid w:val="0040720F"/>
    <w:rsid w:val="00411993"/>
    <w:rsid w:val="0041327D"/>
    <w:rsid w:val="00414C5D"/>
    <w:rsid w:val="004166C0"/>
    <w:rsid w:val="00416809"/>
    <w:rsid w:val="0041790B"/>
    <w:rsid w:val="0042018D"/>
    <w:rsid w:val="00420D62"/>
    <w:rsid w:val="00421389"/>
    <w:rsid w:val="0042197C"/>
    <w:rsid w:val="00423644"/>
    <w:rsid w:val="004238FC"/>
    <w:rsid w:val="00423A99"/>
    <w:rsid w:val="00425D34"/>
    <w:rsid w:val="00425FF3"/>
    <w:rsid w:val="00426F88"/>
    <w:rsid w:val="00427FCE"/>
    <w:rsid w:val="0043133C"/>
    <w:rsid w:val="00432024"/>
    <w:rsid w:val="0043203D"/>
    <w:rsid w:val="00433BBA"/>
    <w:rsid w:val="00436658"/>
    <w:rsid w:val="004373EC"/>
    <w:rsid w:val="004379B9"/>
    <w:rsid w:val="004433C4"/>
    <w:rsid w:val="004454FB"/>
    <w:rsid w:val="00445606"/>
    <w:rsid w:val="00445865"/>
    <w:rsid w:val="00445C8D"/>
    <w:rsid w:val="00447233"/>
    <w:rsid w:val="00447B7D"/>
    <w:rsid w:val="00453BCD"/>
    <w:rsid w:val="00454869"/>
    <w:rsid w:val="00454C91"/>
    <w:rsid w:val="00455C6F"/>
    <w:rsid w:val="0045653E"/>
    <w:rsid w:val="00456B4C"/>
    <w:rsid w:val="0046218F"/>
    <w:rsid w:val="00462372"/>
    <w:rsid w:val="00462A60"/>
    <w:rsid w:val="00462DEA"/>
    <w:rsid w:val="00463EB0"/>
    <w:rsid w:val="00466022"/>
    <w:rsid w:val="00470695"/>
    <w:rsid w:val="0047279C"/>
    <w:rsid w:val="00473C43"/>
    <w:rsid w:val="00474154"/>
    <w:rsid w:val="00474AA4"/>
    <w:rsid w:val="004768E2"/>
    <w:rsid w:val="00476FE2"/>
    <w:rsid w:val="004771C2"/>
    <w:rsid w:val="004771E9"/>
    <w:rsid w:val="00481D8D"/>
    <w:rsid w:val="00481FFF"/>
    <w:rsid w:val="0048419C"/>
    <w:rsid w:val="00484565"/>
    <w:rsid w:val="00484963"/>
    <w:rsid w:val="004859EE"/>
    <w:rsid w:val="00487AB5"/>
    <w:rsid w:val="00490FE7"/>
    <w:rsid w:val="00492169"/>
    <w:rsid w:val="004945A8"/>
    <w:rsid w:val="00494A2D"/>
    <w:rsid w:val="00494C7C"/>
    <w:rsid w:val="00494FDC"/>
    <w:rsid w:val="004965B7"/>
    <w:rsid w:val="00497FA0"/>
    <w:rsid w:val="004A02A0"/>
    <w:rsid w:val="004A0533"/>
    <w:rsid w:val="004A3C8F"/>
    <w:rsid w:val="004A55FE"/>
    <w:rsid w:val="004A6C1C"/>
    <w:rsid w:val="004A6DC9"/>
    <w:rsid w:val="004A7B9A"/>
    <w:rsid w:val="004B28E5"/>
    <w:rsid w:val="004B29D7"/>
    <w:rsid w:val="004B331A"/>
    <w:rsid w:val="004B332F"/>
    <w:rsid w:val="004B35D2"/>
    <w:rsid w:val="004B4A28"/>
    <w:rsid w:val="004B63B9"/>
    <w:rsid w:val="004B713D"/>
    <w:rsid w:val="004B7381"/>
    <w:rsid w:val="004C1638"/>
    <w:rsid w:val="004C16EB"/>
    <w:rsid w:val="004C22F0"/>
    <w:rsid w:val="004C2E5E"/>
    <w:rsid w:val="004C4002"/>
    <w:rsid w:val="004C6946"/>
    <w:rsid w:val="004D0C4E"/>
    <w:rsid w:val="004D13DF"/>
    <w:rsid w:val="004D1839"/>
    <w:rsid w:val="004D1FAB"/>
    <w:rsid w:val="004D40CC"/>
    <w:rsid w:val="004E0E9C"/>
    <w:rsid w:val="004E47DD"/>
    <w:rsid w:val="004E7FC2"/>
    <w:rsid w:val="004F1892"/>
    <w:rsid w:val="004F1915"/>
    <w:rsid w:val="004F20BE"/>
    <w:rsid w:val="004F338A"/>
    <w:rsid w:val="004F4F11"/>
    <w:rsid w:val="004F57A3"/>
    <w:rsid w:val="004F5F80"/>
    <w:rsid w:val="004F6C9A"/>
    <w:rsid w:val="004F6CA8"/>
    <w:rsid w:val="004F6D1F"/>
    <w:rsid w:val="004F6D28"/>
    <w:rsid w:val="00500659"/>
    <w:rsid w:val="00502C99"/>
    <w:rsid w:val="00503D15"/>
    <w:rsid w:val="00503ECE"/>
    <w:rsid w:val="00505DE5"/>
    <w:rsid w:val="00507830"/>
    <w:rsid w:val="0051042D"/>
    <w:rsid w:val="00510E35"/>
    <w:rsid w:val="00511925"/>
    <w:rsid w:val="00513AC1"/>
    <w:rsid w:val="005161EC"/>
    <w:rsid w:val="00516583"/>
    <w:rsid w:val="00516A6B"/>
    <w:rsid w:val="00516B72"/>
    <w:rsid w:val="005203F3"/>
    <w:rsid w:val="00521F75"/>
    <w:rsid w:val="00523426"/>
    <w:rsid w:val="005260DA"/>
    <w:rsid w:val="005262FE"/>
    <w:rsid w:val="0052705D"/>
    <w:rsid w:val="00535191"/>
    <w:rsid w:val="0053617C"/>
    <w:rsid w:val="0053721A"/>
    <w:rsid w:val="00537DED"/>
    <w:rsid w:val="00542798"/>
    <w:rsid w:val="00542B6E"/>
    <w:rsid w:val="00542C2E"/>
    <w:rsid w:val="00543047"/>
    <w:rsid w:val="00543548"/>
    <w:rsid w:val="00544CE3"/>
    <w:rsid w:val="00545504"/>
    <w:rsid w:val="00547351"/>
    <w:rsid w:val="00553079"/>
    <w:rsid w:val="005538B3"/>
    <w:rsid w:val="00554271"/>
    <w:rsid w:val="00555700"/>
    <w:rsid w:val="00556485"/>
    <w:rsid w:val="005603F7"/>
    <w:rsid w:val="00564846"/>
    <w:rsid w:val="00565C87"/>
    <w:rsid w:val="005664EA"/>
    <w:rsid w:val="00570A85"/>
    <w:rsid w:val="0057229A"/>
    <w:rsid w:val="00572343"/>
    <w:rsid w:val="00572E06"/>
    <w:rsid w:val="0058553F"/>
    <w:rsid w:val="00586175"/>
    <w:rsid w:val="005910F3"/>
    <w:rsid w:val="00591515"/>
    <w:rsid w:val="0059266F"/>
    <w:rsid w:val="005929A3"/>
    <w:rsid w:val="005A1AD6"/>
    <w:rsid w:val="005A2A6C"/>
    <w:rsid w:val="005A5984"/>
    <w:rsid w:val="005A7D8B"/>
    <w:rsid w:val="005B15B0"/>
    <w:rsid w:val="005B2D7F"/>
    <w:rsid w:val="005B36EF"/>
    <w:rsid w:val="005B5286"/>
    <w:rsid w:val="005B67CD"/>
    <w:rsid w:val="005B7CD2"/>
    <w:rsid w:val="005B7D21"/>
    <w:rsid w:val="005C0DCB"/>
    <w:rsid w:val="005C4BD9"/>
    <w:rsid w:val="005C5B55"/>
    <w:rsid w:val="005C74A2"/>
    <w:rsid w:val="005C74F9"/>
    <w:rsid w:val="005D0430"/>
    <w:rsid w:val="005D0C6D"/>
    <w:rsid w:val="005D1014"/>
    <w:rsid w:val="005D19FA"/>
    <w:rsid w:val="005E1344"/>
    <w:rsid w:val="005E1692"/>
    <w:rsid w:val="005E171A"/>
    <w:rsid w:val="005E1A04"/>
    <w:rsid w:val="005E20CB"/>
    <w:rsid w:val="005E2164"/>
    <w:rsid w:val="005E29FC"/>
    <w:rsid w:val="005E2E3D"/>
    <w:rsid w:val="005E39AF"/>
    <w:rsid w:val="005E4B59"/>
    <w:rsid w:val="005E66C3"/>
    <w:rsid w:val="005E681A"/>
    <w:rsid w:val="005E7BF6"/>
    <w:rsid w:val="005F1542"/>
    <w:rsid w:val="005F2ACA"/>
    <w:rsid w:val="005F4F42"/>
    <w:rsid w:val="005F509E"/>
    <w:rsid w:val="006003D4"/>
    <w:rsid w:val="00601311"/>
    <w:rsid w:val="0060196E"/>
    <w:rsid w:val="00603A4F"/>
    <w:rsid w:val="00603C9D"/>
    <w:rsid w:val="00604982"/>
    <w:rsid w:val="006106E6"/>
    <w:rsid w:val="0061145F"/>
    <w:rsid w:val="0061280A"/>
    <w:rsid w:val="00612EEE"/>
    <w:rsid w:val="00613A38"/>
    <w:rsid w:val="00613FF2"/>
    <w:rsid w:val="006153DF"/>
    <w:rsid w:val="00616FC1"/>
    <w:rsid w:val="0062133D"/>
    <w:rsid w:val="0062135D"/>
    <w:rsid w:val="00621B6D"/>
    <w:rsid w:val="00622081"/>
    <w:rsid w:val="0062372B"/>
    <w:rsid w:val="006255B0"/>
    <w:rsid w:val="006255C2"/>
    <w:rsid w:val="00626738"/>
    <w:rsid w:val="00626D19"/>
    <w:rsid w:val="00630F7C"/>
    <w:rsid w:val="006318B0"/>
    <w:rsid w:val="0063330E"/>
    <w:rsid w:val="00634C02"/>
    <w:rsid w:val="006355C6"/>
    <w:rsid w:val="006359DF"/>
    <w:rsid w:val="00636DF2"/>
    <w:rsid w:val="0064042A"/>
    <w:rsid w:val="00640F94"/>
    <w:rsid w:val="00643A6D"/>
    <w:rsid w:val="006443B3"/>
    <w:rsid w:val="00645705"/>
    <w:rsid w:val="00646242"/>
    <w:rsid w:val="00646A34"/>
    <w:rsid w:val="00647F22"/>
    <w:rsid w:val="00652189"/>
    <w:rsid w:val="00652D92"/>
    <w:rsid w:val="0065546E"/>
    <w:rsid w:val="0065682E"/>
    <w:rsid w:val="00657B8C"/>
    <w:rsid w:val="0066149C"/>
    <w:rsid w:val="00661B9C"/>
    <w:rsid w:val="00664AA9"/>
    <w:rsid w:val="00664D4B"/>
    <w:rsid w:val="006702A8"/>
    <w:rsid w:val="006706DC"/>
    <w:rsid w:val="0067473E"/>
    <w:rsid w:val="00674BC7"/>
    <w:rsid w:val="00675BD5"/>
    <w:rsid w:val="00676714"/>
    <w:rsid w:val="006815FC"/>
    <w:rsid w:val="0068176D"/>
    <w:rsid w:val="006818FE"/>
    <w:rsid w:val="00683ADE"/>
    <w:rsid w:val="00687E03"/>
    <w:rsid w:val="00690577"/>
    <w:rsid w:val="00690833"/>
    <w:rsid w:val="006909FB"/>
    <w:rsid w:val="00692CAE"/>
    <w:rsid w:val="0069326B"/>
    <w:rsid w:val="0069425A"/>
    <w:rsid w:val="00696C94"/>
    <w:rsid w:val="00697F6C"/>
    <w:rsid w:val="006A65BD"/>
    <w:rsid w:val="006A7AA8"/>
    <w:rsid w:val="006B0BC1"/>
    <w:rsid w:val="006B0BD8"/>
    <w:rsid w:val="006B2A53"/>
    <w:rsid w:val="006B3959"/>
    <w:rsid w:val="006B5AC1"/>
    <w:rsid w:val="006C04A5"/>
    <w:rsid w:val="006C2B50"/>
    <w:rsid w:val="006C2ECE"/>
    <w:rsid w:val="006C5403"/>
    <w:rsid w:val="006D4B6E"/>
    <w:rsid w:val="006D6106"/>
    <w:rsid w:val="006D6B1C"/>
    <w:rsid w:val="006D7091"/>
    <w:rsid w:val="006E05CE"/>
    <w:rsid w:val="006E0829"/>
    <w:rsid w:val="006E150C"/>
    <w:rsid w:val="006E18F2"/>
    <w:rsid w:val="006E1C01"/>
    <w:rsid w:val="006E34F9"/>
    <w:rsid w:val="006E36B4"/>
    <w:rsid w:val="006E3B14"/>
    <w:rsid w:val="006E42FF"/>
    <w:rsid w:val="006E51EE"/>
    <w:rsid w:val="006E586D"/>
    <w:rsid w:val="006E7852"/>
    <w:rsid w:val="006E7AED"/>
    <w:rsid w:val="006F16B3"/>
    <w:rsid w:val="006F2B99"/>
    <w:rsid w:val="006F3679"/>
    <w:rsid w:val="006F4F80"/>
    <w:rsid w:val="0070012F"/>
    <w:rsid w:val="007004A1"/>
    <w:rsid w:val="007018E4"/>
    <w:rsid w:val="0070331A"/>
    <w:rsid w:val="0070411D"/>
    <w:rsid w:val="00704EF1"/>
    <w:rsid w:val="0070562F"/>
    <w:rsid w:val="00705741"/>
    <w:rsid w:val="007063A1"/>
    <w:rsid w:val="00706B12"/>
    <w:rsid w:val="007113CA"/>
    <w:rsid w:val="00711BA5"/>
    <w:rsid w:val="007145BF"/>
    <w:rsid w:val="00714C90"/>
    <w:rsid w:val="00716CAC"/>
    <w:rsid w:val="00716D50"/>
    <w:rsid w:val="00716EF6"/>
    <w:rsid w:val="0071758A"/>
    <w:rsid w:val="00717727"/>
    <w:rsid w:val="007201AD"/>
    <w:rsid w:val="007221D4"/>
    <w:rsid w:val="007222BF"/>
    <w:rsid w:val="007240A2"/>
    <w:rsid w:val="00730B21"/>
    <w:rsid w:val="0073363A"/>
    <w:rsid w:val="00733C86"/>
    <w:rsid w:val="007341F8"/>
    <w:rsid w:val="00735334"/>
    <w:rsid w:val="00737A15"/>
    <w:rsid w:val="00737DBB"/>
    <w:rsid w:val="0074047B"/>
    <w:rsid w:val="00740EF1"/>
    <w:rsid w:val="00742384"/>
    <w:rsid w:val="00742FFC"/>
    <w:rsid w:val="00743761"/>
    <w:rsid w:val="00743FFC"/>
    <w:rsid w:val="007450B8"/>
    <w:rsid w:val="007474A7"/>
    <w:rsid w:val="00747EFE"/>
    <w:rsid w:val="00753D91"/>
    <w:rsid w:val="00754E4F"/>
    <w:rsid w:val="007550AB"/>
    <w:rsid w:val="00755FDE"/>
    <w:rsid w:val="00757A2D"/>
    <w:rsid w:val="00762E6E"/>
    <w:rsid w:val="007643A7"/>
    <w:rsid w:val="007669C6"/>
    <w:rsid w:val="00766B28"/>
    <w:rsid w:val="007679EC"/>
    <w:rsid w:val="00771443"/>
    <w:rsid w:val="00775C5D"/>
    <w:rsid w:val="0077656F"/>
    <w:rsid w:val="007769C0"/>
    <w:rsid w:val="00776A0B"/>
    <w:rsid w:val="0077771E"/>
    <w:rsid w:val="00777CB2"/>
    <w:rsid w:val="0078146A"/>
    <w:rsid w:val="00781BE7"/>
    <w:rsid w:val="007836D1"/>
    <w:rsid w:val="007841C5"/>
    <w:rsid w:val="007861E7"/>
    <w:rsid w:val="00786B6D"/>
    <w:rsid w:val="00787E9D"/>
    <w:rsid w:val="00790EAB"/>
    <w:rsid w:val="00790F82"/>
    <w:rsid w:val="00791E87"/>
    <w:rsid w:val="00794872"/>
    <w:rsid w:val="007964E6"/>
    <w:rsid w:val="00796C3E"/>
    <w:rsid w:val="007970B5"/>
    <w:rsid w:val="007A0D19"/>
    <w:rsid w:val="007A158C"/>
    <w:rsid w:val="007A4836"/>
    <w:rsid w:val="007A5A34"/>
    <w:rsid w:val="007A6F41"/>
    <w:rsid w:val="007A7E32"/>
    <w:rsid w:val="007B0BA3"/>
    <w:rsid w:val="007B12AC"/>
    <w:rsid w:val="007B1EC0"/>
    <w:rsid w:val="007B2EA9"/>
    <w:rsid w:val="007B77FE"/>
    <w:rsid w:val="007C0835"/>
    <w:rsid w:val="007C3310"/>
    <w:rsid w:val="007C33CC"/>
    <w:rsid w:val="007D0614"/>
    <w:rsid w:val="007D2E0D"/>
    <w:rsid w:val="007D5002"/>
    <w:rsid w:val="007D5E67"/>
    <w:rsid w:val="007D7DEB"/>
    <w:rsid w:val="007E3F8F"/>
    <w:rsid w:val="007E6DB0"/>
    <w:rsid w:val="007F01B2"/>
    <w:rsid w:val="007F044B"/>
    <w:rsid w:val="007F117A"/>
    <w:rsid w:val="007F1453"/>
    <w:rsid w:val="007F2757"/>
    <w:rsid w:val="00800666"/>
    <w:rsid w:val="00801D1C"/>
    <w:rsid w:val="00803125"/>
    <w:rsid w:val="00804BA0"/>
    <w:rsid w:val="00804D17"/>
    <w:rsid w:val="00805A5C"/>
    <w:rsid w:val="00806C7B"/>
    <w:rsid w:val="008076B0"/>
    <w:rsid w:val="00810C10"/>
    <w:rsid w:val="00810F81"/>
    <w:rsid w:val="00810F97"/>
    <w:rsid w:val="00811412"/>
    <w:rsid w:val="008124B1"/>
    <w:rsid w:val="00812CED"/>
    <w:rsid w:val="00820288"/>
    <w:rsid w:val="008226B9"/>
    <w:rsid w:val="00822C0B"/>
    <w:rsid w:val="00824EB8"/>
    <w:rsid w:val="008263E0"/>
    <w:rsid w:val="00826755"/>
    <w:rsid w:val="00826951"/>
    <w:rsid w:val="00831474"/>
    <w:rsid w:val="00832DA5"/>
    <w:rsid w:val="00833CE9"/>
    <w:rsid w:val="00836A5C"/>
    <w:rsid w:val="00842508"/>
    <w:rsid w:val="00843DEE"/>
    <w:rsid w:val="00843EAE"/>
    <w:rsid w:val="008457B7"/>
    <w:rsid w:val="008471A1"/>
    <w:rsid w:val="00847575"/>
    <w:rsid w:val="008479AB"/>
    <w:rsid w:val="008503DB"/>
    <w:rsid w:val="008608A2"/>
    <w:rsid w:val="00862607"/>
    <w:rsid w:val="00866E6D"/>
    <w:rsid w:val="00867A71"/>
    <w:rsid w:val="00867AA7"/>
    <w:rsid w:val="00867EE3"/>
    <w:rsid w:val="00867F25"/>
    <w:rsid w:val="00870244"/>
    <w:rsid w:val="00871B98"/>
    <w:rsid w:val="00872543"/>
    <w:rsid w:val="0087261B"/>
    <w:rsid w:val="00872F34"/>
    <w:rsid w:val="00873CD2"/>
    <w:rsid w:val="0087618D"/>
    <w:rsid w:val="00876D1B"/>
    <w:rsid w:val="008805C8"/>
    <w:rsid w:val="008810CC"/>
    <w:rsid w:val="00882742"/>
    <w:rsid w:val="00883A4F"/>
    <w:rsid w:val="00890457"/>
    <w:rsid w:val="00890815"/>
    <w:rsid w:val="008909F3"/>
    <w:rsid w:val="00890BA2"/>
    <w:rsid w:val="00891004"/>
    <w:rsid w:val="008919E0"/>
    <w:rsid w:val="008921E9"/>
    <w:rsid w:val="00892273"/>
    <w:rsid w:val="00893676"/>
    <w:rsid w:val="0089377D"/>
    <w:rsid w:val="00894E9E"/>
    <w:rsid w:val="008950F8"/>
    <w:rsid w:val="00895276"/>
    <w:rsid w:val="008967B3"/>
    <w:rsid w:val="00897EB5"/>
    <w:rsid w:val="008A03CC"/>
    <w:rsid w:val="008A132A"/>
    <w:rsid w:val="008A3139"/>
    <w:rsid w:val="008A4A42"/>
    <w:rsid w:val="008A4FF1"/>
    <w:rsid w:val="008A5676"/>
    <w:rsid w:val="008A580E"/>
    <w:rsid w:val="008A5E90"/>
    <w:rsid w:val="008A698D"/>
    <w:rsid w:val="008B0FAA"/>
    <w:rsid w:val="008B139A"/>
    <w:rsid w:val="008B2403"/>
    <w:rsid w:val="008B7069"/>
    <w:rsid w:val="008B753F"/>
    <w:rsid w:val="008C1306"/>
    <w:rsid w:val="008C24DD"/>
    <w:rsid w:val="008C30B7"/>
    <w:rsid w:val="008C33E1"/>
    <w:rsid w:val="008C4A2D"/>
    <w:rsid w:val="008C61F7"/>
    <w:rsid w:val="008C6341"/>
    <w:rsid w:val="008C640E"/>
    <w:rsid w:val="008D0070"/>
    <w:rsid w:val="008D2483"/>
    <w:rsid w:val="008D291F"/>
    <w:rsid w:val="008D2C92"/>
    <w:rsid w:val="008D38C3"/>
    <w:rsid w:val="008D4B60"/>
    <w:rsid w:val="008D4D96"/>
    <w:rsid w:val="008D6377"/>
    <w:rsid w:val="008D65D6"/>
    <w:rsid w:val="008E067F"/>
    <w:rsid w:val="008E2911"/>
    <w:rsid w:val="008E3066"/>
    <w:rsid w:val="008E310F"/>
    <w:rsid w:val="008E383F"/>
    <w:rsid w:val="008E44DF"/>
    <w:rsid w:val="008E7469"/>
    <w:rsid w:val="008E7568"/>
    <w:rsid w:val="008E79BF"/>
    <w:rsid w:val="008F260B"/>
    <w:rsid w:val="008F514F"/>
    <w:rsid w:val="008F5968"/>
    <w:rsid w:val="008F5B2B"/>
    <w:rsid w:val="008F602C"/>
    <w:rsid w:val="00900EEE"/>
    <w:rsid w:val="00900FA5"/>
    <w:rsid w:val="00903E3C"/>
    <w:rsid w:val="00904808"/>
    <w:rsid w:val="00904EB4"/>
    <w:rsid w:val="00905E2D"/>
    <w:rsid w:val="00906E2C"/>
    <w:rsid w:val="00907283"/>
    <w:rsid w:val="009073E5"/>
    <w:rsid w:val="009103B1"/>
    <w:rsid w:val="00910715"/>
    <w:rsid w:val="00912245"/>
    <w:rsid w:val="00916834"/>
    <w:rsid w:val="00916869"/>
    <w:rsid w:val="00917929"/>
    <w:rsid w:val="00917E14"/>
    <w:rsid w:val="00920EB4"/>
    <w:rsid w:val="00921F53"/>
    <w:rsid w:val="0092325A"/>
    <w:rsid w:val="009236F1"/>
    <w:rsid w:val="0092382A"/>
    <w:rsid w:val="00926155"/>
    <w:rsid w:val="009300C9"/>
    <w:rsid w:val="009300FB"/>
    <w:rsid w:val="0093235F"/>
    <w:rsid w:val="00932EE5"/>
    <w:rsid w:val="009331A5"/>
    <w:rsid w:val="009337E0"/>
    <w:rsid w:val="00933B52"/>
    <w:rsid w:val="00933F9F"/>
    <w:rsid w:val="009345E5"/>
    <w:rsid w:val="00934E81"/>
    <w:rsid w:val="0093688A"/>
    <w:rsid w:val="009400B4"/>
    <w:rsid w:val="00940C2D"/>
    <w:rsid w:val="00940E03"/>
    <w:rsid w:val="0094321D"/>
    <w:rsid w:val="00943846"/>
    <w:rsid w:val="00944229"/>
    <w:rsid w:val="00950A0C"/>
    <w:rsid w:val="00950B00"/>
    <w:rsid w:val="00952A26"/>
    <w:rsid w:val="00954DDD"/>
    <w:rsid w:val="00956090"/>
    <w:rsid w:val="009569C5"/>
    <w:rsid w:val="00957670"/>
    <w:rsid w:val="009608A4"/>
    <w:rsid w:val="00962EB4"/>
    <w:rsid w:val="009644D4"/>
    <w:rsid w:val="00964810"/>
    <w:rsid w:val="00966B14"/>
    <w:rsid w:val="00966C3E"/>
    <w:rsid w:val="0096747E"/>
    <w:rsid w:val="00967900"/>
    <w:rsid w:val="00970129"/>
    <w:rsid w:val="009702AA"/>
    <w:rsid w:val="0097061F"/>
    <w:rsid w:val="009742ED"/>
    <w:rsid w:val="00975F10"/>
    <w:rsid w:val="00977CB9"/>
    <w:rsid w:val="00980B4F"/>
    <w:rsid w:val="009819C0"/>
    <w:rsid w:val="00981A17"/>
    <w:rsid w:val="00982829"/>
    <w:rsid w:val="00983846"/>
    <w:rsid w:val="00985598"/>
    <w:rsid w:val="00985F15"/>
    <w:rsid w:val="00986317"/>
    <w:rsid w:val="009914E2"/>
    <w:rsid w:val="00992C6E"/>
    <w:rsid w:val="00994807"/>
    <w:rsid w:val="00994C6E"/>
    <w:rsid w:val="00994D8B"/>
    <w:rsid w:val="00995596"/>
    <w:rsid w:val="00995C81"/>
    <w:rsid w:val="009964A6"/>
    <w:rsid w:val="009A21C5"/>
    <w:rsid w:val="009A3C3C"/>
    <w:rsid w:val="009A4B6D"/>
    <w:rsid w:val="009A5AE2"/>
    <w:rsid w:val="009A742B"/>
    <w:rsid w:val="009A7B2B"/>
    <w:rsid w:val="009A7C02"/>
    <w:rsid w:val="009B0355"/>
    <w:rsid w:val="009B30CE"/>
    <w:rsid w:val="009B3821"/>
    <w:rsid w:val="009B56D3"/>
    <w:rsid w:val="009C173F"/>
    <w:rsid w:val="009C1AE8"/>
    <w:rsid w:val="009C2C04"/>
    <w:rsid w:val="009C499E"/>
    <w:rsid w:val="009C4C47"/>
    <w:rsid w:val="009C568C"/>
    <w:rsid w:val="009C57FB"/>
    <w:rsid w:val="009C61A6"/>
    <w:rsid w:val="009C6B52"/>
    <w:rsid w:val="009D1DAE"/>
    <w:rsid w:val="009D2144"/>
    <w:rsid w:val="009D27DA"/>
    <w:rsid w:val="009D3A2D"/>
    <w:rsid w:val="009D67A6"/>
    <w:rsid w:val="009E29C6"/>
    <w:rsid w:val="009E3B97"/>
    <w:rsid w:val="009E3FA5"/>
    <w:rsid w:val="009E40D2"/>
    <w:rsid w:val="009E4521"/>
    <w:rsid w:val="009E569A"/>
    <w:rsid w:val="009E5D12"/>
    <w:rsid w:val="009E640F"/>
    <w:rsid w:val="009F1970"/>
    <w:rsid w:val="009F246C"/>
    <w:rsid w:val="009F27D5"/>
    <w:rsid w:val="009F435E"/>
    <w:rsid w:val="009F52E9"/>
    <w:rsid w:val="009F5F66"/>
    <w:rsid w:val="009F6194"/>
    <w:rsid w:val="00A009F2"/>
    <w:rsid w:val="00A00BEA"/>
    <w:rsid w:val="00A01090"/>
    <w:rsid w:val="00A01933"/>
    <w:rsid w:val="00A02075"/>
    <w:rsid w:val="00A022B1"/>
    <w:rsid w:val="00A02D3A"/>
    <w:rsid w:val="00A03B91"/>
    <w:rsid w:val="00A04A33"/>
    <w:rsid w:val="00A05697"/>
    <w:rsid w:val="00A05B61"/>
    <w:rsid w:val="00A06D99"/>
    <w:rsid w:val="00A074E8"/>
    <w:rsid w:val="00A101BD"/>
    <w:rsid w:val="00A102E3"/>
    <w:rsid w:val="00A1340E"/>
    <w:rsid w:val="00A139ED"/>
    <w:rsid w:val="00A15E64"/>
    <w:rsid w:val="00A201B4"/>
    <w:rsid w:val="00A20EE1"/>
    <w:rsid w:val="00A21239"/>
    <w:rsid w:val="00A24241"/>
    <w:rsid w:val="00A2574C"/>
    <w:rsid w:val="00A32E7E"/>
    <w:rsid w:val="00A334ED"/>
    <w:rsid w:val="00A34FB3"/>
    <w:rsid w:val="00A363B4"/>
    <w:rsid w:val="00A375BB"/>
    <w:rsid w:val="00A37EF7"/>
    <w:rsid w:val="00A41BD7"/>
    <w:rsid w:val="00A43AB0"/>
    <w:rsid w:val="00A44C78"/>
    <w:rsid w:val="00A460CE"/>
    <w:rsid w:val="00A52557"/>
    <w:rsid w:val="00A533B8"/>
    <w:rsid w:val="00A54718"/>
    <w:rsid w:val="00A54A09"/>
    <w:rsid w:val="00A5518F"/>
    <w:rsid w:val="00A554D0"/>
    <w:rsid w:val="00A55CD5"/>
    <w:rsid w:val="00A56557"/>
    <w:rsid w:val="00A57607"/>
    <w:rsid w:val="00A60CD6"/>
    <w:rsid w:val="00A61538"/>
    <w:rsid w:val="00A625C5"/>
    <w:rsid w:val="00A627D3"/>
    <w:rsid w:val="00A63087"/>
    <w:rsid w:val="00A634D3"/>
    <w:rsid w:val="00A63792"/>
    <w:rsid w:val="00A63FFD"/>
    <w:rsid w:val="00A64AF8"/>
    <w:rsid w:val="00A6549A"/>
    <w:rsid w:val="00A6637A"/>
    <w:rsid w:val="00A673E9"/>
    <w:rsid w:val="00A67DDA"/>
    <w:rsid w:val="00A67E2F"/>
    <w:rsid w:val="00A7103E"/>
    <w:rsid w:val="00A716E8"/>
    <w:rsid w:val="00A72874"/>
    <w:rsid w:val="00A72C68"/>
    <w:rsid w:val="00A72D87"/>
    <w:rsid w:val="00A73537"/>
    <w:rsid w:val="00A73689"/>
    <w:rsid w:val="00A74E1B"/>
    <w:rsid w:val="00A77017"/>
    <w:rsid w:val="00A779CA"/>
    <w:rsid w:val="00A8080D"/>
    <w:rsid w:val="00A80BE7"/>
    <w:rsid w:val="00A817DD"/>
    <w:rsid w:val="00A81C74"/>
    <w:rsid w:val="00A821C5"/>
    <w:rsid w:val="00A83988"/>
    <w:rsid w:val="00A85A00"/>
    <w:rsid w:val="00A86CF9"/>
    <w:rsid w:val="00A870C5"/>
    <w:rsid w:val="00A9097C"/>
    <w:rsid w:val="00A94999"/>
    <w:rsid w:val="00A95E00"/>
    <w:rsid w:val="00A96793"/>
    <w:rsid w:val="00A9686E"/>
    <w:rsid w:val="00A9696E"/>
    <w:rsid w:val="00AA043B"/>
    <w:rsid w:val="00AA2E4D"/>
    <w:rsid w:val="00AA33CE"/>
    <w:rsid w:val="00AA3DB4"/>
    <w:rsid w:val="00AA4F99"/>
    <w:rsid w:val="00AA5EBE"/>
    <w:rsid w:val="00AA6C4C"/>
    <w:rsid w:val="00AB03D4"/>
    <w:rsid w:val="00AB1298"/>
    <w:rsid w:val="00AB3759"/>
    <w:rsid w:val="00AB3A93"/>
    <w:rsid w:val="00AB40A4"/>
    <w:rsid w:val="00AB4101"/>
    <w:rsid w:val="00AB56CF"/>
    <w:rsid w:val="00AB61E5"/>
    <w:rsid w:val="00AB6428"/>
    <w:rsid w:val="00AB6B33"/>
    <w:rsid w:val="00AB75A0"/>
    <w:rsid w:val="00AB76E2"/>
    <w:rsid w:val="00AB7C70"/>
    <w:rsid w:val="00AB7D47"/>
    <w:rsid w:val="00AB7EE9"/>
    <w:rsid w:val="00AC5E93"/>
    <w:rsid w:val="00AC698B"/>
    <w:rsid w:val="00AC77D5"/>
    <w:rsid w:val="00AD0465"/>
    <w:rsid w:val="00AD0D08"/>
    <w:rsid w:val="00AD1A0D"/>
    <w:rsid w:val="00AD1CB0"/>
    <w:rsid w:val="00AD20DD"/>
    <w:rsid w:val="00AD2C84"/>
    <w:rsid w:val="00AD481D"/>
    <w:rsid w:val="00AD4D18"/>
    <w:rsid w:val="00AD541F"/>
    <w:rsid w:val="00AE0285"/>
    <w:rsid w:val="00AE1C49"/>
    <w:rsid w:val="00AE77D8"/>
    <w:rsid w:val="00AE7FD3"/>
    <w:rsid w:val="00AF02B1"/>
    <w:rsid w:val="00AF1C95"/>
    <w:rsid w:val="00AF37AA"/>
    <w:rsid w:val="00AF3C18"/>
    <w:rsid w:val="00B01F6A"/>
    <w:rsid w:val="00B02CBB"/>
    <w:rsid w:val="00B032C2"/>
    <w:rsid w:val="00B04689"/>
    <w:rsid w:val="00B05093"/>
    <w:rsid w:val="00B060E4"/>
    <w:rsid w:val="00B075F7"/>
    <w:rsid w:val="00B102E3"/>
    <w:rsid w:val="00B110D0"/>
    <w:rsid w:val="00B12596"/>
    <w:rsid w:val="00B13846"/>
    <w:rsid w:val="00B1425D"/>
    <w:rsid w:val="00B151EE"/>
    <w:rsid w:val="00B15EA7"/>
    <w:rsid w:val="00B16D58"/>
    <w:rsid w:val="00B16DDD"/>
    <w:rsid w:val="00B173A5"/>
    <w:rsid w:val="00B17F57"/>
    <w:rsid w:val="00B22481"/>
    <w:rsid w:val="00B234F8"/>
    <w:rsid w:val="00B234FF"/>
    <w:rsid w:val="00B23DE3"/>
    <w:rsid w:val="00B256A0"/>
    <w:rsid w:val="00B26D35"/>
    <w:rsid w:val="00B26DE2"/>
    <w:rsid w:val="00B30519"/>
    <w:rsid w:val="00B31071"/>
    <w:rsid w:val="00B31862"/>
    <w:rsid w:val="00B33697"/>
    <w:rsid w:val="00B4064B"/>
    <w:rsid w:val="00B41E95"/>
    <w:rsid w:val="00B41F45"/>
    <w:rsid w:val="00B42A90"/>
    <w:rsid w:val="00B42C38"/>
    <w:rsid w:val="00B435E6"/>
    <w:rsid w:val="00B452B9"/>
    <w:rsid w:val="00B45943"/>
    <w:rsid w:val="00B473C9"/>
    <w:rsid w:val="00B50633"/>
    <w:rsid w:val="00B50C34"/>
    <w:rsid w:val="00B52258"/>
    <w:rsid w:val="00B53632"/>
    <w:rsid w:val="00B53E3C"/>
    <w:rsid w:val="00B5560A"/>
    <w:rsid w:val="00B57171"/>
    <w:rsid w:val="00B5784C"/>
    <w:rsid w:val="00B57F74"/>
    <w:rsid w:val="00B606A9"/>
    <w:rsid w:val="00B612C7"/>
    <w:rsid w:val="00B65EFF"/>
    <w:rsid w:val="00B662A7"/>
    <w:rsid w:val="00B711EA"/>
    <w:rsid w:val="00B72231"/>
    <w:rsid w:val="00B7415B"/>
    <w:rsid w:val="00B74F3E"/>
    <w:rsid w:val="00B7575D"/>
    <w:rsid w:val="00B80E18"/>
    <w:rsid w:val="00B81542"/>
    <w:rsid w:val="00B832E7"/>
    <w:rsid w:val="00B84BEB"/>
    <w:rsid w:val="00B84D83"/>
    <w:rsid w:val="00B8628A"/>
    <w:rsid w:val="00B874B0"/>
    <w:rsid w:val="00B8751F"/>
    <w:rsid w:val="00B90B7E"/>
    <w:rsid w:val="00B91235"/>
    <w:rsid w:val="00B91F2A"/>
    <w:rsid w:val="00B93A1F"/>
    <w:rsid w:val="00B94F94"/>
    <w:rsid w:val="00B960AC"/>
    <w:rsid w:val="00B964E3"/>
    <w:rsid w:val="00B97A11"/>
    <w:rsid w:val="00BA0397"/>
    <w:rsid w:val="00BA0AAE"/>
    <w:rsid w:val="00BA4674"/>
    <w:rsid w:val="00BA50FC"/>
    <w:rsid w:val="00BA6A10"/>
    <w:rsid w:val="00BA6C73"/>
    <w:rsid w:val="00BA7471"/>
    <w:rsid w:val="00BA7A4F"/>
    <w:rsid w:val="00BB056F"/>
    <w:rsid w:val="00BB07CD"/>
    <w:rsid w:val="00BB145C"/>
    <w:rsid w:val="00BB2EE8"/>
    <w:rsid w:val="00BB3234"/>
    <w:rsid w:val="00BB381F"/>
    <w:rsid w:val="00BB522B"/>
    <w:rsid w:val="00BB7906"/>
    <w:rsid w:val="00BB7E1E"/>
    <w:rsid w:val="00BC34BF"/>
    <w:rsid w:val="00BC48F9"/>
    <w:rsid w:val="00BC53CC"/>
    <w:rsid w:val="00BC64B8"/>
    <w:rsid w:val="00BC6F68"/>
    <w:rsid w:val="00BD09CC"/>
    <w:rsid w:val="00BD1965"/>
    <w:rsid w:val="00BD291C"/>
    <w:rsid w:val="00BD4284"/>
    <w:rsid w:val="00BD5CF0"/>
    <w:rsid w:val="00BD7144"/>
    <w:rsid w:val="00BD78EC"/>
    <w:rsid w:val="00BE2C58"/>
    <w:rsid w:val="00BE31F6"/>
    <w:rsid w:val="00BE73DE"/>
    <w:rsid w:val="00BE7449"/>
    <w:rsid w:val="00BE74AC"/>
    <w:rsid w:val="00BF35C0"/>
    <w:rsid w:val="00BF4FC1"/>
    <w:rsid w:val="00BF570C"/>
    <w:rsid w:val="00BF5F4E"/>
    <w:rsid w:val="00BF643F"/>
    <w:rsid w:val="00BF7908"/>
    <w:rsid w:val="00C0027C"/>
    <w:rsid w:val="00C00978"/>
    <w:rsid w:val="00C018F2"/>
    <w:rsid w:val="00C01B79"/>
    <w:rsid w:val="00C03D73"/>
    <w:rsid w:val="00C040C9"/>
    <w:rsid w:val="00C044FC"/>
    <w:rsid w:val="00C0468E"/>
    <w:rsid w:val="00C04F21"/>
    <w:rsid w:val="00C105FD"/>
    <w:rsid w:val="00C118F3"/>
    <w:rsid w:val="00C120F9"/>
    <w:rsid w:val="00C15CC4"/>
    <w:rsid w:val="00C16816"/>
    <w:rsid w:val="00C16B9B"/>
    <w:rsid w:val="00C17D0A"/>
    <w:rsid w:val="00C22B24"/>
    <w:rsid w:val="00C22F1A"/>
    <w:rsid w:val="00C22F22"/>
    <w:rsid w:val="00C256BD"/>
    <w:rsid w:val="00C26710"/>
    <w:rsid w:val="00C27CCF"/>
    <w:rsid w:val="00C300EE"/>
    <w:rsid w:val="00C308B4"/>
    <w:rsid w:val="00C329D6"/>
    <w:rsid w:val="00C32DDB"/>
    <w:rsid w:val="00C33AA4"/>
    <w:rsid w:val="00C34F23"/>
    <w:rsid w:val="00C41702"/>
    <w:rsid w:val="00C437F8"/>
    <w:rsid w:val="00C4436B"/>
    <w:rsid w:val="00C458DA"/>
    <w:rsid w:val="00C46D2F"/>
    <w:rsid w:val="00C50225"/>
    <w:rsid w:val="00C5288E"/>
    <w:rsid w:val="00C569F3"/>
    <w:rsid w:val="00C56A0F"/>
    <w:rsid w:val="00C56C87"/>
    <w:rsid w:val="00C575FC"/>
    <w:rsid w:val="00C60882"/>
    <w:rsid w:val="00C62721"/>
    <w:rsid w:val="00C655B3"/>
    <w:rsid w:val="00C658C3"/>
    <w:rsid w:val="00C66CA2"/>
    <w:rsid w:val="00C67135"/>
    <w:rsid w:val="00C70FA9"/>
    <w:rsid w:val="00C727ED"/>
    <w:rsid w:val="00C739F3"/>
    <w:rsid w:val="00C74183"/>
    <w:rsid w:val="00C769F6"/>
    <w:rsid w:val="00C76C96"/>
    <w:rsid w:val="00C8129E"/>
    <w:rsid w:val="00C830B3"/>
    <w:rsid w:val="00C84B15"/>
    <w:rsid w:val="00C85848"/>
    <w:rsid w:val="00C85ECD"/>
    <w:rsid w:val="00C8638E"/>
    <w:rsid w:val="00C86582"/>
    <w:rsid w:val="00C865BA"/>
    <w:rsid w:val="00C874FE"/>
    <w:rsid w:val="00C91230"/>
    <w:rsid w:val="00C927DC"/>
    <w:rsid w:val="00C9301F"/>
    <w:rsid w:val="00C944B6"/>
    <w:rsid w:val="00C978F8"/>
    <w:rsid w:val="00CA34CE"/>
    <w:rsid w:val="00CA42BE"/>
    <w:rsid w:val="00CA529E"/>
    <w:rsid w:val="00CA585B"/>
    <w:rsid w:val="00CA5B3E"/>
    <w:rsid w:val="00CA785B"/>
    <w:rsid w:val="00CB03D9"/>
    <w:rsid w:val="00CB06E0"/>
    <w:rsid w:val="00CB0A5C"/>
    <w:rsid w:val="00CB180F"/>
    <w:rsid w:val="00CB1D7A"/>
    <w:rsid w:val="00CB1FB2"/>
    <w:rsid w:val="00CB30AE"/>
    <w:rsid w:val="00CB6D96"/>
    <w:rsid w:val="00CB7060"/>
    <w:rsid w:val="00CB7234"/>
    <w:rsid w:val="00CB7335"/>
    <w:rsid w:val="00CB7C79"/>
    <w:rsid w:val="00CC0178"/>
    <w:rsid w:val="00CC11F0"/>
    <w:rsid w:val="00CC1210"/>
    <w:rsid w:val="00CC1784"/>
    <w:rsid w:val="00CC21C7"/>
    <w:rsid w:val="00CC2B4B"/>
    <w:rsid w:val="00CC3492"/>
    <w:rsid w:val="00CC4083"/>
    <w:rsid w:val="00CC6029"/>
    <w:rsid w:val="00CC7279"/>
    <w:rsid w:val="00CC7607"/>
    <w:rsid w:val="00CD0B52"/>
    <w:rsid w:val="00CD185B"/>
    <w:rsid w:val="00CD2CCF"/>
    <w:rsid w:val="00CD3B0F"/>
    <w:rsid w:val="00CD5E20"/>
    <w:rsid w:val="00CD6046"/>
    <w:rsid w:val="00CE1622"/>
    <w:rsid w:val="00CE1E35"/>
    <w:rsid w:val="00CE23FD"/>
    <w:rsid w:val="00CE2AFD"/>
    <w:rsid w:val="00CE50D4"/>
    <w:rsid w:val="00CE53B8"/>
    <w:rsid w:val="00CE6211"/>
    <w:rsid w:val="00CE6539"/>
    <w:rsid w:val="00CF24EB"/>
    <w:rsid w:val="00CF329F"/>
    <w:rsid w:val="00CF4B70"/>
    <w:rsid w:val="00CF5CAE"/>
    <w:rsid w:val="00CF6761"/>
    <w:rsid w:val="00CF6D7E"/>
    <w:rsid w:val="00CF775E"/>
    <w:rsid w:val="00D00E54"/>
    <w:rsid w:val="00D02902"/>
    <w:rsid w:val="00D02A01"/>
    <w:rsid w:val="00D037F5"/>
    <w:rsid w:val="00D04921"/>
    <w:rsid w:val="00D07EB2"/>
    <w:rsid w:val="00D10242"/>
    <w:rsid w:val="00D10E8B"/>
    <w:rsid w:val="00D11E52"/>
    <w:rsid w:val="00D1286D"/>
    <w:rsid w:val="00D13063"/>
    <w:rsid w:val="00D136BB"/>
    <w:rsid w:val="00D13C9E"/>
    <w:rsid w:val="00D14E08"/>
    <w:rsid w:val="00D15253"/>
    <w:rsid w:val="00D16CBC"/>
    <w:rsid w:val="00D22241"/>
    <w:rsid w:val="00D22D4D"/>
    <w:rsid w:val="00D27041"/>
    <w:rsid w:val="00D27A6F"/>
    <w:rsid w:val="00D30497"/>
    <w:rsid w:val="00D305E6"/>
    <w:rsid w:val="00D32A32"/>
    <w:rsid w:val="00D32CEB"/>
    <w:rsid w:val="00D34B75"/>
    <w:rsid w:val="00D37431"/>
    <w:rsid w:val="00D40730"/>
    <w:rsid w:val="00D42BF3"/>
    <w:rsid w:val="00D43717"/>
    <w:rsid w:val="00D450A9"/>
    <w:rsid w:val="00D462B4"/>
    <w:rsid w:val="00D5165E"/>
    <w:rsid w:val="00D52DE3"/>
    <w:rsid w:val="00D52FA6"/>
    <w:rsid w:val="00D547A2"/>
    <w:rsid w:val="00D55637"/>
    <w:rsid w:val="00D5567C"/>
    <w:rsid w:val="00D60AC0"/>
    <w:rsid w:val="00D63199"/>
    <w:rsid w:val="00D63C62"/>
    <w:rsid w:val="00D63F71"/>
    <w:rsid w:val="00D63FC2"/>
    <w:rsid w:val="00D649D5"/>
    <w:rsid w:val="00D70CD5"/>
    <w:rsid w:val="00D70FED"/>
    <w:rsid w:val="00D7327C"/>
    <w:rsid w:val="00D7554D"/>
    <w:rsid w:val="00D75F10"/>
    <w:rsid w:val="00D80D06"/>
    <w:rsid w:val="00D813AD"/>
    <w:rsid w:val="00D834B1"/>
    <w:rsid w:val="00D83692"/>
    <w:rsid w:val="00D83772"/>
    <w:rsid w:val="00D84B23"/>
    <w:rsid w:val="00D85FF8"/>
    <w:rsid w:val="00D911E0"/>
    <w:rsid w:val="00D91783"/>
    <w:rsid w:val="00D91B1A"/>
    <w:rsid w:val="00D937DC"/>
    <w:rsid w:val="00D945DB"/>
    <w:rsid w:val="00D94D9B"/>
    <w:rsid w:val="00D9506C"/>
    <w:rsid w:val="00D95208"/>
    <w:rsid w:val="00D96AE7"/>
    <w:rsid w:val="00D96C5F"/>
    <w:rsid w:val="00D9779A"/>
    <w:rsid w:val="00DA2C1E"/>
    <w:rsid w:val="00DA2DE8"/>
    <w:rsid w:val="00DA340C"/>
    <w:rsid w:val="00DA453E"/>
    <w:rsid w:val="00DA5267"/>
    <w:rsid w:val="00DA55F0"/>
    <w:rsid w:val="00DA635E"/>
    <w:rsid w:val="00DA69BF"/>
    <w:rsid w:val="00DA6F8D"/>
    <w:rsid w:val="00DB018D"/>
    <w:rsid w:val="00DB1844"/>
    <w:rsid w:val="00DB1F9A"/>
    <w:rsid w:val="00DB3CCB"/>
    <w:rsid w:val="00DB7B31"/>
    <w:rsid w:val="00DC0AB3"/>
    <w:rsid w:val="00DC0CEA"/>
    <w:rsid w:val="00DD2B04"/>
    <w:rsid w:val="00DD4C74"/>
    <w:rsid w:val="00DD5575"/>
    <w:rsid w:val="00DD56AF"/>
    <w:rsid w:val="00DD5E73"/>
    <w:rsid w:val="00DD6A97"/>
    <w:rsid w:val="00DD77B2"/>
    <w:rsid w:val="00DE14DD"/>
    <w:rsid w:val="00DE548E"/>
    <w:rsid w:val="00DE6082"/>
    <w:rsid w:val="00DE61E3"/>
    <w:rsid w:val="00DE6840"/>
    <w:rsid w:val="00DE6C05"/>
    <w:rsid w:val="00DE6D82"/>
    <w:rsid w:val="00DF1100"/>
    <w:rsid w:val="00DF23DA"/>
    <w:rsid w:val="00DF2CF6"/>
    <w:rsid w:val="00DF2CF7"/>
    <w:rsid w:val="00DF4B55"/>
    <w:rsid w:val="00DF531A"/>
    <w:rsid w:val="00DF5A51"/>
    <w:rsid w:val="00E005FA"/>
    <w:rsid w:val="00E015A8"/>
    <w:rsid w:val="00E02671"/>
    <w:rsid w:val="00E043F0"/>
    <w:rsid w:val="00E0555E"/>
    <w:rsid w:val="00E10DB1"/>
    <w:rsid w:val="00E12E8E"/>
    <w:rsid w:val="00E14C20"/>
    <w:rsid w:val="00E15648"/>
    <w:rsid w:val="00E16E14"/>
    <w:rsid w:val="00E1762B"/>
    <w:rsid w:val="00E20596"/>
    <w:rsid w:val="00E20EE6"/>
    <w:rsid w:val="00E2226A"/>
    <w:rsid w:val="00E22A7E"/>
    <w:rsid w:val="00E3073E"/>
    <w:rsid w:val="00E31A19"/>
    <w:rsid w:val="00E31F17"/>
    <w:rsid w:val="00E327B6"/>
    <w:rsid w:val="00E32DDC"/>
    <w:rsid w:val="00E3341C"/>
    <w:rsid w:val="00E33DF3"/>
    <w:rsid w:val="00E357E3"/>
    <w:rsid w:val="00E36728"/>
    <w:rsid w:val="00E36F21"/>
    <w:rsid w:val="00E37713"/>
    <w:rsid w:val="00E40CAA"/>
    <w:rsid w:val="00E42B3C"/>
    <w:rsid w:val="00E44A74"/>
    <w:rsid w:val="00E474B1"/>
    <w:rsid w:val="00E47D13"/>
    <w:rsid w:val="00E50693"/>
    <w:rsid w:val="00E51473"/>
    <w:rsid w:val="00E53D05"/>
    <w:rsid w:val="00E557DA"/>
    <w:rsid w:val="00E572BE"/>
    <w:rsid w:val="00E61573"/>
    <w:rsid w:val="00E62149"/>
    <w:rsid w:val="00E62E2D"/>
    <w:rsid w:val="00E6348E"/>
    <w:rsid w:val="00E63F4B"/>
    <w:rsid w:val="00E65603"/>
    <w:rsid w:val="00E65708"/>
    <w:rsid w:val="00E658AC"/>
    <w:rsid w:val="00E65C23"/>
    <w:rsid w:val="00E67D7D"/>
    <w:rsid w:val="00E7098A"/>
    <w:rsid w:val="00E72650"/>
    <w:rsid w:val="00E730BC"/>
    <w:rsid w:val="00E7340B"/>
    <w:rsid w:val="00E73466"/>
    <w:rsid w:val="00E73BE5"/>
    <w:rsid w:val="00E75D70"/>
    <w:rsid w:val="00E765E2"/>
    <w:rsid w:val="00E77BD6"/>
    <w:rsid w:val="00E77F91"/>
    <w:rsid w:val="00E811CF"/>
    <w:rsid w:val="00E81BEB"/>
    <w:rsid w:val="00E8595D"/>
    <w:rsid w:val="00E8780B"/>
    <w:rsid w:val="00E87B4D"/>
    <w:rsid w:val="00E90FB1"/>
    <w:rsid w:val="00E9187A"/>
    <w:rsid w:val="00E91A44"/>
    <w:rsid w:val="00E91BB4"/>
    <w:rsid w:val="00E92988"/>
    <w:rsid w:val="00E93ABB"/>
    <w:rsid w:val="00E947DF"/>
    <w:rsid w:val="00E97178"/>
    <w:rsid w:val="00E974C3"/>
    <w:rsid w:val="00EA2215"/>
    <w:rsid w:val="00EA4E26"/>
    <w:rsid w:val="00EA5CE9"/>
    <w:rsid w:val="00EA6F24"/>
    <w:rsid w:val="00EB4C63"/>
    <w:rsid w:val="00EB6416"/>
    <w:rsid w:val="00EB7983"/>
    <w:rsid w:val="00EC1D7A"/>
    <w:rsid w:val="00EC20DA"/>
    <w:rsid w:val="00EC361E"/>
    <w:rsid w:val="00EC4F90"/>
    <w:rsid w:val="00EC5279"/>
    <w:rsid w:val="00EC55CF"/>
    <w:rsid w:val="00EC6D11"/>
    <w:rsid w:val="00EC7528"/>
    <w:rsid w:val="00EC7BA0"/>
    <w:rsid w:val="00EC7FDA"/>
    <w:rsid w:val="00ED1094"/>
    <w:rsid w:val="00ED2BBA"/>
    <w:rsid w:val="00ED37C1"/>
    <w:rsid w:val="00ED5C91"/>
    <w:rsid w:val="00ED67DF"/>
    <w:rsid w:val="00EE015C"/>
    <w:rsid w:val="00EE01A8"/>
    <w:rsid w:val="00EE1FD6"/>
    <w:rsid w:val="00EE39F8"/>
    <w:rsid w:val="00EE40A4"/>
    <w:rsid w:val="00EE48CF"/>
    <w:rsid w:val="00EE650C"/>
    <w:rsid w:val="00EE75A3"/>
    <w:rsid w:val="00EE767B"/>
    <w:rsid w:val="00EF0350"/>
    <w:rsid w:val="00EF18A6"/>
    <w:rsid w:val="00EF2515"/>
    <w:rsid w:val="00EF3641"/>
    <w:rsid w:val="00EF3840"/>
    <w:rsid w:val="00EF463C"/>
    <w:rsid w:val="00EF7E87"/>
    <w:rsid w:val="00F0071B"/>
    <w:rsid w:val="00F009EE"/>
    <w:rsid w:val="00F02646"/>
    <w:rsid w:val="00F044C1"/>
    <w:rsid w:val="00F0462B"/>
    <w:rsid w:val="00F05BD5"/>
    <w:rsid w:val="00F05D81"/>
    <w:rsid w:val="00F06E7E"/>
    <w:rsid w:val="00F11175"/>
    <w:rsid w:val="00F112A8"/>
    <w:rsid w:val="00F12EAB"/>
    <w:rsid w:val="00F13623"/>
    <w:rsid w:val="00F13E24"/>
    <w:rsid w:val="00F14DDD"/>
    <w:rsid w:val="00F16947"/>
    <w:rsid w:val="00F17F85"/>
    <w:rsid w:val="00F20832"/>
    <w:rsid w:val="00F20BD0"/>
    <w:rsid w:val="00F20CF2"/>
    <w:rsid w:val="00F21FD6"/>
    <w:rsid w:val="00F23E01"/>
    <w:rsid w:val="00F24C56"/>
    <w:rsid w:val="00F262B5"/>
    <w:rsid w:val="00F26B37"/>
    <w:rsid w:val="00F27FB0"/>
    <w:rsid w:val="00F30C76"/>
    <w:rsid w:val="00F30D07"/>
    <w:rsid w:val="00F3541C"/>
    <w:rsid w:val="00F357D4"/>
    <w:rsid w:val="00F35A97"/>
    <w:rsid w:val="00F35AF6"/>
    <w:rsid w:val="00F36286"/>
    <w:rsid w:val="00F36A1A"/>
    <w:rsid w:val="00F40859"/>
    <w:rsid w:val="00F41299"/>
    <w:rsid w:val="00F4161A"/>
    <w:rsid w:val="00F4171A"/>
    <w:rsid w:val="00F44B25"/>
    <w:rsid w:val="00F453EA"/>
    <w:rsid w:val="00F46675"/>
    <w:rsid w:val="00F46C6B"/>
    <w:rsid w:val="00F502EF"/>
    <w:rsid w:val="00F50B5F"/>
    <w:rsid w:val="00F537C7"/>
    <w:rsid w:val="00F544F2"/>
    <w:rsid w:val="00F5478B"/>
    <w:rsid w:val="00F54DA2"/>
    <w:rsid w:val="00F56CB8"/>
    <w:rsid w:val="00F57580"/>
    <w:rsid w:val="00F57D38"/>
    <w:rsid w:val="00F61A09"/>
    <w:rsid w:val="00F65314"/>
    <w:rsid w:val="00F70244"/>
    <w:rsid w:val="00F70B75"/>
    <w:rsid w:val="00F718C4"/>
    <w:rsid w:val="00F71BA4"/>
    <w:rsid w:val="00F72415"/>
    <w:rsid w:val="00F7297B"/>
    <w:rsid w:val="00F72B1D"/>
    <w:rsid w:val="00F7480B"/>
    <w:rsid w:val="00F764E4"/>
    <w:rsid w:val="00F765F9"/>
    <w:rsid w:val="00F77203"/>
    <w:rsid w:val="00F806D8"/>
    <w:rsid w:val="00F81B18"/>
    <w:rsid w:val="00F829B7"/>
    <w:rsid w:val="00F840CE"/>
    <w:rsid w:val="00F847D8"/>
    <w:rsid w:val="00F85892"/>
    <w:rsid w:val="00F872FB"/>
    <w:rsid w:val="00F87377"/>
    <w:rsid w:val="00F87B3C"/>
    <w:rsid w:val="00F90F02"/>
    <w:rsid w:val="00F92230"/>
    <w:rsid w:val="00F93049"/>
    <w:rsid w:val="00F934B7"/>
    <w:rsid w:val="00F9435E"/>
    <w:rsid w:val="00F94CBE"/>
    <w:rsid w:val="00F95A8F"/>
    <w:rsid w:val="00FA227F"/>
    <w:rsid w:val="00FA35B9"/>
    <w:rsid w:val="00FA3EE3"/>
    <w:rsid w:val="00FA4117"/>
    <w:rsid w:val="00FA6249"/>
    <w:rsid w:val="00FB0670"/>
    <w:rsid w:val="00FB06F4"/>
    <w:rsid w:val="00FB51EE"/>
    <w:rsid w:val="00FB60C9"/>
    <w:rsid w:val="00FB67ED"/>
    <w:rsid w:val="00FB68B0"/>
    <w:rsid w:val="00FB721C"/>
    <w:rsid w:val="00FB7668"/>
    <w:rsid w:val="00FC0130"/>
    <w:rsid w:val="00FC0A4D"/>
    <w:rsid w:val="00FC0B6D"/>
    <w:rsid w:val="00FC1D16"/>
    <w:rsid w:val="00FC314F"/>
    <w:rsid w:val="00FC3174"/>
    <w:rsid w:val="00FC39CA"/>
    <w:rsid w:val="00FD3EF5"/>
    <w:rsid w:val="00FD42DD"/>
    <w:rsid w:val="00FD6B05"/>
    <w:rsid w:val="00FE0C8D"/>
    <w:rsid w:val="00FE19B8"/>
    <w:rsid w:val="00FE1E34"/>
    <w:rsid w:val="00FE22D9"/>
    <w:rsid w:val="00FE30AE"/>
    <w:rsid w:val="00FE3260"/>
    <w:rsid w:val="00FE3D7A"/>
    <w:rsid w:val="00FE502C"/>
    <w:rsid w:val="00FF1355"/>
    <w:rsid w:val="00FF191C"/>
    <w:rsid w:val="00FF245C"/>
    <w:rsid w:val="00FF3847"/>
    <w:rsid w:val="00FF5349"/>
    <w:rsid w:val="00FF53F7"/>
    <w:rsid w:val="00FF6008"/>
    <w:rsid w:val="00FF7B78"/>
    <w:rsid w:val="0C7954A3"/>
    <w:rsid w:val="218E0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57"/>
    <w:qFormat/>
    <w:uiPriority w:val="0"/>
    <w:pPr>
      <w:keepNext/>
      <w:spacing w:before="240" w:after="60"/>
      <w:outlineLvl w:val="0"/>
    </w:pPr>
    <w:rPr>
      <w:rFonts w:ascii="Arial" w:hAnsi="Arial" w:cs="Arial"/>
      <w:b/>
      <w:bCs/>
      <w:kern w:val="32"/>
      <w:sz w:val="32"/>
      <w:szCs w:val="32"/>
    </w:rPr>
  </w:style>
  <w:style w:type="paragraph" w:styleId="3">
    <w:name w:val="heading 2"/>
    <w:basedOn w:val="1"/>
    <w:next w:val="1"/>
    <w:link w:val="63"/>
    <w:qFormat/>
    <w:uiPriority w:val="0"/>
    <w:pPr>
      <w:keepNext/>
      <w:spacing w:before="240" w:after="60"/>
      <w:outlineLvl w:val="1"/>
    </w:pPr>
    <w:rPr>
      <w:rFonts w:ascii="Arial" w:hAnsi="Arial" w:cs="Arial"/>
      <w:b/>
      <w:bCs/>
      <w:i/>
      <w:iCs/>
      <w:sz w:val="28"/>
      <w:szCs w:val="28"/>
    </w:rPr>
  </w:style>
  <w:style w:type="paragraph" w:styleId="4">
    <w:name w:val="heading 3"/>
    <w:basedOn w:val="1"/>
    <w:next w:val="1"/>
    <w:link w:val="51"/>
    <w:qFormat/>
    <w:uiPriority w:val="0"/>
    <w:pPr>
      <w:keepNext/>
      <w:spacing w:before="240" w:after="60"/>
      <w:outlineLvl w:val="2"/>
    </w:pPr>
    <w:rPr>
      <w:rFonts w:ascii="Arial" w:hAnsi="Arial" w:cs="Arial"/>
      <w:b/>
      <w:bCs/>
      <w:sz w:val="26"/>
      <w:szCs w:val="26"/>
    </w:rPr>
  </w:style>
  <w:style w:type="paragraph" w:styleId="5">
    <w:name w:val="heading 4"/>
    <w:basedOn w:val="1"/>
    <w:next w:val="1"/>
    <w:link w:val="40"/>
    <w:qFormat/>
    <w:uiPriority w:val="0"/>
    <w:pPr>
      <w:keepNext/>
      <w:spacing w:before="240" w:after="60"/>
      <w:outlineLvl w:val="3"/>
    </w:pPr>
    <w:rPr>
      <w:b/>
      <w:bCs/>
      <w:sz w:val="28"/>
      <w:szCs w:val="28"/>
    </w:rPr>
  </w:style>
  <w:style w:type="paragraph" w:styleId="6">
    <w:name w:val="heading 5"/>
    <w:basedOn w:val="1"/>
    <w:next w:val="1"/>
    <w:link w:val="82"/>
    <w:qFormat/>
    <w:uiPriority w:val="0"/>
    <w:pPr>
      <w:spacing w:before="240" w:after="60"/>
      <w:outlineLvl w:val="4"/>
    </w:pPr>
    <w:rPr>
      <w:b/>
      <w:bCs/>
      <w:i/>
      <w:iCs/>
      <w:sz w:val="26"/>
      <w:szCs w:val="26"/>
    </w:rPr>
  </w:style>
  <w:style w:type="paragraph" w:styleId="7">
    <w:name w:val="heading 6"/>
    <w:basedOn w:val="1"/>
    <w:next w:val="1"/>
    <w:link w:val="83"/>
    <w:qFormat/>
    <w:uiPriority w:val="0"/>
    <w:pPr>
      <w:spacing w:before="240" w:after="60"/>
      <w:outlineLvl w:val="5"/>
    </w:pPr>
    <w:rPr>
      <w:b/>
      <w:bCs/>
      <w:sz w:val="22"/>
      <w:szCs w:val="22"/>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unhideWhenUsed/>
    <w:qFormat/>
    <w:uiPriority w:val="39"/>
    <w:pPr>
      <w:ind w:left="1440"/>
    </w:pPr>
    <w:rPr>
      <w:rFonts w:asciiTheme="minorHAnsi" w:hAnsiTheme="minorHAnsi" w:cstheme="minorHAnsi"/>
      <w:sz w:val="18"/>
      <w:szCs w:val="18"/>
    </w:rPr>
  </w:style>
  <w:style w:type="paragraph" w:styleId="9">
    <w:name w:val="annotation text"/>
    <w:basedOn w:val="1"/>
    <w:link w:val="80"/>
    <w:qFormat/>
    <w:uiPriority w:val="99"/>
  </w:style>
  <w:style w:type="paragraph" w:styleId="10">
    <w:name w:val="Body Text Indent"/>
    <w:basedOn w:val="1"/>
    <w:link w:val="50"/>
    <w:qFormat/>
    <w:uiPriority w:val="0"/>
    <w:pPr>
      <w:widowControl w:val="0"/>
      <w:spacing w:after="120"/>
      <w:ind w:left="420" w:leftChars="200"/>
      <w:jc w:val="both"/>
    </w:pPr>
    <w:rPr>
      <w:kern w:val="2"/>
      <w:sz w:val="21"/>
    </w:rPr>
  </w:style>
  <w:style w:type="paragraph" w:styleId="11">
    <w:name w:val="Block Text"/>
    <w:basedOn w:val="1"/>
    <w:unhideWhenUsed/>
    <w:qFormat/>
    <w:uiPriority w:val="0"/>
    <w:pPr>
      <w:widowControl w:val="0"/>
      <w:spacing w:after="120"/>
      <w:ind w:left="1440" w:leftChars="700" w:right="700" w:rightChars="700"/>
      <w:jc w:val="both"/>
    </w:pPr>
    <w:rPr>
      <w:rFonts w:ascii="Calibri" w:hAnsi="Calibri" w:eastAsia="宋体"/>
      <w:kern w:val="2"/>
      <w:sz w:val="28"/>
      <w:szCs w:val="22"/>
    </w:rPr>
  </w:style>
  <w:style w:type="paragraph" w:styleId="12">
    <w:name w:val="toc 5"/>
    <w:basedOn w:val="1"/>
    <w:next w:val="1"/>
    <w:unhideWhenUsed/>
    <w:qFormat/>
    <w:uiPriority w:val="39"/>
    <w:pPr>
      <w:ind w:left="960"/>
    </w:pPr>
    <w:rPr>
      <w:rFonts w:asciiTheme="minorHAnsi" w:hAnsiTheme="minorHAnsi" w:cstheme="minorHAnsi"/>
      <w:sz w:val="18"/>
      <w:szCs w:val="18"/>
    </w:rPr>
  </w:style>
  <w:style w:type="paragraph" w:styleId="13">
    <w:name w:val="toc 3"/>
    <w:basedOn w:val="1"/>
    <w:next w:val="1"/>
    <w:qFormat/>
    <w:uiPriority w:val="39"/>
    <w:pPr>
      <w:ind w:left="480"/>
    </w:pPr>
    <w:rPr>
      <w:rFonts w:asciiTheme="minorHAnsi" w:hAnsiTheme="minorHAnsi" w:cstheme="minorHAnsi"/>
      <w:i/>
      <w:iCs/>
      <w:sz w:val="20"/>
      <w:szCs w:val="20"/>
    </w:rPr>
  </w:style>
  <w:style w:type="paragraph" w:styleId="14">
    <w:name w:val="Plain Text"/>
    <w:basedOn w:val="1"/>
    <w:link w:val="56"/>
    <w:qFormat/>
    <w:uiPriority w:val="0"/>
    <w:pPr>
      <w:widowControl w:val="0"/>
      <w:jc w:val="both"/>
    </w:pPr>
    <w:rPr>
      <w:rFonts w:ascii="宋体" w:hAnsi="Courier New" w:cs="Courier New"/>
      <w:kern w:val="2"/>
      <w:sz w:val="21"/>
      <w:szCs w:val="21"/>
    </w:rPr>
  </w:style>
  <w:style w:type="paragraph" w:styleId="15">
    <w:name w:val="toc 8"/>
    <w:basedOn w:val="1"/>
    <w:next w:val="1"/>
    <w:unhideWhenUsed/>
    <w:qFormat/>
    <w:uiPriority w:val="39"/>
    <w:pPr>
      <w:ind w:left="1680"/>
    </w:pPr>
    <w:rPr>
      <w:rFonts w:asciiTheme="minorHAnsi" w:hAnsiTheme="minorHAnsi" w:cstheme="minorHAnsi"/>
      <w:sz w:val="18"/>
      <w:szCs w:val="18"/>
    </w:rPr>
  </w:style>
  <w:style w:type="paragraph" w:styleId="16">
    <w:name w:val="Date"/>
    <w:basedOn w:val="1"/>
    <w:next w:val="1"/>
    <w:link w:val="52"/>
    <w:qFormat/>
    <w:uiPriority w:val="99"/>
    <w:pPr>
      <w:widowControl w:val="0"/>
      <w:ind w:left="100" w:leftChars="2500"/>
      <w:jc w:val="both"/>
    </w:pPr>
    <w:rPr>
      <w:kern w:val="2"/>
      <w:sz w:val="21"/>
    </w:rPr>
  </w:style>
  <w:style w:type="paragraph" w:styleId="17">
    <w:name w:val="Balloon Text"/>
    <w:basedOn w:val="1"/>
    <w:link w:val="38"/>
    <w:unhideWhenUsed/>
    <w:qFormat/>
    <w:uiPriority w:val="0"/>
    <w:rPr>
      <w:sz w:val="18"/>
      <w:szCs w:val="18"/>
    </w:rPr>
  </w:style>
  <w:style w:type="paragraph" w:styleId="18">
    <w:name w:val="footer"/>
    <w:basedOn w:val="1"/>
    <w:link w:val="37"/>
    <w:qFormat/>
    <w:uiPriority w:val="99"/>
    <w:pPr>
      <w:tabs>
        <w:tab w:val="center" w:pos="4153"/>
        <w:tab w:val="right" w:pos="8306"/>
      </w:tabs>
      <w:snapToGrid w:val="0"/>
    </w:pPr>
    <w:rPr>
      <w:sz w:val="18"/>
      <w:szCs w:val="18"/>
    </w:rPr>
  </w:style>
  <w:style w:type="paragraph" w:styleId="19">
    <w:name w:val="header"/>
    <w:basedOn w:val="1"/>
    <w:link w:val="36"/>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pPr>
    <w:rPr>
      <w:rFonts w:asciiTheme="minorHAnsi" w:hAnsiTheme="minorHAnsi" w:cstheme="minorHAnsi"/>
      <w:b/>
      <w:bCs/>
      <w:caps/>
      <w:sz w:val="20"/>
      <w:szCs w:val="20"/>
    </w:rPr>
  </w:style>
  <w:style w:type="paragraph" w:styleId="21">
    <w:name w:val="toc 4"/>
    <w:basedOn w:val="1"/>
    <w:next w:val="1"/>
    <w:unhideWhenUsed/>
    <w:qFormat/>
    <w:uiPriority w:val="39"/>
    <w:pPr>
      <w:ind w:left="720"/>
    </w:pPr>
    <w:rPr>
      <w:rFonts w:asciiTheme="minorHAnsi" w:hAnsiTheme="minorHAnsi" w:cstheme="minorHAnsi"/>
      <w:sz w:val="18"/>
      <w:szCs w:val="18"/>
    </w:rPr>
  </w:style>
  <w:style w:type="paragraph" w:styleId="22">
    <w:name w:val="toc 6"/>
    <w:basedOn w:val="1"/>
    <w:next w:val="1"/>
    <w:unhideWhenUsed/>
    <w:qFormat/>
    <w:uiPriority w:val="39"/>
    <w:pPr>
      <w:ind w:left="1200"/>
    </w:pPr>
    <w:rPr>
      <w:rFonts w:asciiTheme="minorHAnsi" w:hAnsiTheme="minorHAnsi" w:cstheme="minorHAnsi"/>
      <w:sz w:val="18"/>
      <w:szCs w:val="18"/>
    </w:rPr>
  </w:style>
  <w:style w:type="paragraph" w:styleId="23">
    <w:name w:val="toc 2"/>
    <w:basedOn w:val="1"/>
    <w:next w:val="1"/>
    <w:qFormat/>
    <w:uiPriority w:val="39"/>
    <w:pPr>
      <w:ind w:left="240"/>
    </w:pPr>
    <w:rPr>
      <w:rFonts w:asciiTheme="minorHAnsi" w:hAnsiTheme="minorHAnsi" w:cstheme="minorHAnsi"/>
      <w:smallCaps/>
      <w:sz w:val="20"/>
      <w:szCs w:val="20"/>
    </w:rPr>
  </w:style>
  <w:style w:type="paragraph" w:styleId="24">
    <w:name w:val="toc 9"/>
    <w:basedOn w:val="1"/>
    <w:next w:val="1"/>
    <w:unhideWhenUsed/>
    <w:qFormat/>
    <w:uiPriority w:val="39"/>
    <w:pPr>
      <w:ind w:left="1920"/>
    </w:pPr>
    <w:rPr>
      <w:rFonts w:asciiTheme="minorHAnsi" w:hAnsiTheme="minorHAnsi" w:cstheme="minorHAnsi"/>
      <w:sz w:val="18"/>
      <w:szCs w:val="18"/>
    </w:rPr>
  </w:style>
  <w:style w:type="paragraph" w:styleId="25">
    <w:name w:val="Body Text 2"/>
    <w:basedOn w:val="1"/>
    <w:link w:val="55"/>
    <w:qFormat/>
    <w:uiPriority w:val="0"/>
    <w:pPr>
      <w:widowControl w:val="0"/>
      <w:jc w:val="center"/>
    </w:pPr>
    <w:rPr>
      <w:rFonts w:eastAsia="仿宋_GB2312"/>
      <w:kern w:val="2"/>
    </w:rPr>
  </w:style>
  <w:style w:type="paragraph" w:styleId="26">
    <w:name w:val="Normal (Web)"/>
    <w:basedOn w:val="1"/>
    <w:qFormat/>
    <w:uiPriority w:val="0"/>
    <w:pPr>
      <w:spacing w:before="100" w:beforeAutospacing="1" w:after="100" w:afterAutospacing="1"/>
    </w:pPr>
    <w:rPr>
      <w:rFonts w:ascii="宋体" w:hAnsi="宋体" w:eastAsia="宋体" w:cs="宋体"/>
    </w:rPr>
  </w:style>
  <w:style w:type="paragraph" w:styleId="27">
    <w:name w:val="Title"/>
    <w:basedOn w:val="1"/>
    <w:link w:val="85"/>
    <w:qFormat/>
    <w:uiPriority w:val="0"/>
    <w:pPr>
      <w:spacing w:before="240" w:after="60"/>
      <w:jc w:val="center"/>
      <w:outlineLvl w:val="0"/>
    </w:pPr>
    <w:rPr>
      <w:rFonts w:ascii="Arial" w:hAnsi="Arial" w:cs="Arial"/>
      <w:b/>
      <w:bCs/>
      <w:kern w:val="28"/>
      <w:sz w:val="32"/>
      <w:szCs w:val="32"/>
    </w:rPr>
  </w:style>
  <w:style w:type="paragraph" w:styleId="28">
    <w:name w:val="annotation subject"/>
    <w:basedOn w:val="9"/>
    <w:next w:val="9"/>
    <w:link w:val="81"/>
    <w:semiHidden/>
    <w:unhideWhenUsed/>
    <w:qFormat/>
    <w:uiPriority w:val="99"/>
    <w:rPr>
      <w:b/>
      <w:bCs/>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0"/>
    <w:rPr>
      <w:b/>
      <w:bCs/>
    </w:rPr>
  </w:style>
  <w:style w:type="character" w:styleId="33">
    <w:name w:val="FollowedHyperlink"/>
    <w:basedOn w:val="31"/>
    <w:unhideWhenUsed/>
    <w:qFormat/>
    <w:uiPriority w:val="99"/>
    <w:rPr>
      <w:color w:val="800080" w:themeColor="followedHyperlink"/>
      <w:u w:val="single"/>
      <w14:textFill>
        <w14:solidFill>
          <w14:schemeClr w14:val="folHlink"/>
        </w14:solidFill>
      </w14:textFill>
    </w:rPr>
  </w:style>
  <w:style w:type="character" w:styleId="34">
    <w:name w:val="Hyperlink"/>
    <w:basedOn w:val="31"/>
    <w:qFormat/>
    <w:uiPriority w:val="99"/>
    <w:rPr>
      <w:color w:val="0000FF"/>
      <w:u w:val="single"/>
    </w:rPr>
  </w:style>
  <w:style w:type="character" w:styleId="35">
    <w:name w:val="annotation reference"/>
    <w:basedOn w:val="31"/>
    <w:qFormat/>
    <w:uiPriority w:val="99"/>
    <w:rPr>
      <w:sz w:val="21"/>
      <w:szCs w:val="21"/>
    </w:rPr>
  </w:style>
  <w:style w:type="character" w:customStyle="1" w:styleId="36">
    <w:name w:val="页眉 字符"/>
    <w:basedOn w:val="31"/>
    <w:link w:val="19"/>
    <w:qFormat/>
    <w:uiPriority w:val="99"/>
    <w:rPr>
      <w:sz w:val="18"/>
      <w:szCs w:val="18"/>
    </w:rPr>
  </w:style>
  <w:style w:type="character" w:customStyle="1" w:styleId="37">
    <w:name w:val="页脚 字符"/>
    <w:basedOn w:val="31"/>
    <w:link w:val="18"/>
    <w:qFormat/>
    <w:uiPriority w:val="99"/>
    <w:rPr>
      <w:sz w:val="18"/>
      <w:szCs w:val="18"/>
    </w:rPr>
  </w:style>
  <w:style w:type="character" w:customStyle="1" w:styleId="38">
    <w:name w:val="批注框文本 字符"/>
    <w:basedOn w:val="31"/>
    <w:link w:val="17"/>
    <w:qFormat/>
    <w:uiPriority w:val="0"/>
    <w:rPr>
      <w:sz w:val="18"/>
      <w:szCs w:val="18"/>
    </w:rPr>
  </w:style>
  <w:style w:type="paragraph" w:styleId="39">
    <w:name w:val="List Paragraph"/>
    <w:basedOn w:val="1"/>
    <w:qFormat/>
    <w:uiPriority w:val="34"/>
    <w:pPr>
      <w:ind w:firstLine="420" w:firstLineChars="200"/>
    </w:pPr>
  </w:style>
  <w:style w:type="character" w:customStyle="1" w:styleId="40">
    <w:name w:val="标题 4 字符"/>
    <w:basedOn w:val="31"/>
    <w:link w:val="5"/>
    <w:qFormat/>
    <w:uiPriority w:val="0"/>
    <w:rPr>
      <w:b/>
      <w:bCs/>
      <w:sz w:val="28"/>
      <w:szCs w:val="28"/>
    </w:rPr>
  </w:style>
  <w:style w:type="character" w:customStyle="1" w:styleId="41">
    <w:name w:val="样式5 Char"/>
    <w:basedOn w:val="42"/>
    <w:link w:val="43"/>
    <w:qFormat/>
    <w:uiPriority w:val="0"/>
    <w:rPr>
      <w:kern w:val="2"/>
      <w:sz w:val="18"/>
      <w:szCs w:val="18"/>
    </w:rPr>
  </w:style>
  <w:style w:type="character" w:customStyle="1" w:styleId="42">
    <w:name w:val="页眉 Char"/>
    <w:qFormat/>
    <w:uiPriority w:val="99"/>
    <w:rPr>
      <w:kern w:val="2"/>
      <w:sz w:val="18"/>
      <w:szCs w:val="18"/>
    </w:rPr>
  </w:style>
  <w:style w:type="paragraph" w:customStyle="1" w:styleId="43">
    <w:name w:val="样式5"/>
    <w:basedOn w:val="19"/>
    <w:link w:val="41"/>
    <w:qFormat/>
    <w:uiPriority w:val="0"/>
    <w:pPr>
      <w:widowControl w:val="0"/>
      <w:pBdr>
        <w:bottom w:val="none" w:color="auto" w:sz="0" w:space="0"/>
      </w:pBdr>
    </w:pPr>
    <w:rPr>
      <w:kern w:val="2"/>
    </w:rPr>
  </w:style>
  <w:style w:type="character" w:customStyle="1" w:styleId="44">
    <w:name w:val="样式4 Char"/>
    <w:basedOn w:val="42"/>
    <w:link w:val="45"/>
    <w:qFormat/>
    <w:uiPriority w:val="0"/>
    <w:rPr>
      <w:kern w:val="2"/>
      <w:sz w:val="18"/>
      <w:szCs w:val="18"/>
    </w:rPr>
  </w:style>
  <w:style w:type="paragraph" w:customStyle="1" w:styleId="45">
    <w:name w:val="样式4"/>
    <w:basedOn w:val="19"/>
    <w:link w:val="44"/>
    <w:qFormat/>
    <w:uiPriority w:val="0"/>
    <w:pPr>
      <w:widowControl w:val="0"/>
      <w:pBdr>
        <w:bottom w:val="none" w:color="auto" w:sz="0" w:space="0"/>
      </w:pBdr>
    </w:pPr>
    <w:rPr>
      <w:kern w:val="2"/>
    </w:rPr>
  </w:style>
  <w:style w:type="character" w:customStyle="1" w:styleId="46">
    <w:name w:val="无间隔 字符1"/>
    <w:link w:val="47"/>
    <w:qFormat/>
    <w:uiPriority w:val="1"/>
    <w:rPr>
      <w:rFonts w:ascii="Calibri" w:hAnsi="Calibri"/>
      <w:sz w:val="22"/>
      <w:szCs w:val="22"/>
    </w:rPr>
  </w:style>
  <w:style w:type="paragraph" w:styleId="47">
    <w:name w:val="No Spacing"/>
    <w:link w:val="46"/>
    <w:qFormat/>
    <w:uiPriority w:val="1"/>
    <w:rPr>
      <w:rFonts w:ascii="Calibri" w:hAnsi="Calibri" w:cs="Times New Roman" w:eastAsiaTheme="minorEastAsia"/>
      <w:sz w:val="22"/>
      <w:szCs w:val="22"/>
      <w:lang w:val="en-US" w:eastAsia="zh-CN" w:bidi="ar-SA"/>
    </w:rPr>
  </w:style>
  <w:style w:type="character" w:customStyle="1" w:styleId="48">
    <w:name w:val="样式1 Char"/>
    <w:basedOn w:val="42"/>
    <w:link w:val="49"/>
    <w:qFormat/>
    <w:uiPriority w:val="0"/>
    <w:rPr>
      <w:kern w:val="2"/>
      <w:sz w:val="18"/>
      <w:szCs w:val="18"/>
    </w:rPr>
  </w:style>
  <w:style w:type="paragraph" w:customStyle="1" w:styleId="49">
    <w:name w:val="样式1"/>
    <w:basedOn w:val="19"/>
    <w:link w:val="48"/>
    <w:qFormat/>
    <w:uiPriority w:val="0"/>
    <w:pPr>
      <w:widowControl w:val="0"/>
      <w:pBdr>
        <w:bottom w:val="none" w:color="auto" w:sz="0" w:space="0"/>
      </w:pBdr>
      <w:tabs>
        <w:tab w:val="left" w:pos="4200"/>
        <w:tab w:val="clear" w:pos="8306"/>
      </w:tabs>
      <w:jc w:val="left"/>
    </w:pPr>
    <w:rPr>
      <w:kern w:val="2"/>
    </w:rPr>
  </w:style>
  <w:style w:type="character" w:customStyle="1" w:styleId="50">
    <w:name w:val="正文文本缩进 字符1"/>
    <w:link w:val="10"/>
    <w:qFormat/>
    <w:uiPriority w:val="0"/>
    <w:rPr>
      <w:kern w:val="2"/>
      <w:sz w:val="21"/>
      <w:szCs w:val="24"/>
    </w:rPr>
  </w:style>
  <w:style w:type="character" w:customStyle="1" w:styleId="51">
    <w:name w:val="标题 3 字符"/>
    <w:link w:val="4"/>
    <w:qFormat/>
    <w:uiPriority w:val="0"/>
    <w:rPr>
      <w:rFonts w:ascii="Arial" w:hAnsi="Arial" w:cs="Arial"/>
      <w:b/>
      <w:bCs/>
      <w:sz w:val="26"/>
      <w:szCs w:val="26"/>
    </w:rPr>
  </w:style>
  <w:style w:type="character" w:customStyle="1" w:styleId="52">
    <w:name w:val="日期 字符1"/>
    <w:link w:val="16"/>
    <w:qFormat/>
    <w:locked/>
    <w:uiPriority w:val="99"/>
    <w:rPr>
      <w:kern w:val="2"/>
      <w:sz w:val="21"/>
      <w:szCs w:val="24"/>
    </w:rPr>
  </w:style>
  <w:style w:type="character" w:customStyle="1" w:styleId="53">
    <w:name w:val="批注框文本 Char"/>
    <w:qFormat/>
    <w:uiPriority w:val="0"/>
    <w:rPr>
      <w:kern w:val="2"/>
      <w:sz w:val="18"/>
      <w:szCs w:val="18"/>
    </w:rPr>
  </w:style>
  <w:style w:type="character" w:customStyle="1" w:styleId="54">
    <w:name w:val="标题 4 Char"/>
    <w:uiPriority w:val="0"/>
    <w:rPr>
      <w:rFonts w:ascii="宋体" w:hAnsi="宋体" w:cs="宋体"/>
      <w:bCs/>
      <w:kern w:val="2"/>
      <w:sz w:val="28"/>
      <w:szCs w:val="28"/>
    </w:rPr>
  </w:style>
  <w:style w:type="character" w:customStyle="1" w:styleId="55">
    <w:name w:val="正文文本 2 字符1"/>
    <w:link w:val="25"/>
    <w:uiPriority w:val="0"/>
    <w:rPr>
      <w:rFonts w:eastAsia="仿宋_GB2312"/>
      <w:kern w:val="2"/>
      <w:sz w:val="24"/>
      <w:szCs w:val="24"/>
    </w:rPr>
  </w:style>
  <w:style w:type="character" w:customStyle="1" w:styleId="56">
    <w:name w:val="纯文本 字符1"/>
    <w:link w:val="14"/>
    <w:uiPriority w:val="0"/>
    <w:rPr>
      <w:rFonts w:ascii="宋体" w:hAnsi="Courier New" w:cs="Courier New"/>
      <w:kern w:val="2"/>
      <w:sz w:val="21"/>
      <w:szCs w:val="21"/>
    </w:rPr>
  </w:style>
  <w:style w:type="character" w:customStyle="1" w:styleId="57">
    <w:name w:val="标题 1 字符"/>
    <w:link w:val="2"/>
    <w:uiPriority w:val="0"/>
    <w:rPr>
      <w:rFonts w:ascii="Arial" w:hAnsi="Arial" w:cs="Arial"/>
      <w:b/>
      <w:bCs/>
      <w:kern w:val="32"/>
      <w:sz w:val="32"/>
      <w:szCs w:val="32"/>
    </w:rPr>
  </w:style>
  <w:style w:type="character" w:customStyle="1" w:styleId="58">
    <w:name w:val="样式3 Char"/>
    <w:basedOn w:val="42"/>
    <w:link w:val="59"/>
    <w:uiPriority w:val="0"/>
    <w:rPr>
      <w:kern w:val="2"/>
      <w:sz w:val="18"/>
      <w:szCs w:val="18"/>
    </w:rPr>
  </w:style>
  <w:style w:type="paragraph" w:customStyle="1" w:styleId="59">
    <w:name w:val="样式3"/>
    <w:basedOn w:val="19"/>
    <w:link w:val="58"/>
    <w:qFormat/>
    <w:uiPriority w:val="0"/>
    <w:pPr>
      <w:widowControl w:val="0"/>
      <w:pBdr>
        <w:bottom w:val="none" w:color="auto" w:sz="0" w:space="0"/>
      </w:pBdr>
    </w:pPr>
    <w:rPr>
      <w:kern w:val="2"/>
    </w:rPr>
  </w:style>
  <w:style w:type="character" w:customStyle="1" w:styleId="60">
    <w:name w:val="样式2 Char"/>
    <w:basedOn w:val="42"/>
    <w:link w:val="61"/>
    <w:uiPriority w:val="0"/>
    <w:rPr>
      <w:kern w:val="2"/>
      <w:sz w:val="18"/>
      <w:szCs w:val="18"/>
    </w:rPr>
  </w:style>
  <w:style w:type="paragraph" w:customStyle="1" w:styleId="61">
    <w:name w:val="样式2"/>
    <w:basedOn w:val="19"/>
    <w:link w:val="60"/>
    <w:qFormat/>
    <w:uiPriority w:val="0"/>
    <w:pPr>
      <w:widowControl w:val="0"/>
      <w:pBdr>
        <w:bottom w:val="none" w:color="auto" w:sz="0" w:space="0"/>
      </w:pBdr>
    </w:pPr>
    <w:rPr>
      <w:kern w:val="2"/>
    </w:rPr>
  </w:style>
  <w:style w:type="character" w:customStyle="1" w:styleId="62">
    <w:name w:val="页脚 Char"/>
    <w:uiPriority w:val="99"/>
    <w:rPr>
      <w:kern w:val="2"/>
      <w:sz w:val="18"/>
      <w:szCs w:val="18"/>
    </w:rPr>
  </w:style>
  <w:style w:type="character" w:customStyle="1" w:styleId="63">
    <w:name w:val="标题 2 字符"/>
    <w:link w:val="3"/>
    <w:uiPriority w:val="0"/>
    <w:rPr>
      <w:rFonts w:ascii="Arial" w:hAnsi="Arial" w:cs="Arial"/>
      <w:b/>
      <w:bCs/>
      <w:i/>
      <w:iCs/>
      <w:sz w:val="28"/>
      <w:szCs w:val="28"/>
    </w:rPr>
  </w:style>
  <w:style w:type="character" w:customStyle="1" w:styleId="64">
    <w:name w:val="纯文本 字符"/>
    <w:basedOn w:val="31"/>
    <w:uiPriority w:val="0"/>
    <w:rPr>
      <w:rFonts w:hAnsi="Courier New" w:cs="Courier New" w:asciiTheme="minorEastAsia"/>
      <w:sz w:val="24"/>
      <w:szCs w:val="24"/>
    </w:rPr>
  </w:style>
  <w:style w:type="paragraph" w:customStyle="1" w:styleId="65">
    <w:name w:val="_Style 43"/>
    <w:basedOn w:val="1"/>
    <w:next w:val="1"/>
    <w:unhideWhenUsed/>
    <w:uiPriority w:val="39"/>
    <w:pPr>
      <w:widowControl w:val="0"/>
      <w:ind w:left="3360" w:leftChars="1600"/>
      <w:jc w:val="both"/>
    </w:pPr>
    <w:rPr>
      <w:rFonts w:ascii="Calibri" w:hAnsi="Calibri" w:eastAsia="宋体"/>
      <w:kern w:val="2"/>
      <w:sz w:val="21"/>
      <w:szCs w:val="22"/>
    </w:rPr>
  </w:style>
  <w:style w:type="character" w:customStyle="1" w:styleId="66">
    <w:name w:val="正文文本缩进 字符"/>
    <w:basedOn w:val="31"/>
    <w:uiPriority w:val="0"/>
    <w:rPr>
      <w:sz w:val="24"/>
      <w:szCs w:val="24"/>
    </w:rPr>
  </w:style>
  <w:style w:type="character" w:customStyle="1" w:styleId="67">
    <w:name w:val="日期 字符"/>
    <w:basedOn w:val="31"/>
    <w:uiPriority w:val="99"/>
    <w:rPr>
      <w:sz w:val="24"/>
      <w:szCs w:val="24"/>
    </w:rPr>
  </w:style>
  <w:style w:type="paragraph" w:customStyle="1" w:styleId="68">
    <w:name w:val="样式 标题 4 + 宋体 黑色"/>
    <w:basedOn w:val="5"/>
    <w:uiPriority w:val="0"/>
    <w:pPr>
      <w:keepLines/>
      <w:widowControl w:val="0"/>
      <w:spacing w:before="280" w:after="290" w:line="377" w:lineRule="auto"/>
      <w:ind w:left="200" w:leftChars="200"/>
    </w:pPr>
    <w:rPr>
      <w:rFonts w:ascii="宋体" w:hAnsi="宋体" w:eastAsia="宋体" w:cs="宋体"/>
      <w:b w:val="0"/>
      <w:color w:val="000000"/>
      <w:kern w:val="2"/>
    </w:rPr>
  </w:style>
  <w:style w:type="paragraph" w:customStyle="1" w:styleId="69">
    <w:name w:val="TOC Heading"/>
    <w:basedOn w:val="2"/>
    <w:next w:val="1"/>
    <w:qFormat/>
    <w:uiPriority w:val="39"/>
    <w:pPr>
      <w:keepLines/>
      <w:spacing w:before="480" w:after="0" w:line="276" w:lineRule="auto"/>
      <w:outlineLvl w:val="9"/>
    </w:pPr>
    <w:rPr>
      <w:rFonts w:ascii="Cambria" w:hAnsi="Cambria" w:eastAsia="宋体" w:cs="Times New Roman"/>
      <w:color w:val="365F91"/>
      <w:kern w:val="0"/>
      <w:sz w:val="28"/>
      <w:szCs w:val="28"/>
    </w:rPr>
  </w:style>
  <w:style w:type="character" w:customStyle="1" w:styleId="70">
    <w:name w:val="正文文本 2 字符"/>
    <w:basedOn w:val="31"/>
    <w:uiPriority w:val="0"/>
    <w:rPr>
      <w:sz w:val="24"/>
      <w:szCs w:val="24"/>
    </w:rPr>
  </w:style>
  <w:style w:type="paragraph" w:customStyle="1" w:styleId="71">
    <w:name w:val="样式 首行缩进:  2 字符"/>
    <w:basedOn w:val="1"/>
    <w:uiPriority w:val="0"/>
    <w:pPr>
      <w:widowControl w:val="0"/>
      <w:ind w:firstLine="560" w:firstLineChars="200"/>
      <w:jc w:val="both"/>
    </w:pPr>
    <w:rPr>
      <w:rFonts w:eastAsia="宋体" w:cs="宋体"/>
      <w:kern w:val="2"/>
      <w:sz w:val="21"/>
      <w:szCs w:val="20"/>
    </w:rPr>
  </w:style>
  <w:style w:type="paragraph" w:customStyle="1" w:styleId="72">
    <w:name w:val="样式 标题 4 + 宋体"/>
    <w:basedOn w:val="5"/>
    <w:uiPriority w:val="0"/>
    <w:pPr>
      <w:keepLines/>
      <w:widowControl w:val="0"/>
      <w:spacing w:before="280" w:after="290" w:line="376" w:lineRule="auto"/>
    </w:pPr>
    <w:rPr>
      <w:rFonts w:ascii="宋体" w:hAnsi="宋体" w:eastAsia="宋体" w:cs="宋体"/>
      <w:b w:val="0"/>
      <w:kern w:val="2"/>
    </w:rPr>
  </w:style>
  <w:style w:type="paragraph" w:customStyle="1" w:styleId="73">
    <w:name w:val="样式 标题 3 + 宋体 四号 黑色"/>
    <w:basedOn w:val="4"/>
    <w:uiPriority w:val="0"/>
    <w:pPr>
      <w:keepLines/>
      <w:widowControl w:val="0"/>
      <w:spacing w:before="260" w:after="260" w:line="400" w:lineRule="exact"/>
      <w:ind w:firstLine="560" w:firstLineChars="200"/>
    </w:pPr>
    <w:rPr>
      <w:rFonts w:ascii="宋体" w:hAnsi="宋体" w:eastAsia="黑体" w:cs="宋体"/>
      <w:b w:val="0"/>
      <w:color w:val="000000"/>
      <w:sz w:val="28"/>
      <w:szCs w:val="32"/>
    </w:rPr>
  </w:style>
  <w:style w:type="paragraph" w:customStyle="1" w:styleId="74">
    <w:name w:val="[无段落样式]"/>
    <w:unhideWhenUsed/>
    <w:uiPriority w:val="0"/>
    <w:pPr>
      <w:widowControl w:val="0"/>
      <w:autoSpaceDE w:val="0"/>
      <w:autoSpaceDN w:val="0"/>
      <w:adjustRightInd w:val="0"/>
      <w:spacing w:line="288" w:lineRule="auto"/>
      <w:jc w:val="both"/>
      <w:textAlignment w:val="center"/>
    </w:pPr>
    <w:rPr>
      <w:rFonts w:hint="eastAsia" w:ascii="Adobe 宋体 Std L" w:hAnsi="Adobe 宋体 Std L" w:eastAsia="Adobe 宋体 Std L" w:cs="Times New Roman"/>
      <w:color w:val="000000"/>
      <w:sz w:val="24"/>
      <w:lang w:val="zh-CN" w:eastAsia="zh-CN" w:bidi="ar-SA"/>
    </w:rPr>
  </w:style>
  <w:style w:type="paragraph" w:customStyle="1" w:styleId="75">
    <w:name w:val="[基本段落]"/>
    <w:basedOn w:val="74"/>
    <w:unhideWhenUsed/>
    <w:uiPriority w:val="99"/>
  </w:style>
  <w:style w:type="paragraph" w:customStyle="1" w:styleId="76">
    <w:name w:val="0正文"/>
    <w:basedOn w:val="1"/>
    <w:link w:val="77"/>
    <w:qFormat/>
    <w:uiPriority w:val="0"/>
    <w:pPr>
      <w:widowControl w:val="0"/>
      <w:adjustRightInd w:val="0"/>
      <w:spacing w:line="360" w:lineRule="auto"/>
      <w:ind w:firstLine="480" w:firstLineChars="200"/>
      <w:jc w:val="both"/>
      <w:textAlignment w:val="baseline"/>
    </w:pPr>
    <w:rPr>
      <w:rFonts w:ascii="Verdana" w:hAnsi="Verdana" w:eastAsia="宋体"/>
      <w:lang w:val="zh-CN" w:eastAsia="zh-CN"/>
    </w:rPr>
  </w:style>
  <w:style w:type="character" w:customStyle="1" w:styleId="77">
    <w:name w:val="0正文 Char"/>
    <w:link w:val="76"/>
    <w:uiPriority w:val="0"/>
    <w:rPr>
      <w:rFonts w:ascii="Verdana" w:hAnsi="Verdana" w:eastAsia="宋体"/>
      <w:sz w:val="24"/>
      <w:szCs w:val="24"/>
      <w:lang w:val="zh-CN" w:eastAsia="zh-CN"/>
    </w:rPr>
  </w:style>
  <w:style w:type="character" w:customStyle="1" w:styleId="78">
    <w:name w:val="无间隔 字符"/>
    <w:basedOn w:val="31"/>
    <w:uiPriority w:val="1"/>
    <w:rPr>
      <w:kern w:val="0"/>
      <w14:ligatures w14:val="none"/>
    </w:rPr>
  </w:style>
  <w:style w:type="character" w:customStyle="1" w:styleId="79">
    <w:name w:val="Unresolved Mention"/>
    <w:basedOn w:val="31"/>
    <w:semiHidden/>
    <w:unhideWhenUsed/>
    <w:uiPriority w:val="99"/>
    <w:rPr>
      <w:color w:val="605E5C"/>
      <w:shd w:val="clear" w:color="auto" w:fill="E1DFDD"/>
    </w:rPr>
  </w:style>
  <w:style w:type="character" w:customStyle="1" w:styleId="80">
    <w:name w:val="批注文字 字符"/>
    <w:basedOn w:val="31"/>
    <w:link w:val="9"/>
    <w:qFormat/>
    <w:uiPriority w:val="99"/>
    <w:rPr>
      <w:sz w:val="24"/>
      <w:szCs w:val="24"/>
    </w:rPr>
  </w:style>
  <w:style w:type="character" w:customStyle="1" w:styleId="81">
    <w:name w:val="批注主题 字符"/>
    <w:basedOn w:val="80"/>
    <w:link w:val="28"/>
    <w:semiHidden/>
    <w:uiPriority w:val="99"/>
    <w:rPr>
      <w:b/>
      <w:bCs/>
      <w:sz w:val="24"/>
      <w:szCs w:val="24"/>
    </w:rPr>
  </w:style>
  <w:style w:type="character" w:customStyle="1" w:styleId="82">
    <w:name w:val="标题 5 字符"/>
    <w:basedOn w:val="31"/>
    <w:link w:val="6"/>
    <w:uiPriority w:val="0"/>
    <w:rPr>
      <w:b/>
      <w:bCs/>
      <w:i/>
      <w:iCs/>
      <w:sz w:val="26"/>
      <w:szCs w:val="26"/>
    </w:rPr>
  </w:style>
  <w:style w:type="character" w:customStyle="1" w:styleId="83">
    <w:name w:val="标题 6 字符"/>
    <w:basedOn w:val="31"/>
    <w:link w:val="7"/>
    <w:uiPriority w:val="0"/>
    <w:rPr>
      <w:b/>
      <w:bCs/>
      <w:sz w:val="22"/>
      <w:szCs w:val="22"/>
    </w:rPr>
  </w:style>
  <w:style w:type="paragraph" w:customStyle="1" w:styleId="84">
    <w:name w:val="msonormal"/>
    <w:basedOn w:val="1"/>
    <w:uiPriority w:val="0"/>
    <w:pPr>
      <w:spacing w:before="100" w:beforeAutospacing="1" w:after="100" w:afterAutospacing="1"/>
    </w:pPr>
    <w:rPr>
      <w:rFonts w:ascii="宋体" w:hAnsi="宋体" w:eastAsia="宋体" w:cs="宋体"/>
    </w:rPr>
  </w:style>
  <w:style w:type="character" w:customStyle="1" w:styleId="85">
    <w:name w:val="标题 字符"/>
    <w:basedOn w:val="31"/>
    <w:link w:val="27"/>
    <w:uiPriority w:val="0"/>
    <w:rPr>
      <w:rFonts w:ascii="Arial" w:hAnsi="Arial" w:cs="Arial"/>
      <w:b/>
      <w:bCs/>
      <w:kern w:val="28"/>
      <w:sz w:val="32"/>
      <w:szCs w:val="32"/>
    </w:rPr>
  </w:style>
  <w:style w:type="paragraph" w:customStyle="1" w:styleId="86">
    <w:name w:val="TOC 标题1"/>
    <w:basedOn w:val="2"/>
    <w:next w:val="1"/>
    <w:semiHidden/>
    <w:qFormat/>
    <w:uiPriority w:val="39"/>
    <w:pPr>
      <w:keepLines/>
      <w:spacing w:before="480" w:after="0" w:line="276" w:lineRule="auto"/>
      <w:outlineLvl w:val="9"/>
    </w:pPr>
    <w:rPr>
      <w:rFonts w:ascii="Cambria" w:hAnsi="Cambria" w:eastAsia="宋体" w:cs="Times New Roman"/>
      <w:color w:val="365F91"/>
      <w:kern w:val="0"/>
      <w:sz w:val="28"/>
      <w:szCs w:val="28"/>
    </w:rPr>
  </w:style>
  <w:style w:type="paragraph" w:customStyle="1" w:styleId="87">
    <w:name w:val="HTML Bottom of Form"/>
    <w:basedOn w:val="1"/>
    <w:next w:val="1"/>
    <w:link w:val="88"/>
    <w:unhideWhenUsed/>
    <w:uiPriority w:val="99"/>
    <w:pPr>
      <w:widowControl w:val="0"/>
      <w:pBdr>
        <w:top w:val="single" w:color="auto" w:sz="6" w:space="1"/>
      </w:pBdr>
      <w:spacing w:line="480" w:lineRule="auto"/>
      <w:ind w:firstLine="200" w:firstLineChars="200"/>
      <w:jc w:val="center"/>
    </w:pPr>
    <w:rPr>
      <w:rFonts w:ascii="Arial" w:hAnsi="Arial" w:eastAsia="宋体" w:cs="Arial"/>
      <w:vanish/>
      <w:kern w:val="2"/>
      <w:sz w:val="16"/>
      <w:szCs w:val="16"/>
    </w:rPr>
  </w:style>
  <w:style w:type="character" w:customStyle="1" w:styleId="88">
    <w:name w:val="z-窗体底端 字符"/>
    <w:basedOn w:val="31"/>
    <w:link w:val="87"/>
    <w:uiPriority w:val="99"/>
    <w:rPr>
      <w:rFonts w:ascii="Arial" w:hAnsi="Arial" w:eastAsia="宋体" w:cs="Arial"/>
      <w:vanish/>
      <w:kern w:val="2"/>
      <w:sz w:val="16"/>
      <w:szCs w:val="16"/>
    </w:rPr>
  </w:style>
  <w:style w:type="paragraph" w:customStyle="1" w:styleId="89">
    <w:name w:val="列表段落1"/>
    <w:basedOn w:val="1"/>
    <w:qFormat/>
    <w:uiPriority w:val="34"/>
    <w:pPr>
      <w:ind w:firstLine="420" w:firstLineChars="200"/>
    </w:pPr>
    <w:rPr>
      <w:rFonts w:eastAsia="宋体"/>
    </w:rPr>
  </w:style>
  <w:style w:type="paragraph" w:customStyle="1" w:styleId="90">
    <w:name w:val="列表段落2"/>
    <w:basedOn w:val="1"/>
    <w:qFormat/>
    <w:uiPriority w:val="34"/>
    <w:pPr>
      <w:ind w:firstLine="420" w:firstLineChars="200"/>
    </w:pPr>
    <w:rPr>
      <w:rFonts w:eastAsia="宋体"/>
    </w:r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6.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emf"/><Relationship Id="rId17" Type="http://schemas.openxmlformats.org/officeDocument/2006/relationships/oleObject" Target="embeddings/oleObject4.bin"/><Relationship Id="rId16" Type="http://schemas.openxmlformats.org/officeDocument/2006/relationships/image" Target="media/image3.emf"/><Relationship Id="rId15" Type="http://schemas.openxmlformats.org/officeDocument/2006/relationships/oleObject" Target="embeddings/oleObject3.bin"/><Relationship Id="rId14" Type="http://schemas.openxmlformats.org/officeDocument/2006/relationships/image" Target="media/image2.emf"/><Relationship Id="rId13" Type="http://schemas.openxmlformats.org/officeDocument/2006/relationships/oleObject" Target="embeddings/oleObject2.bin"/><Relationship Id="rId12" Type="http://schemas.openxmlformats.org/officeDocument/2006/relationships/image" Target="media/image1.e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8B89C5-560C-4D20-85FD-A3D16C5792D2}">
  <ds:schemaRefs/>
</ds:datastoreItem>
</file>

<file path=docProps/app.xml><?xml version="1.0" encoding="utf-8"?>
<Properties xmlns="http://schemas.openxmlformats.org/officeDocument/2006/extended-properties" xmlns:vt="http://schemas.openxmlformats.org/officeDocument/2006/docPropsVTypes">
  <Template>Normal.dotm</Template>
  <Pages>14</Pages>
  <Words>2185</Words>
  <Characters>12456</Characters>
  <Lines>103</Lines>
  <Paragraphs>29</Paragraphs>
  <TotalTime>86</TotalTime>
  <ScaleCrop>false</ScaleCrop>
  <LinksUpToDate>false</LinksUpToDate>
  <CharactersWithSpaces>14612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2021-06-17T01:09:00Z</dcterms:created>
  <dc:creator>Lenovo</dc:creator>
  <cp:lastModifiedBy>市发改委公文收发员（成瑜）</cp:lastModifiedBy>
  <cp:lastPrinted>2020-12-17T06:27:00Z</cp:lastPrinted>
  <dcterms:modified xsi:type="dcterms:W3CDTF">2021-07-13T01:02:15Z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3950030BFA9C44BC9F398E2394FBF1D7</vt:lpwstr>
  </property>
</Properties>
</file>