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83"/>
        <w:jc w:val="center"/>
        <w:rPr>
          <w:rFonts w:ascii="Times New Roman" w:hAnsi="Times New Roman" w:eastAsia="隶书"/>
          <w:b/>
          <w:sz w:val="44"/>
          <w:szCs w:val="44"/>
        </w:rPr>
      </w:pPr>
    </w:p>
    <w:p>
      <w:pPr>
        <w:ind w:firstLine="883"/>
        <w:jc w:val="center"/>
        <w:rPr>
          <w:rFonts w:ascii="Times New Roman" w:hAnsi="Times New Roman" w:eastAsia="隶书"/>
          <w:b/>
          <w:sz w:val="44"/>
          <w:szCs w:val="44"/>
        </w:rPr>
      </w:pPr>
    </w:p>
    <w:p>
      <w:pPr>
        <w:ind w:firstLine="883"/>
        <w:jc w:val="center"/>
        <w:rPr>
          <w:rFonts w:ascii="Times New Roman" w:hAnsi="Times New Roman" w:eastAsia="隶书"/>
          <w:b/>
          <w:sz w:val="44"/>
          <w:szCs w:val="44"/>
        </w:rPr>
      </w:pPr>
    </w:p>
    <w:p>
      <w:pPr>
        <w:tabs>
          <w:tab w:val="left" w:pos="3662"/>
        </w:tabs>
        <w:spacing w:after="156" w:afterLines="50"/>
        <w:ind w:firstLine="0" w:firstLineChars="0"/>
        <w:jc w:val="center"/>
        <w:rPr>
          <w:rFonts w:ascii="Times New Roman" w:hAnsi="Times New Roman" w:eastAsia="黑体"/>
          <w:b/>
          <w:sz w:val="48"/>
          <w:szCs w:val="48"/>
        </w:rPr>
      </w:pPr>
      <w:bookmarkStart w:id="351" w:name="_GoBack"/>
      <w:r>
        <w:rPr>
          <w:rFonts w:hint="eastAsia" w:ascii="Times New Roman" w:hAnsi="Times New Roman" w:eastAsia="黑体"/>
          <w:b/>
          <w:sz w:val="48"/>
          <w:szCs w:val="48"/>
        </w:rPr>
        <w:t>临兴区块先导试验项目扩建工程</w:t>
      </w:r>
    </w:p>
    <w:p>
      <w:pPr>
        <w:overflowPunct w:val="0"/>
        <w:autoSpaceDE w:val="0"/>
        <w:autoSpaceDN w:val="0"/>
        <w:adjustRightInd w:val="0"/>
        <w:spacing w:before="480"/>
        <w:ind w:firstLine="0" w:firstLineChars="0"/>
        <w:jc w:val="center"/>
        <w:textAlignment w:val="baseline"/>
        <w:rPr>
          <w:rFonts w:ascii="Times New Roman" w:hAnsi="Times New Roman" w:eastAsia="楷体_GB2312"/>
          <w:b/>
          <w:w w:val="110"/>
          <w:kern w:val="0"/>
          <w:sz w:val="72"/>
          <w:szCs w:val="72"/>
        </w:rPr>
      </w:pPr>
      <w:r>
        <w:rPr>
          <w:rFonts w:ascii="Times New Roman" w:hAnsi="Times New Roman" w:eastAsia="楷体_GB2312"/>
          <w:b/>
          <w:w w:val="110"/>
          <w:kern w:val="0"/>
          <w:sz w:val="72"/>
          <w:szCs w:val="72"/>
        </w:rPr>
        <w:t>环境影响报告书</w:t>
      </w:r>
      <w:bookmarkEnd w:id="351"/>
    </w:p>
    <w:p>
      <w:pPr>
        <w:ind w:firstLine="0" w:firstLineChars="0"/>
        <w:jc w:val="center"/>
        <w:rPr>
          <w:rFonts w:ascii="Times New Roman" w:hAnsi="Times New Roman" w:eastAsia="隶书"/>
          <w:b/>
          <w:sz w:val="52"/>
          <w:szCs w:val="52"/>
        </w:rPr>
      </w:pPr>
      <w:bookmarkStart w:id="0" w:name="_Toc523142972"/>
      <w:bookmarkStart w:id="1" w:name="_Toc524624536"/>
      <w:r>
        <w:rPr>
          <w:rFonts w:ascii="Times New Roman" w:hAnsi="Times New Roman" w:eastAsia="隶书"/>
          <w:b/>
          <w:sz w:val="52"/>
          <w:szCs w:val="52"/>
        </w:rPr>
        <w:t>（</w:t>
      </w:r>
      <w:r>
        <w:rPr>
          <w:rFonts w:hint="eastAsia" w:ascii="Times New Roman" w:hAnsi="Times New Roman" w:eastAsia="隶书"/>
          <w:b/>
          <w:sz w:val="52"/>
          <w:szCs w:val="52"/>
        </w:rPr>
        <w:t>报批</w:t>
      </w:r>
      <w:r>
        <w:rPr>
          <w:rFonts w:ascii="Times New Roman" w:hAnsi="Times New Roman" w:eastAsia="隶书"/>
          <w:b/>
          <w:sz w:val="52"/>
          <w:szCs w:val="52"/>
        </w:rPr>
        <w:t>稿）</w:t>
      </w:r>
      <w:bookmarkEnd w:id="0"/>
      <w:bookmarkEnd w:id="1"/>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隶书"/>
          <w:b/>
          <w:sz w:val="44"/>
          <w:szCs w:val="44"/>
        </w:rPr>
      </w:pPr>
    </w:p>
    <w:p>
      <w:pPr>
        <w:ind w:firstLine="0" w:firstLineChars="0"/>
        <w:jc w:val="center"/>
        <w:rPr>
          <w:rFonts w:ascii="Times New Roman" w:hAnsi="Times New Roman" w:eastAsia="黑体"/>
          <w:b/>
          <w:spacing w:val="26"/>
          <w:sz w:val="32"/>
          <w:szCs w:val="32"/>
        </w:rPr>
      </w:pPr>
    </w:p>
    <w:p>
      <w:pPr>
        <w:ind w:firstLine="0" w:firstLineChars="0"/>
        <w:jc w:val="center"/>
        <w:rPr>
          <w:rFonts w:ascii="Times New Roman" w:hAnsi="Times New Roman" w:eastAsia="黑体"/>
          <w:b/>
          <w:sz w:val="32"/>
          <w:szCs w:val="32"/>
        </w:rPr>
      </w:pPr>
      <w:r>
        <w:rPr>
          <w:rFonts w:ascii="Times New Roman" w:hAnsi="Times New Roman" w:eastAsia="黑体"/>
          <w:b/>
          <w:spacing w:val="26"/>
          <w:sz w:val="32"/>
          <w:szCs w:val="32"/>
        </w:rPr>
        <w:t>煤炭科学技术研究院有限公司</w: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t>二〇一</w:t>
      </w:r>
      <w:r>
        <w:rPr>
          <w:rFonts w:hint="eastAsia" w:ascii="Times New Roman" w:hAnsi="Times New Roman" w:eastAsia="黑体"/>
          <w:b/>
          <w:spacing w:val="40"/>
          <w:sz w:val="32"/>
          <w:szCs w:val="32"/>
        </w:rPr>
        <w:t>九</w:t>
      </w:r>
      <w:r>
        <w:rPr>
          <w:rFonts w:ascii="Times New Roman" w:hAnsi="Times New Roman" w:eastAsia="黑体"/>
          <w:b/>
          <w:spacing w:val="40"/>
          <w:sz w:val="32"/>
          <w:szCs w:val="32"/>
        </w:rPr>
        <w:t>年</w:t>
      </w:r>
      <w:r>
        <w:rPr>
          <w:rFonts w:hint="eastAsia" w:ascii="Times New Roman" w:hAnsi="Times New Roman" w:eastAsia="黑体"/>
          <w:b/>
          <w:spacing w:val="40"/>
          <w:sz w:val="32"/>
          <w:szCs w:val="32"/>
        </w:rPr>
        <w:t>一</w:t>
      </w:r>
      <w:r>
        <w:rPr>
          <w:rFonts w:ascii="Times New Roman" w:hAnsi="Times New Roman" w:eastAsia="黑体"/>
          <w:b/>
          <w:spacing w:val="40"/>
          <w:sz w:val="32"/>
          <w:szCs w:val="32"/>
        </w:rPr>
        <w:t>月</w:t>
      </w:r>
    </w:p>
    <w:p>
      <w:pPr>
        <w:ind w:firstLine="197" w:firstLineChars="49"/>
        <w:jc w:val="center"/>
        <w:rPr>
          <w:rFonts w:ascii="Times New Roman" w:hAnsi="Times New Roman" w:eastAsia="黑体"/>
          <w:b/>
          <w:spacing w:val="40"/>
          <w:sz w:val="32"/>
          <w:szCs w:val="32"/>
        </w:rPr>
      </w:pPr>
    </w:p>
    <w:p>
      <w:pPr>
        <w:widowControl/>
        <w:spacing w:line="240" w:lineRule="atLeast"/>
        <w:ind w:firstLine="803"/>
        <w:rPr>
          <w:rFonts w:ascii="Times New Roman" w:hAnsi="Times New Roman" w:eastAsia="黑体"/>
          <w:b/>
          <w:spacing w:val="40"/>
          <w:sz w:val="32"/>
          <w:szCs w:val="32"/>
        </w:rPr>
      </w:pPr>
      <w:r>
        <w:rPr>
          <w:rFonts w:ascii="Times New Roman" w:hAnsi="Times New Roman" w:eastAsia="黑体"/>
          <w:b/>
          <w:spacing w:val="40"/>
          <w:sz w:val="32"/>
          <w:szCs w:val="32"/>
        </w:rPr>
        <w:br w:type="page"/>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88960" behindDoc="0" locked="0" layoutInCell="1" allowOverlap="1">
            <wp:simplePos x="0" y="0"/>
            <wp:positionH relativeFrom="column">
              <wp:posOffset>-1112520</wp:posOffset>
            </wp:positionH>
            <wp:positionV relativeFrom="paragraph">
              <wp:posOffset>-885825</wp:posOffset>
            </wp:positionV>
            <wp:extent cx="7486650" cy="10606405"/>
            <wp:effectExtent l="0" t="0" r="0" b="4445"/>
            <wp:wrapNone/>
            <wp:docPr id="65" name="图片 65" descr="E:\环评\项目\2018年\临兴先导试验项目5.3\报告\临兴先导试验项目扩建工程环评报告书电子版\图片\资质页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E:\环评\项目\2018年\临兴先导试验项目5.3\报告\临兴先导试验项目扩建工程环评报告书电子版\图片\资质页_页面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7494888" cy="10618232"/>
                    </a:xfrm>
                    <a:prstGeom prst="rect">
                      <a:avLst/>
                    </a:prstGeom>
                    <a:noFill/>
                    <a:ln>
                      <a:noFill/>
                    </a:ln>
                  </pic:spPr>
                </pic:pic>
              </a:graphicData>
            </a:graphic>
          </wp:anchor>
        </w:drawing>
      </w:r>
    </w:p>
    <w:p>
      <w:pPr>
        <w:widowControl/>
        <w:spacing w:line="240" w:lineRule="atLeast"/>
        <w:ind w:firstLine="803"/>
        <w:rPr>
          <w:rFonts w:ascii="Times New Roman" w:hAnsi="Times New Roman" w:eastAsia="黑体"/>
          <w:b/>
          <w:spacing w:val="40"/>
          <w:sz w:val="32"/>
          <w:szCs w:val="32"/>
        </w:rPr>
      </w:pPr>
      <w:r>
        <w:rPr>
          <w:rFonts w:ascii="Times New Roman" w:hAnsi="Times New Roman" w:eastAsia="黑体"/>
          <w:b/>
          <w:spacing w:val="40"/>
          <w:sz w:val="32"/>
          <w:szCs w:val="32"/>
        </w:rPr>
        <w:br w:type="page"/>
      </w:r>
    </w:p>
    <w:p>
      <w:pPr>
        <w:widowControl/>
        <w:spacing w:line="240" w:lineRule="atLeast"/>
        <w:ind w:firstLine="643"/>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89984" behindDoc="0" locked="0" layoutInCell="1" allowOverlap="1">
            <wp:simplePos x="0" y="0"/>
            <wp:positionH relativeFrom="column">
              <wp:posOffset>-1112520</wp:posOffset>
            </wp:positionH>
            <wp:positionV relativeFrom="paragraph">
              <wp:posOffset>-876300</wp:posOffset>
            </wp:positionV>
            <wp:extent cx="7496175" cy="10617835"/>
            <wp:effectExtent l="0" t="0" r="0" b="0"/>
            <wp:wrapNone/>
            <wp:docPr id="211" name="图片 211" descr="E:\环评\项目\2018年\临兴先导试验项目5.3\报告\临兴先导试验项目扩建工程环评报告书电子版\图片\资质页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E:\环评\项目\2018年\临兴先导试验项目5.3\报告\临兴先导试验项目扩建工程环评报告书电子版\图片\资质页_页面_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7505143" cy="10630703"/>
                    </a:xfrm>
                    <a:prstGeom prst="rect">
                      <a:avLst/>
                    </a:prstGeom>
                    <a:noFill/>
                    <a:ln>
                      <a:noFill/>
                    </a:ln>
                  </pic:spPr>
                </pic:pic>
              </a:graphicData>
            </a:graphic>
          </wp:anchor>
        </w:drawing>
      </w:r>
      <w:r>
        <w:rPr>
          <w:rFonts w:ascii="Times New Roman" w:hAnsi="Times New Roman" w:eastAsia="黑体"/>
          <w:b/>
          <w:spacing w:val="40"/>
          <w:sz w:val="32"/>
          <w:szCs w:val="32"/>
        </w:rPr>
        <w:br w:type="page"/>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65408" behindDoc="0" locked="0" layoutInCell="1" allowOverlap="1">
            <wp:simplePos x="0" y="0"/>
            <wp:positionH relativeFrom="column">
              <wp:posOffset>40005</wp:posOffset>
            </wp:positionH>
            <wp:positionV relativeFrom="paragraph">
              <wp:posOffset>78740</wp:posOffset>
            </wp:positionV>
            <wp:extent cx="2571750" cy="2568575"/>
            <wp:effectExtent l="19050" t="19050" r="0" b="3175"/>
            <wp:wrapNone/>
            <wp:docPr id="59" name="图片 59" descr="E:\环评\项目\2018年\临兴先导试验项目5.3\现场照片\LX-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环评\项目\2018年\临兴先导试验项目5.3\现场照片\LX-101.jpg"/>
                    <pic:cNvPicPr>
                      <a:picLocks noChangeAspect="1" noChangeArrowheads="1"/>
                    </pic:cNvPicPr>
                  </pic:nvPicPr>
                  <pic:blipFill>
                    <a:blip r:embed="rId21" cstate="print">
                      <a:extLst>
                        <a:ext uri="{28A0092B-C50C-407E-A947-70E740481C1C}">
                          <a14:useLocalDpi xmlns:a14="http://schemas.microsoft.com/office/drawing/2010/main" val="0"/>
                        </a:ext>
                      </a:extLst>
                    </a:blip>
                    <a:srcRect l="29095" t="13195" r="22067"/>
                    <a:stretch>
                      <a:fillRect/>
                    </a:stretch>
                  </pic:blipFill>
                  <pic:spPr>
                    <a:xfrm>
                      <a:off x="0" y="0"/>
                      <a:ext cx="2571750" cy="2568575"/>
                    </a:xfrm>
                    <a:prstGeom prst="rect">
                      <a:avLst/>
                    </a:prstGeom>
                    <a:noFill/>
                    <a:ln>
                      <a:solidFill>
                        <a:schemeClr val="tx1"/>
                      </a:solidFill>
                    </a:ln>
                  </pic:spPr>
                </pic:pic>
              </a:graphicData>
            </a:graphic>
          </wp:anchor>
        </w:drawing>
      </w:r>
      <w:r>
        <w:rPr>
          <w:rFonts w:ascii="Times New Roman" w:hAnsi="Times New Roman" w:eastAsia="黑体"/>
          <w:b/>
          <w:spacing w:val="40"/>
          <w:sz w:val="32"/>
          <w:szCs w:val="32"/>
        </w:rPr>
        <w:drawing>
          <wp:anchor distT="0" distB="0" distL="114300" distR="114300" simplePos="0" relativeHeight="251666432" behindDoc="0" locked="0" layoutInCell="1" allowOverlap="1">
            <wp:simplePos x="0" y="0"/>
            <wp:positionH relativeFrom="column">
              <wp:posOffset>2868930</wp:posOffset>
            </wp:positionH>
            <wp:positionV relativeFrom="paragraph">
              <wp:posOffset>76200</wp:posOffset>
            </wp:positionV>
            <wp:extent cx="2577465" cy="2574290"/>
            <wp:effectExtent l="19050" t="19050" r="0" b="0"/>
            <wp:wrapNone/>
            <wp:docPr id="60" name="图片 60" descr="E:\环评\项目\2018年\临兴先导试验项目5.3\现场照片\LX-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环评\项目\2018年\临兴先导试验项目5.3\现场照片\LX-102.jpg"/>
                    <pic:cNvPicPr>
                      <a:picLocks noChangeAspect="1" noChangeArrowheads="1"/>
                    </pic:cNvPicPr>
                  </pic:nvPicPr>
                  <pic:blipFill>
                    <a:blip r:embed="rId22" cstate="print">
                      <a:extLst>
                        <a:ext uri="{28A0092B-C50C-407E-A947-70E740481C1C}">
                          <a14:useLocalDpi xmlns:a14="http://schemas.microsoft.com/office/drawing/2010/main" val="0"/>
                        </a:ext>
                      </a:extLst>
                    </a:blip>
                    <a:srcRect l="43698"/>
                    <a:stretch>
                      <a:fillRect/>
                    </a:stretch>
                  </pic:blipFill>
                  <pic:spPr>
                    <a:xfrm>
                      <a:off x="0" y="0"/>
                      <a:ext cx="2577600" cy="2574000"/>
                    </a:xfrm>
                    <a:prstGeom prst="rect">
                      <a:avLst/>
                    </a:prstGeom>
                    <a:noFill/>
                    <a:ln>
                      <a:solidFill>
                        <a:schemeClr val="tx1"/>
                      </a:solidFill>
                    </a:ln>
                  </pic:spPr>
                </pic:pic>
              </a:graphicData>
            </a:graphic>
          </wp:anchor>
        </w:drawing>
      </w:r>
      <w:r>
        <w:rPr>
          <w:rFonts w:hint="eastAsia" w:ascii="Times New Roman" w:hAnsi="Times New Roman" w:eastAsia="黑体"/>
          <w:b/>
          <w:spacing w:val="40"/>
          <w:sz w:val="32"/>
          <w:szCs w:val="32"/>
        </w:rPr>
        <w:t xml:space="preserve">  </w:t>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77696" behindDoc="0" locked="0" layoutInCell="1" allowOverlap="1">
                <wp:simplePos x="0" y="0"/>
                <wp:positionH relativeFrom="column">
                  <wp:posOffset>3145155</wp:posOffset>
                </wp:positionH>
                <wp:positionV relativeFrom="paragraph">
                  <wp:posOffset>213360</wp:posOffset>
                </wp:positionV>
                <wp:extent cx="1952625" cy="352425"/>
                <wp:effectExtent l="0" t="0" r="0" b="0"/>
                <wp:wrapNone/>
                <wp:docPr id="210" name="Rectangle 151"/>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2</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1" o:spid="_x0000_s1026" o:spt="1" style="position:absolute;left:0pt;margin-left:247.65pt;margin-top:16.8pt;height:27.75pt;width:153.75pt;z-index:251677696;mso-width-relative:page;mso-height-relative:page;" filled="f" stroked="f" coordsize="21600,21600" o:gfxdata="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0VZa9sAAAAJAQAADwAAAAAAAAABACAAAAAiAAAA&#10;ZHJzL2Rvd25yZXYueG1sUEsBAhQAFAAAAAgAh07iQD8Z6UwEAgAADwQAAA4AAAAAAAAAAQAgAAAA&#10;KgEAAGRycy9lMm9Eb2MueG1sUEsFBgAAAAAGAAYAWQEAAKAFA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2</w:t>
                      </w:r>
                      <w:r>
                        <w:rPr>
                          <w:rFonts w:ascii="Times New Roman" w:hAnsi="Times New Roman"/>
                          <w:b/>
                        </w:rPr>
                        <w:t>井场</w:t>
                      </w:r>
                    </w:p>
                  </w:txbxContent>
                </v:textbox>
              </v:rect>
            </w:pict>
          </mc:Fallback>
        </mc:AlternateContent>
      </w:r>
      <w:r>
        <w:rPr>
          <w:rFonts w:ascii="Times New Roman" w:hAnsi="Times New Roman" w:eastAsia="黑体"/>
          <w:b/>
          <w:spacing w:val="40"/>
          <w:sz w:val="32"/>
          <w:szCs w:val="32"/>
        </w:rPr>
        <mc:AlternateContent>
          <mc:Choice Requires="wps">
            <w:drawing>
              <wp:anchor distT="0" distB="0" distL="114300" distR="114300" simplePos="0" relativeHeight="251676672" behindDoc="0" locked="0" layoutInCell="1" allowOverlap="1">
                <wp:simplePos x="0" y="0"/>
                <wp:positionH relativeFrom="column">
                  <wp:posOffset>382905</wp:posOffset>
                </wp:positionH>
                <wp:positionV relativeFrom="paragraph">
                  <wp:posOffset>241935</wp:posOffset>
                </wp:positionV>
                <wp:extent cx="1952625" cy="352425"/>
                <wp:effectExtent l="0" t="0" r="0" b="0"/>
                <wp:wrapNone/>
                <wp:docPr id="209" name="Rectangle 150"/>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LX-101井场</w:t>
                            </w:r>
                          </w:p>
                        </w:txbxContent>
                      </wps:txbx>
                      <wps:bodyPr rot="0" vert="horz" wrap="square" lIns="91440" tIns="45720" rIns="91440" bIns="45720" anchor="t" anchorCtr="0" upright="1">
                        <a:noAutofit/>
                      </wps:bodyPr>
                    </wps:wsp>
                  </a:graphicData>
                </a:graphic>
              </wp:anchor>
            </w:drawing>
          </mc:Choice>
          <mc:Fallback>
            <w:pict>
              <v:rect id="Rectangle 150" o:spid="_x0000_s1026" o:spt="1" style="position:absolute;left:0pt;margin-left:30.15pt;margin-top:19.05pt;height:27.75pt;width:153.75pt;z-index:251676672;mso-width-relative:page;mso-height-relative:page;" filled="f" stroked="f" coordsize="21600,21600" o:gfxdata="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&#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uCMc2QAAAAgBAAAPAAAAAAAAAAEAIAAAACIAAABk&#10;cnMvZG93bnJldi54bWxQSwECFAAUAAAACACHTuJAPjQ4ywUCAAAPBAAADgAAAAAAAAABACAAAAAo&#10;AQAAZHJzL2Uyb0RvYy54bWxQSwUGAAAAAAYABgBZAQAAnwU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LX-101井场</w:t>
                      </w:r>
                    </w:p>
                  </w:txbxContent>
                </v:textbox>
              </v:rect>
            </w:pict>
          </mc:Fallback>
        </mc:AlternateConten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64384" behindDoc="0" locked="0" layoutInCell="1" allowOverlap="1">
            <wp:simplePos x="0" y="0"/>
            <wp:positionH relativeFrom="column">
              <wp:posOffset>2887980</wp:posOffset>
            </wp:positionH>
            <wp:positionV relativeFrom="paragraph">
              <wp:posOffset>362585</wp:posOffset>
            </wp:positionV>
            <wp:extent cx="2566670" cy="2516505"/>
            <wp:effectExtent l="19050" t="19050" r="5080" b="0"/>
            <wp:wrapNone/>
            <wp:docPr id="57" name="图片 57" descr="E:\环评\项目\2018年\临兴先导试验项目5.3\现场照片\LX-104井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环评\项目\2018年\临兴先导试验项目5.3\现场照片\LX-104井场.jpg"/>
                    <pic:cNvPicPr>
                      <a:picLocks noChangeAspect="1" noChangeArrowheads="1"/>
                    </pic:cNvPicPr>
                  </pic:nvPicPr>
                  <pic:blipFill>
                    <a:blip r:embed="rId23" cstate="print">
                      <a:extLst>
                        <a:ext uri="{28A0092B-C50C-407E-A947-70E740481C1C}">
                          <a14:useLocalDpi xmlns:a14="http://schemas.microsoft.com/office/drawing/2010/main" val="0"/>
                        </a:ext>
                      </a:extLst>
                    </a:blip>
                    <a:srcRect l="42624" r="-1"/>
                    <a:stretch>
                      <a:fillRect/>
                    </a:stretch>
                  </pic:blipFill>
                  <pic:spPr>
                    <a:xfrm>
                      <a:off x="0" y="0"/>
                      <a:ext cx="2566800" cy="2516400"/>
                    </a:xfrm>
                    <a:prstGeom prst="rect">
                      <a:avLst/>
                    </a:prstGeom>
                    <a:noFill/>
                    <a:ln>
                      <a:solidFill>
                        <a:schemeClr val="tx1"/>
                      </a:solidFill>
                    </a:ln>
                  </pic:spPr>
                </pic:pic>
              </a:graphicData>
            </a:graphic>
          </wp:anchor>
        </w:drawing>
      </w:r>
      <w:r>
        <w:rPr>
          <w:rFonts w:ascii="Times New Roman" w:hAnsi="Times New Roman" w:eastAsia="黑体"/>
          <w:b/>
          <w:spacing w:val="40"/>
          <w:sz w:val="32"/>
          <w:szCs w:val="32"/>
        </w:rPr>
        <w:drawing>
          <wp:anchor distT="0" distB="0" distL="114300" distR="114300" simplePos="0" relativeHeight="251667456" behindDoc="0" locked="0" layoutInCell="1" allowOverlap="1">
            <wp:simplePos x="0" y="0"/>
            <wp:positionH relativeFrom="column">
              <wp:posOffset>40005</wp:posOffset>
            </wp:positionH>
            <wp:positionV relativeFrom="paragraph">
              <wp:posOffset>360680</wp:posOffset>
            </wp:positionV>
            <wp:extent cx="2552065" cy="2569845"/>
            <wp:effectExtent l="19050" t="19050" r="635" b="1905"/>
            <wp:wrapNone/>
            <wp:docPr id="61" name="图片 61" descr="E:\环评\项目\2018年\临兴先导试验项目5.3\现场照片\LX-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环评\项目\2018年\临兴先导试验项目5.3\现场照片\LX-103.jpg"/>
                    <pic:cNvPicPr>
                      <a:picLocks noChangeAspect="1" noChangeArrowheads="1"/>
                    </pic:cNvPicPr>
                  </pic:nvPicPr>
                  <pic:blipFill>
                    <a:blip r:embed="rId24" cstate="print">
                      <a:extLst>
                        <a:ext uri="{28A0092B-C50C-407E-A947-70E740481C1C}">
                          <a14:useLocalDpi xmlns:a14="http://schemas.microsoft.com/office/drawing/2010/main" val="0"/>
                        </a:ext>
                      </a:extLst>
                    </a:blip>
                    <a:srcRect l="9759" t="15445" r="43041"/>
                    <a:stretch>
                      <a:fillRect/>
                    </a:stretch>
                  </pic:blipFill>
                  <pic:spPr>
                    <a:xfrm>
                      <a:off x="0" y="0"/>
                      <a:ext cx="2552065" cy="256984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78720" behindDoc="0" locked="0" layoutInCell="1" allowOverlap="1">
                <wp:simplePos x="0" y="0"/>
                <wp:positionH relativeFrom="column">
                  <wp:posOffset>392430</wp:posOffset>
                </wp:positionH>
                <wp:positionV relativeFrom="paragraph">
                  <wp:posOffset>110490</wp:posOffset>
                </wp:positionV>
                <wp:extent cx="1952625" cy="352425"/>
                <wp:effectExtent l="0" t="0" r="0" b="0"/>
                <wp:wrapNone/>
                <wp:docPr id="207" name="Rectangle 152"/>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3</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2" o:spid="_x0000_s1026" o:spt="1" style="position:absolute;left:0pt;margin-left:30.9pt;margin-top:8.7pt;height:27.75pt;width:153.75pt;z-index:251678720;mso-width-relative:page;mso-height-relative:page;" filled="f" stroked="f" coordsize="21600,21600" o:gfxdata="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BQbQtoAAAAIAQAADwAAAAAAAAABACAAAAAiAAAA&#10;ZHJzL2Rvd25yZXYueG1sUEsBAhQAFAAAAAgAh07iQOn736kFAgAADwQAAA4AAAAAAAAAAQAgAAAA&#10;KQEAAGRycy9lMm9Eb2MueG1sUEsFBgAAAAAGAAYAWQEAAKAFA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3</w:t>
                      </w:r>
                      <w:r>
                        <w:rPr>
                          <w:rFonts w:ascii="Times New Roman" w:hAnsi="Times New Roman"/>
                          <w:b/>
                        </w:rPr>
                        <w:t>井场</w:t>
                      </w:r>
                    </w:p>
                  </w:txbxContent>
                </v:textbox>
              </v:rect>
            </w:pict>
          </mc:Fallback>
        </mc:AlternateContent>
      </w:r>
      <w:r>
        <w:rPr>
          <w:rFonts w:ascii="Times New Roman" w:hAnsi="Times New Roman" w:eastAsia="黑体"/>
          <w:b/>
          <w:spacing w:val="40"/>
          <w:sz w:val="32"/>
          <w:szCs w:val="32"/>
        </w:rPr>
        <mc:AlternateContent>
          <mc:Choice Requires="wps">
            <w:drawing>
              <wp:anchor distT="0" distB="0" distL="114300" distR="114300" simplePos="0" relativeHeight="251679744" behindDoc="0" locked="0" layoutInCell="1" allowOverlap="1">
                <wp:simplePos x="0" y="0"/>
                <wp:positionH relativeFrom="column">
                  <wp:posOffset>3145155</wp:posOffset>
                </wp:positionH>
                <wp:positionV relativeFrom="paragraph">
                  <wp:posOffset>62865</wp:posOffset>
                </wp:positionV>
                <wp:extent cx="1952625" cy="352425"/>
                <wp:effectExtent l="0" t="0" r="0" b="0"/>
                <wp:wrapNone/>
                <wp:docPr id="206" name="Rectangle 153"/>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4</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3" o:spid="_x0000_s1026" o:spt="1" style="position:absolute;left:0pt;margin-left:247.65pt;margin-top:4.95pt;height:27.75pt;width:153.75pt;z-index:251679744;mso-width-relative:page;mso-height-relative:page;" filled="f" stroked="f" coordsize="21600,21600" o:gfxdata="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PYWHtoAAAAIAQAADwAAAAAAAAABACAAAAAiAAAA&#10;ZHJzL2Rvd25yZXYueG1sUEsBAhQAFAAAAAgAh07iQGnZn0cFAgAADwQAAA4AAAAAAAAAAQAgAAAA&#10;KQEAAGRycy9lMm9Eb2MueG1sUEsFBgAAAAAGAAYAWQEAAKAFA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4</w:t>
                      </w:r>
                      <w:r>
                        <w:rPr>
                          <w:rFonts w:ascii="Times New Roman" w:hAnsi="Times New Roman"/>
                          <w:b/>
                        </w:rPr>
                        <w:t>井场</w:t>
                      </w:r>
                    </w:p>
                  </w:txbxContent>
                </v:textbox>
              </v:rect>
            </w:pict>
          </mc:Fallback>
        </mc:AlternateConten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63360" behindDoc="0" locked="0" layoutInCell="1" allowOverlap="1">
            <wp:simplePos x="0" y="0"/>
            <wp:positionH relativeFrom="column">
              <wp:posOffset>2897505</wp:posOffset>
            </wp:positionH>
            <wp:positionV relativeFrom="paragraph">
              <wp:posOffset>209550</wp:posOffset>
            </wp:positionV>
            <wp:extent cx="2552700" cy="2552700"/>
            <wp:effectExtent l="19050" t="19050" r="0" b="0"/>
            <wp:wrapNone/>
            <wp:docPr id="55" name="图片 55" descr="E:\环评\项目\2018年\临兴先导试验项目5.3\报告\照片\LX-106井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环评\项目\2018年\临兴先导试验项目5.3\报告\照片\LX-106井场图.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552700" cy="2552700"/>
                    </a:xfrm>
                    <a:prstGeom prst="rect">
                      <a:avLst/>
                    </a:prstGeom>
                    <a:noFill/>
                    <a:ln>
                      <a:solidFill>
                        <a:schemeClr val="tx1"/>
                      </a:solidFill>
                    </a:ln>
                  </pic:spPr>
                </pic:pic>
              </a:graphicData>
            </a:graphic>
          </wp:anchor>
        </w:drawing>
      </w:r>
      <w:r>
        <w:rPr>
          <w:rFonts w:ascii="Times New Roman" w:hAnsi="Times New Roman" w:eastAsia="黑体"/>
          <w:b/>
          <w:spacing w:val="40"/>
          <w:sz w:val="32"/>
          <w:szCs w:val="32"/>
        </w:rPr>
        <w:drawing>
          <wp:anchor distT="0" distB="0" distL="114300" distR="114300" simplePos="0" relativeHeight="251668480" behindDoc="0" locked="0" layoutInCell="1" allowOverlap="1">
            <wp:simplePos x="0" y="0"/>
            <wp:positionH relativeFrom="column">
              <wp:posOffset>43180</wp:posOffset>
            </wp:positionH>
            <wp:positionV relativeFrom="paragraph">
              <wp:posOffset>224790</wp:posOffset>
            </wp:positionV>
            <wp:extent cx="2568575" cy="2524125"/>
            <wp:effectExtent l="19050" t="19050" r="3175" b="9525"/>
            <wp:wrapNone/>
            <wp:docPr id="62" name="图片 62" descr="E:\环评\项目\2018年\临兴先导试验项目5.3\现场照片\LX-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环评\项目\2018年\临兴先导试验项目5.3\现场照片\LX-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l="31260" t="17786" r="21707"/>
                    <a:stretch>
                      <a:fillRect/>
                    </a:stretch>
                  </pic:blipFill>
                  <pic:spPr>
                    <a:xfrm>
                      <a:off x="0" y="0"/>
                      <a:ext cx="2568575" cy="252412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1792" behindDoc="0" locked="0" layoutInCell="1" allowOverlap="1">
                <wp:simplePos x="0" y="0"/>
                <wp:positionH relativeFrom="column">
                  <wp:posOffset>3145155</wp:posOffset>
                </wp:positionH>
                <wp:positionV relativeFrom="paragraph">
                  <wp:posOffset>337185</wp:posOffset>
                </wp:positionV>
                <wp:extent cx="1952625" cy="352425"/>
                <wp:effectExtent l="0" t="0" r="0" b="0"/>
                <wp:wrapNone/>
                <wp:docPr id="205" name="Rectangle 155"/>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6</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5" o:spid="_x0000_s1026" o:spt="1" style="position:absolute;left:0pt;margin-left:247.65pt;margin-top:26.55pt;height:27.75pt;width:153.75pt;z-index:251681792;mso-width-relative:page;mso-height-relative:page;" filled="f" stroked="f" coordsize="21600,21600" o:gfxdata="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oJruNsAAAAKAQAADwAAAAAAAAABACAAAAAiAAAA&#10;ZHJzL2Rvd25yZXYueG1sUEsBAhQAFAAAAAgAh07iQOR6+okEAgAADwQAAA4AAAAAAAAAAQAgAAAA&#10;KgEAAGRycy9lMm9Eb2MueG1sUEsFBgAAAAAGAAYAWQEAAKAFA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6</w:t>
                      </w:r>
                      <w:r>
                        <w:rPr>
                          <w:rFonts w:ascii="Times New Roman" w:hAnsi="Times New Roman"/>
                          <w:b/>
                        </w:rPr>
                        <w:t>井场</w:t>
                      </w:r>
                    </w:p>
                  </w:txbxContent>
                </v:textbox>
              </v:rect>
            </w:pict>
          </mc:Fallback>
        </mc:AlternateContent>
      </w:r>
      <w:r>
        <w:rPr>
          <w:rFonts w:ascii="Times New Roman" w:hAnsi="Times New Roman" w:eastAsia="黑体"/>
          <w:b/>
          <w:spacing w:val="40"/>
          <w:sz w:val="32"/>
          <w:szCs w:val="32"/>
        </w:rPr>
        <mc:AlternateContent>
          <mc:Choice Requires="wps">
            <w:drawing>
              <wp:anchor distT="0" distB="0" distL="114300" distR="114300" simplePos="0" relativeHeight="251680768" behindDoc="0" locked="0" layoutInCell="1" allowOverlap="1">
                <wp:simplePos x="0" y="0"/>
                <wp:positionH relativeFrom="column">
                  <wp:posOffset>411480</wp:posOffset>
                </wp:positionH>
                <wp:positionV relativeFrom="paragraph">
                  <wp:posOffset>337185</wp:posOffset>
                </wp:positionV>
                <wp:extent cx="1952625" cy="352425"/>
                <wp:effectExtent l="0" t="0" r="0" b="0"/>
                <wp:wrapNone/>
                <wp:docPr id="204" name="Rectangle 154"/>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5</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4" o:spid="_x0000_s1026" o:spt="1" style="position:absolute;left:0pt;margin-left:32.4pt;margin-top:26.55pt;height:27.75pt;width:153.75pt;z-index:251680768;mso-width-relative:page;mso-height-relative:page;" filled="f" stroked="f" coordsize="21600,21600" o:gfxdata="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dXEtv2gAAAAkBAAAPAAAAAAAAAAEAIAAAACIAAABk&#10;cnMvZG93bnJldi54bWxQSwECFAAUAAAACACHTuJAZFi6ZwQCAAAPBAAADgAAAAAAAAABACAAAAAp&#10;AQAAZHJzL2Uyb0RvYy54bWxQSwUGAAAAAAYABgBZAQAAnwU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5</w:t>
                      </w:r>
                      <w:r>
                        <w:rPr>
                          <w:rFonts w:ascii="Times New Roman" w:hAnsi="Times New Roman"/>
                          <w:b/>
                        </w:rPr>
                        <w:t>井场</w:t>
                      </w:r>
                    </w:p>
                  </w:txbxContent>
                </v:textbox>
              </v:rect>
            </w:pict>
          </mc:Fallback>
        </mc:AlternateConten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69504" behindDoc="0" locked="0" layoutInCell="1" allowOverlap="1">
            <wp:simplePos x="0" y="0"/>
            <wp:positionH relativeFrom="column">
              <wp:posOffset>2755900</wp:posOffset>
            </wp:positionH>
            <wp:positionV relativeFrom="paragraph">
              <wp:posOffset>-74295</wp:posOffset>
            </wp:positionV>
            <wp:extent cx="2735580" cy="2483485"/>
            <wp:effectExtent l="19050" t="19050" r="7620" b="0"/>
            <wp:wrapNone/>
            <wp:docPr id="58" name="图片 58" descr="E:\环评\项目\2018年\临兴先导试验项目5.3\现场照片\微信图片_20180704185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环评\项目\2018年\临兴先导试验项目5.3\现场照片\微信图片_201807041853301.jpg"/>
                    <pic:cNvPicPr>
                      <a:picLocks noChangeAspect="1" noChangeArrowheads="1"/>
                    </pic:cNvPicPr>
                  </pic:nvPicPr>
                  <pic:blipFill>
                    <a:blip r:embed="rId27" cstate="print">
                      <a:extLst>
                        <a:ext uri="{28A0092B-C50C-407E-A947-70E740481C1C}">
                          <a14:useLocalDpi xmlns:a14="http://schemas.microsoft.com/office/drawing/2010/main" val="0"/>
                        </a:ext>
                      </a:extLst>
                    </a:blip>
                    <a:srcRect l="38126"/>
                    <a:stretch>
                      <a:fillRect/>
                    </a:stretch>
                  </pic:blipFill>
                  <pic:spPr>
                    <a:xfrm>
                      <a:off x="0" y="0"/>
                      <a:ext cx="2735580" cy="2483485"/>
                    </a:xfrm>
                    <a:prstGeom prst="rect">
                      <a:avLst/>
                    </a:prstGeom>
                    <a:noFill/>
                    <a:ln>
                      <a:solidFill>
                        <a:schemeClr val="tx1"/>
                      </a:solidFill>
                    </a:ln>
                  </pic:spPr>
                </pic:pic>
              </a:graphicData>
            </a:graphic>
          </wp:anchor>
        </w:drawing>
      </w:r>
      <w:r>
        <w:rPr>
          <w:rFonts w:ascii="Times New Roman" w:hAnsi="Times New Roman" w:eastAsia="黑体"/>
          <w:b/>
          <w:spacing w:val="40"/>
          <w:sz w:val="32"/>
          <w:szCs w:val="32"/>
        </w:rPr>
        <w:drawing>
          <wp:anchor distT="0" distB="0" distL="114300" distR="114300" simplePos="0" relativeHeight="251670528" behindDoc="0" locked="0" layoutInCell="1" allowOverlap="1">
            <wp:simplePos x="0" y="0"/>
            <wp:positionH relativeFrom="column">
              <wp:posOffset>11430</wp:posOffset>
            </wp:positionH>
            <wp:positionV relativeFrom="paragraph">
              <wp:posOffset>-72390</wp:posOffset>
            </wp:positionV>
            <wp:extent cx="2569845" cy="2512695"/>
            <wp:effectExtent l="19050" t="19050" r="1905" b="1905"/>
            <wp:wrapNone/>
            <wp:docPr id="63" name="图片 63" descr="E:\环评\项目\2018年\临兴先导试验项目5.3\现场照片\L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环评\项目\2018年\临兴先导试验项目5.3\现场照片\LX-4.jpg"/>
                    <pic:cNvPicPr>
                      <a:picLocks noChangeAspect="1" noChangeArrowheads="1"/>
                    </pic:cNvPicPr>
                  </pic:nvPicPr>
                  <pic:blipFill>
                    <a:blip r:embed="rId28" cstate="print">
                      <a:extLst>
                        <a:ext uri="{28A0092B-C50C-407E-A947-70E740481C1C}">
                          <a14:useLocalDpi xmlns:a14="http://schemas.microsoft.com/office/drawing/2010/main" val="0"/>
                        </a:ext>
                      </a:extLst>
                    </a:blip>
                    <a:srcRect r="42532"/>
                    <a:stretch>
                      <a:fillRect/>
                    </a:stretch>
                  </pic:blipFill>
                  <pic:spPr>
                    <a:xfrm>
                      <a:off x="0" y="0"/>
                      <a:ext cx="2569845" cy="251269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3840" behindDoc="0" locked="0" layoutInCell="1" allowOverlap="1">
                <wp:simplePos x="0" y="0"/>
                <wp:positionH relativeFrom="column">
                  <wp:posOffset>3011805</wp:posOffset>
                </wp:positionH>
                <wp:positionV relativeFrom="paragraph">
                  <wp:posOffset>352425</wp:posOffset>
                </wp:positionV>
                <wp:extent cx="1952625" cy="352425"/>
                <wp:effectExtent l="0" t="0" r="0" b="0"/>
                <wp:wrapNone/>
                <wp:docPr id="203" name="Rectangle 157"/>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hint="eastAsia" w:ascii="Times New Roman" w:hAnsi="Times New Roman"/>
                                <w:b/>
                              </w:rPr>
                              <w:t>已建办公生活区</w:t>
                            </w:r>
                          </w:p>
                        </w:txbxContent>
                      </wps:txbx>
                      <wps:bodyPr rot="0" vert="horz" wrap="square" lIns="91440" tIns="45720" rIns="91440" bIns="45720" anchor="t" anchorCtr="0" upright="1">
                        <a:noAutofit/>
                      </wps:bodyPr>
                    </wps:wsp>
                  </a:graphicData>
                </a:graphic>
              </wp:anchor>
            </w:drawing>
          </mc:Choice>
          <mc:Fallback>
            <w:pict>
              <v:rect id="Rectangle 157" o:spid="_x0000_s1026" o:spt="1" style="position:absolute;left:0pt;margin-left:237.15pt;margin-top:27.75pt;height:27.75pt;width:153.75pt;z-index:251683840;mso-width-relative:page;mso-height-relative:page;" filled="f" stroked="f" coordsize="21600,21600" o:gfxdata="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ukgW9oAAAAKAQAADwAAAAAAAAABACAAAAAiAAAA&#10;ZHJzL2Rvd25yZXYueG1sUEsBAhQAFAAAAAgAh07iQNe9Bq0FAgAADwQAAA4AAAAAAAAAAQAgAAAA&#10;KQEAAGRycy9lMm9Eb2MueG1sUEsFBgAAAAAGAAYAWQEAAKAFAAAAAA==&#10;">
                <v:fill on="f" focussize="0,0"/>
                <v:stroke on="f"/>
                <v:imagedata o:title=""/>
                <o:lock v:ext="edit" aspectratio="f"/>
                <v:textbox>
                  <w:txbxContent>
                    <w:p>
                      <w:pPr>
                        <w:ind w:firstLine="482"/>
                        <w:rPr>
                          <w:rFonts w:ascii="Times New Roman" w:hAnsi="Times New Roman"/>
                          <w:b/>
                        </w:rPr>
                      </w:pPr>
                      <w:r>
                        <w:rPr>
                          <w:rFonts w:hint="eastAsia" w:ascii="Times New Roman" w:hAnsi="Times New Roman"/>
                          <w:b/>
                        </w:rPr>
                        <w:t>已建办公生活区</w:t>
                      </w:r>
                    </w:p>
                  </w:txbxContent>
                </v:textbox>
              </v:rect>
            </w:pict>
          </mc:Fallback>
        </mc:AlternateContent>
      </w:r>
      <w:r>
        <w:rPr>
          <w:rFonts w:ascii="Times New Roman" w:hAnsi="Times New Roman" w:eastAsia="黑体"/>
          <w:b/>
          <w:spacing w:val="40"/>
          <w:sz w:val="32"/>
          <w:szCs w:val="32"/>
        </w:rPr>
        <mc:AlternateContent>
          <mc:Choice Requires="wps">
            <w:drawing>
              <wp:anchor distT="0" distB="0" distL="114300" distR="114300" simplePos="0" relativeHeight="251682816" behindDoc="0" locked="0" layoutInCell="1" allowOverlap="1">
                <wp:simplePos x="0" y="0"/>
                <wp:positionH relativeFrom="column">
                  <wp:posOffset>449580</wp:posOffset>
                </wp:positionH>
                <wp:positionV relativeFrom="paragraph">
                  <wp:posOffset>352425</wp:posOffset>
                </wp:positionV>
                <wp:extent cx="1952625" cy="352425"/>
                <wp:effectExtent l="0" t="0" r="0" b="0"/>
                <wp:wrapNone/>
                <wp:docPr id="202" name="Rectangle 156"/>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ascii="Times New Roman" w:hAnsi="Times New Roman"/>
                                <w:b/>
                              </w:rPr>
                              <w:t>LX-</w:t>
                            </w:r>
                            <w:r>
                              <w:rPr>
                                <w:rFonts w:hint="eastAsia" w:ascii="Times New Roman" w:hAnsi="Times New Roman"/>
                                <w:b/>
                              </w:rPr>
                              <w:t>4</w:t>
                            </w:r>
                            <w:r>
                              <w:rPr>
                                <w:rFonts w:ascii="Times New Roman" w:hAnsi="Times New Roman"/>
                                <w:b/>
                              </w:rPr>
                              <w:t>井场</w:t>
                            </w:r>
                          </w:p>
                        </w:txbxContent>
                      </wps:txbx>
                      <wps:bodyPr rot="0" vert="horz" wrap="square" lIns="91440" tIns="45720" rIns="91440" bIns="45720" anchor="t" anchorCtr="0" upright="1">
                        <a:noAutofit/>
                      </wps:bodyPr>
                    </wps:wsp>
                  </a:graphicData>
                </a:graphic>
              </wp:anchor>
            </w:drawing>
          </mc:Choice>
          <mc:Fallback>
            <w:pict>
              <v:rect id="Rectangle 156" o:spid="_x0000_s1026" o:spt="1" style="position:absolute;left:0pt;margin-left:35.4pt;margin-top:27.75pt;height:27.75pt;width:153.75pt;z-index:251682816;mso-width-relative:page;mso-height-relative:page;" filled="f" stroked="f" coordsize="21600,21600" o:gfxdata="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&#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Xe49F2QAAAAkBAAAPAAAAAAAAAAEAIAAAACIAAABk&#10;cnMvZG93bnJldi54bWxQSwECFAAUAAAACACHTuJAV59GQwUCAAAPBAAADgAAAAAAAAABACAAAAAo&#10;AQAAZHJzL2Uyb0RvYy54bWxQSwUGAAAAAAYABgBZAQAAnwUAAAAA&#10;">
                <v:fill on="f" focussize="0,0"/>
                <v:stroke on="f"/>
                <v:imagedata o:title=""/>
                <o:lock v:ext="edit" aspectratio="f"/>
                <v:textbox>
                  <w:txbxContent>
                    <w:p>
                      <w:pPr>
                        <w:ind w:firstLine="482"/>
                        <w:rPr>
                          <w:rFonts w:ascii="Times New Roman" w:hAnsi="Times New Roman"/>
                          <w:b/>
                        </w:rPr>
                      </w:pPr>
                      <w:r>
                        <w:rPr>
                          <w:rFonts w:ascii="Times New Roman" w:hAnsi="Times New Roman"/>
                          <w:b/>
                        </w:rPr>
                        <w:t>LX-</w:t>
                      </w:r>
                      <w:r>
                        <w:rPr>
                          <w:rFonts w:hint="eastAsia" w:ascii="Times New Roman" w:hAnsi="Times New Roman"/>
                          <w:b/>
                        </w:rPr>
                        <w:t>4</w:t>
                      </w:r>
                      <w:r>
                        <w:rPr>
                          <w:rFonts w:ascii="Times New Roman" w:hAnsi="Times New Roman"/>
                          <w:b/>
                        </w:rPr>
                        <w:t>井场</w:t>
                      </w:r>
                    </w:p>
                  </w:txbxContent>
                </v:textbox>
              </v:rect>
            </w:pict>
          </mc:Fallback>
        </mc:AlternateConten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71552" behindDoc="0" locked="0" layoutInCell="1" allowOverlap="1">
            <wp:simplePos x="0" y="0"/>
            <wp:positionH relativeFrom="column">
              <wp:posOffset>131445</wp:posOffset>
            </wp:positionH>
            <wp:positionV relativeFrom="paragraph">
              <wp:posOffset>388620</wp:posOffset>
            </wp:positionV>
            <wp:extent cx="5278120" cy="2966085"/>
            <wp:effectExtent l="19050" t="19050" r="0" b="5715"/>
            <wp:wrapNone/>
            <wp:docPr id="96" name="图片 96" descr="E:\环评\项目\2018年\临兴先导试验项目5.3\现场照片\临时集气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环评\项目\2018年\临兴先导试验项目5.3\现场照片\临时集气站.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8120" cy="296608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4864" behindDoc="0" locked="0" layoutInCell="1" allowOverlap="1">
                <wp:simplePos x="0" y="0"/>
                <wp:positionH relativeFrom="column">
                  <wp:posOffset>1744980</wp:posOffset>
                </wp:positionH>
                <wp:positionV relativeFrom="paragraph">
                  <wp:posOffset>110490</wp:posOffset>
                </wp:positionV>
                <wp:extent cx="1952625" cy="352425"/>
                <wp:effectExtent l="0" t="0" r="0" b="0"/>
                <wp:wrapNone/>
                <wp:docPr id="201" name="Rectangle 158"/>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hint="eastAsia" w:ascii="Times New Roman" w:hAnsi="Times New Roman"/>
                                <w:b/>
                              </w:rPr>
                              <w:t>临时集气站</w:t>
                            </w:r>
                          </w:p>
                        </w:txbxContent>
                      </wps:txbx>
                      <wps:bodyPr rot="0" vert="horz" wrap="square" lIns="91440" tIns="45720" rIns="91440" bIns="45720" anchor="t" anchorCtr="0" upright="1">
                        <a:noAutofit/>
                      </wps:bodyPr>
                    </wps:wsp>
                  </a:graphicData>
                </a:graphic>
              </wp:anchor>
            </w:drawing>
          </mc:Choice>
          <mc:Fallback>
            <w:pict>
              <v:rect id="Rectangle 158" o:spid="_x0000_s1026" o:spt="1" style="position:absolute;left:0pt;margin-left:137.4pt;margin-top:8.7pt;height:27.75pt;width:153.75pt;z-index:251684864;mso-width-relative:page;mso-height-relative:page;" filled="f" stroked="f" coordsize="21600,21600" o:gfxdata="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WELAB2gAAAAkBAAAPAAAAAAAAAAEAIAAAACIAAABk&#10;cnMvZG93bnJldi54bWxQSwECFAAUAAAACACHTuJAOjn91AQCAAAPBAAADgAAAAAAAAABACAAAAAp&#10;AQAAZHJzL2Uyb0RvYy54bWxQSwUGAAAAAAYABgBZAQAAnwUAAAAA&#10;">
                <v:fill on="f" focussize="0,0"/>
                <v:stroke on="f"/>
                <v:imagedata o:title=""/>
                <o:lock v:ext="edit" aspectratio="f"/>
                <v:textbox>
                  <w:txbxContent>
                    <w:p>
                      <w:pPr>
                        <w:ind w:firstLine="482"/>
                        <w:rPr>
                          <w:rFonts w:ascii="Times New Roman" w:hAnsi="Times New Roman"/>
                          <w:b/>
                        </w:rPr>
                      </w:pPr>
                      <w:r>
                        <w:rPr>
                          <w:rFonts w:hint="eastAsia" w:ascii="Times New Roman" w:hAnsi="Times New Roman"/>
                          <w:b/>
                        </w:rPr>
                        <w:t>临时集气站</w:t>
                      </w:r>
                    </w:p>
                  </w:txbxContent>
                </v:textbox>
              </v:rect>
            </w:pict>
          </mc:Fallback>
        </mc:AlternateContent>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72576" behindDoc="0" locked="0" layoutInCell="1" allowOverlap="1">
            <wp:simplePos x="0" y="0"/>
            <wp:positionH relativeFrom="column">
              <wp:posOffset>131445</wp:posOffset>
            </wp:positionH>
            <wp:positionV relativeFrom="paragraph">
              <wp:posOffset>156210</wp:posOffset>
            </wp:positionV>
            <wp:extent cx="5278120" cy="2966085"/>
            <wp:effectExtent l="19050" t="19050" r="0" b="5715"/>
            <wp:wrapNone/>
            <wp:docPr id="97" name="图片 97" descr="E:\环评\项目\2018年\临兴先导试验项目5.3\现场照片\集气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E:\环评\项目\2018年\临兴先导试验项目5.3\现场照片\集气站.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8120" cy="296608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5888" behindDoc="0" locked="0" layoutInCell="1" allowOverlap="1">
                <wp:simplePos x="0" y="0"/>
                <wp:positionH relativeFrom="column">
                  <wp:posOffset>1697355</wp:posOffset>
                </wp:positionH>
                <wp:positionV relativeFrom="paragraph">
                  <wp:posOffset>661035</wp:posOffset>
                </wp:positionV>
                <wp:extent cx="1952625" cy="352425"/>
                <wp:effectExtent l="0" t="0" r="0" b="0"/>
                <wp:wrapNone/>
                <wp:docPr id="200" name="Rectangle 159"/>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hint="eastAsia" w:ascii="Times New Roman" w:hAnsi="Times New Roman"/>
                                <w:b/>
                              </w:rPr>
                              <w:t>新建集气站场址</w:t>
                            </w:r>
                          </w:p>
                        </w:txbxContent>
                      </wps:txbx>
                      <wps:bodyPr rot="0" vert="horz" wrap="square" lIns="91440" tIns="45720" rIns="91440" bIns="45720" anchor="t" anchorCtr="0" upright="1">
                        <a:noAutofit/>
                      </wps:bodyPr>
                    </wps:wsp>
                  </a:graphicData>
                </a:graphic>
              </wp:anchor>
            </w:drawing>
          </mc:Choice>
          <mc:Fallback>
            <w:pict>
              <v:rect id="Rectangle 159" o:spid="_x0000_s1026" o:spt="1" style="position:absolute;left:0pt;margin-left:133.65pt;margin-top:52.05pt;height:27.75pt;width:153.75pt;z-index:251685888;mso-width-relative:page;mso-height-relative:page;" filled="f" stroked="f" coordsize="21600,21600" o:gfxdata="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r/TYXcAAAACwEAAA8AAAAAAAAAAQAgAAAAIgAA&#10;AGRycy9kb3ducmV2LnhtbFBLAQIUABQAAAAIAIdO4kC6G706BAIAAA8EAAAOAAAAAAAAAAEAIAAA&#10;ACsBAABkcnMvZTJvRG9jLnhtbFBLBQYAAAAABgAGAFkBAAChBQAAAAA=&#10;">
                <v:fill on="f" focussize="0,0"/>
                <v:stroke on="f"/>
                <v:imagedata o:title=""/>
                <o:lock v:ext="edit" aspectratio="f"/>
                <v:textbox>
                  <w:txbxContent>
                    <w:p>
                      <w:pPr>
                        <w:ind w:firstLine="482"/>
                        <w:rPr>
                          <w:rFonts w:ascii="Times New Roman" w:hAnsi="Times New Roman"/>
                          <w:b/>
                        </w:rPr>
                      </w:pPr>
                      <w:r>
                        <w:rPr>
                          <w:rFonts w:hint="eastAsia" w:ascii="Times New Roman" w:hAnsi="Times New Roman"/>
                          <w:b/>
                        </w:rPr>
                        <w:t>新建集气站场址</w:t>
                      </w:r>
                    </w:p>
                  </w:txbxContent>
                </v:textbox>
              </v:rect>
            </w:pict>
          </mc:Fallback>
        </mc:AlternateContent>
      </w:r>
    </w:p>
    <w:p>
      <w:pPr>
        <w:ind w:firstLine="0" w:firstLineChars="0"/>
        <w:jc w:val="center"/>
        <w:rPr>
          <w:rFonts w:ascii="Times New Roman" w:hAnsi="Times New Roman" w:eastAsia="黑体"/>
          <w:b/>
          <w:spacing w:val="40"/>
          <w:sz w:val="32"/>
          <w:szCs w:val="32"/>
        </w:rPr>
      </w:pPr>
      <w:r>
        <w:rPr>
          <w:rFonts w:ascii="Times New Roman" w:hAnsi="Times New Roman" w:eastAsia="黑体"/>
          <w:b/>
          <w:spacing w:val="40"/>
          <w:sz w:val="32"/>
          <w:szCs w:val="32"/>
        </w:rPr>
        <w:drawing>
          <wp:inline distT="0" distB="0" distL="0" distR="0">
            <wp:extent cx="5193665" cy="3895725"/>
            <wp:effectExtent l="19050" t="19050" r="6985" b="0"/>
            <wp:docPr id="56" name="图片 56" descr="C:\Users\ADMINI~1\AppData\Local\Temp\WeChat Files\cb197763dbd83176a6eb3635434f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1\AppData\Local\Temp\WeChat Files\cb197763dbd83176a6eb3635434fdaf.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10682" cy="3908012"/>
                    </a:xfrm>
                    <a:prstGeom prst="rect">
                      <a:avLst/>
                    </a:prstGeom>
                    <a:noFill/>
                    <a:ln>
                      <a:solidFill>
                        <a:schemeClr val="tx1"/>
                      </a:solidFill>
                    </a:ln>
                  </pic:spPr>
                </pic:pic>
              </a:graphicData>
            </a:graphic>
          </wp:inline>
        </w:drawing>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6912" behindDoc="0" locked="0" layoutInCell="1" allowOverlap="1">
                <wp:simplePos x="0" y="0"/>
                <wp:positionH relativeFrom="column">
                  <wp:posOffset>1468755</wp:posOffset>
                </wp:positionH>
                <wp:positionV relativeFrom="paragraph">
                  <wp:posOffset>28575</wp:posOffset>
                </wp:positionV>
                <wp:extent cx="2438400" cy="352425"/>
                <wp:effectExtent l="0" t="0" r="0" b="0"/>
                <wp:wrapNone/>
                <wp:docPr id="199" name="Rectangle 160"/>
                <wp:cNvGraphicFramePr/>
                <a:graphic xmlns:a="http://schemas.openxmlformats.org/drawingml/2006/main">
                  <a:graphicData uri="http://schemas.microsoft.com/office/word/2010/wordprocessingShape">
                    <wps:wsp>
                      <wps:cNvSpPr>
                        <a:spLocks noChangeArrowheads="1"/>
                      </wps:cNvSpPr>
                      <wps:spPr bwMode="auto">
                        <a:xfrm>
                          <a:off x="0" y="0"/>
                          <a:ext cx="2438400" cy="352425"/>
                        </a:xfrm>
                        <a:prstGeom prst="rect">
                          <a:avLst/>
                        </a:prstGeom>
                        <a:noFill/>
                        <a:ln>
                          <a:noFill/>
                        </a:ln>
                      </wps:spPr>
                      <wps:txbx>
                        <w:txbxContent>
                          <w:p>
                            <w:pPr>
                              <w:ind w:firstLine="482"/>
                              <w:rPr>
                                <w:rFonts w:ascii="Times New Roman" w:hAnsi="Times New Roman"/>
                                <w:b/>
                              </w:rPr>
                            </w:pPr>
                            <w:r>
                              <w:rPr>
                                <w:rFonts w:ascii="Times New Roman" w:hAnsi="Times New Roman"/>
                                <w:b/>
                              </w:rPr>
                              <w:t>LX-10</w:t>
                            </w:r>
                            <w:r>
                              <w:rPr>
                                <w:rFonts w:hint="eastAsia" w:ascii="Times New Roman" w:hAnsi="Times New Roman"/>
                                <w:b/>
                              </w:rPr>
                              <w:t>3</w:t>
                            </w:r>
                            <w:r>
                              <w:rPr>
                                <w:rFonts w:ascii="Times New Roman" w:hAnsi="Times New Roman"/>
                                <w:b/>
                              </w:rPr>
                              <w:t>井场</w:t>
                            </w:r>
                            <w:r>
                              <w:rPr>
                                <w:rFonts w:hint="eastAsia" w:ascii="Times New Roman" w:hAnsi="Times New Roman"/>
                                <w:b/>
                              </w:rPr>
                              <w:t>采出水蒸发池</w:t>
                            </w:r>
                          </w:p>
                        </w:txbxContent>
                      </wps:txbx>
                      <wps:bodyPr rot="0" vert="horz" wrap="square" lIns="91440" tIns="45720" rIns="91440" bIns="45720" anchor="t" anchorCtr="0" upright="1">
                        <a:noAutofit/>
                      </wps:bodyPr>
                    </wps:wsp>
                  </a:graphicData>
                </a:graphic>
              </wp:anchor>
            </w:drawing>
          </mc:Choice>
          <mc:Fallback>
            <w:pict>
              <v:rect id="Rectangle 160" o:spid="_x0000_s1026" o:spt="1" style="position:absolute;left:0pt;margin-left:115.65pt;margin-top:2.25pt;height:27.75pt;width:192pt;z-index:251686912;mso-width-relative:page;mso-height-relative:page;" filled="f" stroked="f" coordsize="21600,21600" o:gfxdata="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QS8vLZAAAACAEAAA8AAAAAAAAAAQAgAAAAIgAA&#10;AGRycy9kb3ducmV2LnhtbFBLAQIUABQAAAAIAIdO4kC1COO7BwIAAA8EAAAOAAAAAAAAAAEAIAAA&#10;ACgBAABkcnMvZTJvRG9jLnhtbFBLBQYAAAAABgAGAFkBAAChBQAAAAA=&#10;">
                <v:fill on="f" focussize="0,0"/>
                <v:stroke on="f"/>
                <v:imagedata o:title=""/>
                <o:lock v:ext="edit" aspectratio="f"/>
                <v:textbox>
                  <w:txbxContent>
                    <w:p>
                      <w:pPr>
                        <w:ind w:firstLine="482"/>
                        <w:rPr>
                          <w:rFonts w:ascii="Times New Roman" w:hAnsi="Times New Roman"/>
                          <w:b/>
                        </w:rPr>
                      </w:pPr>
                      <w:r>
                        <w:rPr>
                          <w:rFonts w:ascii="Times New Roman" w:hAnsi="Times New Roman"/>
                          <w:b/>
                        </w:rPr>
                        <w:t>LX-10</w:t>
                      </w:r>
                      <w:r>
                        <w:rPr>
                          <w:rFonts w:hint="eastAsia" w:ascii="Times New Roman" w:hAnsi="Times New Roman"/>
                          <w:b/>
                        </w:rPr>
                        <w:t>3</w:t>
                      </w:r>
                      <w:r>
                        <w:rPr>
                          <w:rFonts w:ascii="Times New Roman" w:hAnsi="Times New Roman"/>
                          <w:b/>
                        </w:rPr>
                        <w:t>井场</w:t>
                      </w:r>
                      <w:r>
                        <w:rPr>
                          <w:rFonts w:hint="eastAsia" w:ascii="Times New Roman" w:hAnsi="Times New Roman"/>
                          <w:b/>
                        </w:rPr>
                        <w:t>采出水蒸发池</w:t>
                      </w:r>
                    </w:p>
                  </w:txbxContent>
                </v:textbox>
              </v:rect>
            </w:pict>
          </mc:Fallback>
        </mc:AlternateContent>
      </w:r>
    </w:p>
    <w:p>
      <w:pPr>
        <w:ind w:firstLine="197" w:firstLineChars="49"/>
        <w:jc w:val="center"/>
        <w:rPr>
          <w:rFonts w:ascii="Times New Roman" w:hAnsi="Times New Roman" w:eastAsia="黑体"/>
          <w:spacing w:val="40"/>
          <w:sz w:val="32"/>
          <w:szCs w:val="32"/>
        </w:rPr>
      </w:pPr>
      <w:r>
        <w:rPr>
          <w:rFonts w:ascii="Times New Roman" w:hAnsi="Times New Roman" w:eastAsia="黑体"/>
          <w:b/>
          <w:spacing w:val="40"/>
          <w:sz w:val="32"/>
          <w:szCs w:val="32"/>
        </w:rPr>
        <w:drawing>
          <wp:anchor distT="0" distB="0" distL="114300" distR="114300" simplePos="0" relativeHeight="251691008" behindDoc="0" locked="0" layoutInCell="1" allowOverlap="1">
            <wp:simplePos x="0" y="0"/>
            <wp:positionH relativeFrom="column">
              <wp:posOffset>0</wp:posOffset>
            </wp:positionH>
            <wp:positionV relativeFrom="paragraph">
              <wp:posOffset>18415</wp:posOffset>
            </wp:positionV>
            <wp:extent cx="5278120" cy="2966085"/>
            <wp:effectExtent l="19050" t="19050" r="0" b="5715"/>
            <wp:wrapNone/>
            <wp:docPr id="99" name="图片 99" descr="E:\环评\项目\2018年\临兴先导试验项目5.3\现场照片\拖把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E:\环评\项目\2018年\临兴先导试验项目5.3\现场照片\拖把站.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8120" cy="2966085"/>
                    </a:xfrm>
                    <a:prstGeom prst="rect">
                      <a:avLst/>
                    </a:prstGeom>
                    <a:noFill/>
                    <a:ln>
                      <a:solidFill>
                        <a:schemeClr val="tx1"/>
                      </a:solidFill>
                    </a:ln>
                  </pic:spPr>
                </pic:pic>
              </a:graphicData>
            </a:graphic>
          </wp:anchor>
        </w:drawing>
      </w:r>
    </w:p>
    <w:p>
      <w:pPr>
        <w:ind w:firstLine="197" w:firstLineChars="49"/>
        <w:jc w:val="center"/>
        <w:rPr>
          <w:rFonts w:ascii="Times New Roman" w:hAnsi="Times New Roman" w:eastAsia="黑体"/>
          <w:b/>
          <w:spacing w:val="40"/>
          <w:sz w:val="32"/>
          <w:szCs w:val="32"/>
        </w:rPr>
      </w:pPr>
      <w:r>
        <w:rPr>
          <w:rFonts w:ascii="Times New Roman" w:hAnsi="Times New Roman" w:eastAsia="黑体"/>
          <w:b/>
          <w:spacing w:val="40"/>
          <w:sz w:val="32"/>
          <w:szCs w:val="32"/>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2657475</wp:posOffset>
                </wp:positionV>
                <wp:extent cx="1952625" cy="352425"/>
                <wp:effectExtent l="0" t="0" r="0" b="9525"/>
                <wp:wrapNone/>
                <wp:docPr id="198" name="Rectangle 161"/>
                <wp:cNvGraphicFramePr/>
                <a:graphic xmlns:a="http://schemas.openxmlformats.org/drawingml/2006/main">
                  <a:graphicData uri="http://schemas.microsoft.com/office/word/2010/wordprocessingShape">
                    <wps:wsp>
                      <wps:cNvSpPr>
                        <a:spLocks noChangeArrowheads="1"/>
                      </wps:cNvSpPr>
                      <wps:spPr bwMode="auto">
                        <a:xfrm>
                          <a:off x="0" y="0"/>
                          <a:ext cx="1952625" cy="352425"/>
                        </a:xfrm>
                        <a:prstGeom prst="rect">
                          <a:avLst/>
                        </a:prstGeom>
                        <a:noFill/>
                        <a:ln>
                          <a:noFill/>
                        </a:ln>
                      </wps:spPr>
                      <wps:txbx>
                        <w:txbxContent>
                          <w:p>
                            <w:pPr>
                              <w:ind w:firstLine="482"/>
                              <w:rPr>
                                <w:rFonts w:ascii="Times New Roman" w:hAnsi="Times New Roman"/>
                                <w:b/>
                              </w:rPr>
                            </w:pPr>
                            <w:r>
                              <w:rPr>
                                <w:rFonts w:hint="eastAsia" w:ascii="Times New Roman" w:hAnsi="Times New Roman"/>
                                <w:b/>
                              </w:rPr>
                              <w:t>蒸发处理站中试设备</w:t>
                            </w:r>
                          </w:p>
                        </w:txbxContent>
                      </wps:txbx>
                      <wps:bodyPr rot="0" vert="horz" wrap="square" lIns="91440" tIns="45720" rIns="91440" bIns="45720" anchor="t" anchorCtr="0" upright="1">
                        <a:noAutofit/>
                      </wps:bodyPr>
                    </wps:wsp>
                  </a:graphicData>
                </a:graphic>
              </wp:anchor>
            </w:drawing>
          </mc:Choice>
          <mc:Fallback>
            <w:pict>
              <v:rect id="Rectangle 161" o:spid="_x0000_s1026" o:spt="1" style="position:absolute;left:0pt;margin-top:209.25pt;height:27.75pt;width:153.75pt;mso-position-horizontal:center;mso-position-horizontal-relative:margin;z-index:251687936;mso-width-relative:page;mso-height-relative:page;" filled="f" stroked="f" coordsize="21600,21600" o:gfxdata="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&#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zXq+/ZAAAACAEAAA8AAAAAAAAAAQAgAAAAIgAAAGRy&#10;cy9kb3ducmV2LnhtbFBLAQIUABQAAAAIAIdO4kAqRt53BAIAAA8EAAAOAAAAAAAAAAEAIAAAACgB&#10;AABkcnMvZTJvRG9jLnhtbFBLBQYAAAAABgAGAFkBAACeBQAAAAA=&#10;">
                <v:fill on="f" focussize="0,0"/>
                <v:stroke on="f"/>
                <v:imagedata o:title=""/>
                <o:lock v:ext="edit" aspectratio="f"/>
                <v:textbox>
                  <w:txbxContent>
                    <w:p>
                      <w:pPr>
                        <w:ind w:firstLine="482"/>
                        <w:rPr>
                          <w:rFonts w:ascii="Times New Roman" w:hAnsi="Times New Roman"/>
                          <w:b/>
                        </w:rPr>
                      </w:pPr>
                      <w:r>
                        <w:rPr>
                          <w:rFonts w:hint="eastAsia" w:ascii="Times New Roman" w:hAnsi="Times New Roman"/>
                          <w:b/>
                        </w:rPr>
                        <w:t>蒸发处理站中试设备</w:t>
                      </w:r>
                    </w:p>
                  </w:txbxContent>
                </v:textbox>
              </v:rect>
            </w:pict>
          </mc:Fallback>
        </mc:AlternateContent>
      </w:r>
      <w:r>
        <w:rPr>
          <w:rFonts w:ascii="Times New Roman" w:hAnsi="Times New Roman" w:eastAsia="黑体"/>
          <w:b/>
          <w:spacing w:val="40"/>
          <w:sz w:val="32"/>
          <w:szCs w:val="32"/>
        </w:rPr>
        <w:br w:type="page"/>
      </w:r>
    </w:p>
    <w:p>
      <w:pPr>
        <w:widowControl/>
        <w:spacing w:line="240" w:lineRule="atLeast"/>
        <w:ind w:firstLine="643"/>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92032" behindDoc="0" locked="0" layoutInCell="1" allowOverlap="1">
            <wp:simplePos x="0" y="0"/>
            <wp:positionH relativeFrom="column">
              <wp:posOffset>-1122045</wp:posOffset>
            </wp:positionH>
            <wp:positionV relativeFrom="paragraph">
              <wp:posOffset>-914400</wp:posOffset>
            </wp:positionV>
            <wp:extent cx="7553325" cy="10696575"/>
            <wp:effectExtent l="0" t="0" r="9525" b="9525"/>
            <wp:wrapNone/>
            <wp:docPr id="213" name="图片 213" descr="E:\环评\项目\2018年\临兴先导试验项目5.3\报告\临兴先导试验项目扩建工程环评报告书电子版\图片\2、专家意见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E:\环评\项目\2018年\临兴先导试验项目5.3\报告\临兴先导试验项目扩建工程环评报告书电子版\图片\2、专家意见_页面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7553325" cy="10696575"/>
                    </a:xfrm>
                    <a:prstGeom prst="rect">
                      <a:avLst/>
                    </a:prstGeom>
                    <a:noFill/>
                    <a:ln>
                      <a:noFill/>
                    </a:ln>
                  </pic:spPr>
                </pic:pic>
              </a:graphicData>
            </a:graphic>
          </wp:anchor>
        </w:drawing>
      </w:r>
      <w:r>
        <w:rPr>
          <w:rFonts w:ascii="Times New Roman" w:hAnsi="Times New Roman" w:eastAsia="黑体"/>
          <w:b/>
          <w:spacing w:val="40"/>
          <w:sz w:val="32"/>
          <w:szCs w:val="32"/>
        </w:rPr>
        <w:t xml:space="preserve"> </w:t>
      </w:r>
      <w:r>
        <w:rPr>
          <w:rFonts w:ascii="Times New Roman" w:hAnsi="Times New Roman" w:eastAsia="黑体"/>
          <w:b/>
          <w:spacing w:val="40"/>
          <w:sz w:val="32"/>
          <w:szCs w:val="32"/>
        </w:rPr>
        <w:br w:type="page"/>
      </w:r>
      <w:r>
        <w:rPr>
          <w:rFonts w:ascii="Times New Roman" w:hAnsi="Times New Roman" w:eastAsia="黑体"/>
          <w:b/>
          <w:spacing w:val="40"/>
          <w:sz w:val="32"/>
          <w:szCs w:val="32"/>
        </w:rPr>
        <w:drawing>
          <wp:anchor distT="0" distB="0" distL="114300" distR="114300" simplePos="0" relativeHeight="251693056" behindDoc="0" locked="0" layoutInCell="1" allowOverlap="1">
            <wp:simplePos x="0" y="0"/>
            <wp:positionH relativeFrom="column">
              <wp:posOffset>-1122045</wp:posOffset>
            </wp:positionH>
            <wp:positionV relativeFrom="paragraph">
              <wp:posOffset>-885825</wp:posOffset>
            </wp:positionV>
            <wp:extent cx="7505700" cy="10629265"/>
            <wp:effectExtent l="0" t="0" r="0" b="1270"/>
            <wp:wrapNone/>
            <wp:docPr id="214" name="图片 214" descr="E:\环评\项目\2018年\临兴先导试验项目5.3\报告\临兴先导试验项目扩建工程环评报告书电子版\图片\2、专家意见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E:\环评\项目\2018年\临兴先导试验项目5.3\报告\临兴先导试验项目扩建工程环评报告书电子版\图片\2、专家意见_页面_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7510179" cy="10635473"/>
                    </a:xfrm>
                    <a:prstGeom prst="rect">
                      <a:avLst/>
                    </a:prstGeom>
                    <a:noFill/>
                    <a:ln>
                      <a:noFill/>
                    </a:ln>
                  </pic:spPr>
                </pic:pic>
              </a:graphicData>
            </a:graphic>
          </wp:anchor>
        </w:drawing>
      </w:r>
      <w:r>
        <w:rPr>
          <w:rFonts w:ascii="Times New Roman" w:hAnsi="Times New Roman" w:eastAsia="黑体"/>
          <w:b/>
          <w:spacing w:val="40"/>
          <w:sz w:val="32"/>
          <w:szCs w:val="32"/>
        </w:rPr>
        <w:br w:type="page"/>
      </w:r>
    </w:p>
    <w:p>
      <w:pPr>
        <w:widowControl/>
        <w:spacing w:line="240" w:lineRule="atLeast"/>
        <w:ind w:firstLine="643"/>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94080" behindDoc="0" locked="0" layoutInCell="1" allowOverlap="1">
            <wp:simplePos x="0" y="0"/>
            <wp:positionH relativeFrom="page">
              <wp:align>left</wp:align>
            </wp:positionH>
            <wp:positionV relativeFrom="paragraph">
              <wp:posOffset>660400</wp:posOffset>
            </wp:positionV>
            <wp:extent cx="10631170" cy="7516495"/>
            <wp:effectExtent l="0" t="4763" r="0" b="0"/>
            <wp:wrapNone/>
            <wp:docPr id="215" name="图片 215" descr="E:\环评\项目\2018年\临兴先导试验项目5.3\报告\临兴先导试验项目扩建工程环评报告书电子版\图片\临兴区块先导试验项目扩建工程环境影响报告书修改说,1.14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E:\环评\项目\2018年\临兴先导试验项目5.3\报告\临兴先导试验项目扩建工程环评报告书电子版\图片\临兴区块先导试验项目扩建工程环境影响报告书修改说,1.14_页面_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rot="16200000">
                      <a:off x="0" y="0"/>
                      <a:ext cx="10631413" cy="7516779"/>
                    </a:xfrm>
                    <a:prstGeom prst="rect">
                      <a:avLst/>
                    </a:prstGeom>
                    <a:noFill/>
                    <a:ln>
                      <a:noFill/>
                    </a:ln>
                  </pic:spPr>
                </pic:pic>
              </a:graphicData>
            </a:graphic>
          </wp:anchor>
        </w:drawing>
      </w:r>
      <w:r>
        <w:rPr>
          <w:rFonts w:ascii="Times New Roman" w:hAnsi="Times New Roman" w:eastAsia="黑体"/>
          <w:b/>
          <w:spacing w:val="40"/>
          <w:sz w:val="32"/>
          <w:szCs w:val="32"/>
        </w:rPr>
        <w:br w:type="page"/>
      </w:r>
    </w:p>
    <w:p>
      <w:pPr>
        <w:widowControl/>
        <w:spacing w:line="240" w:lineRule="atLeast"/>
        <w:ind w:firstLine="643"/>
        <w:rPr>
          <w:rFonts w:ascii="Times New Roman" w:hAnsi="Times New Roman" w:eastAsia="黑体"/>
          <w:b/>
          <w:spacing w:val="40"/>
          <w:sz w:val="32"/>
          <w:szCs w:val="32"/>
        </w:rPr>
      </w:pPr>
      <w:r>
        <w:rPr>
          <w:rFonts w:ascii="Times New Roman" w:hAnsi="Times New Roman" w:eastAsia="黑体"/>
          <w:b/>
          <w:spacing w:val="40"/>
          <w:sz w:val="32"/>
          <w:szCs w:val="32"/>
        </w:rPr>
        <w:drawing>
          <wp:anchor distT="0" distB="0" distL="114300" distR="114300" simplePos="0" relativeHeight="251695104" behindDoc="0" locked="0" layoutInCell="1" allowOverlap="1">
            <wp:simplePos x="0" y="0"/>
            <wp:positionH relativeFrom="page">
              <wp:align>right</wp:align>
            </wp:positionH>
            <wp:positionV relativeFrom="paragraph">
              <wp:posOffset>633730</wp:posOffset>
            </wp:positionV>
            <wp:extent cx="10574020" cy="7476490"/>
            <wp:effectExtent l="6032" t="0" r="4763" b="4762"/>
            <wp:wrapNone/>
            <wp:docPr id="216" name="图片 216" descr="E:\环评\项目\2018年\临兴先导试验项目5.3\报告\临兴先导试验项目扩建工程环评报告书电子版\图片\临兴区块先导试验项目扩建工程环境影响报告书修改说,1.14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E:\环评\项目\2018年\临兴先导试验项目5.3\报告\临兴先导试验项目扩建工程环评报告书电子版\图片\临兴区块先导试验项目扩建工程环境影响报告书修改说,1.14_页面_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16200000">
                      <a:off x="0" y="0"/>
                      <a:ext cx="10574263" cy="7476372"/>
                    </a:xfrm>
                    <a:prstGeom prst="rect">
                      <a:avLst/>
                    </a:prstGeom>
                    <a:noFill/>
                    <a:ln>
                      <a:noFill/>
                    </a:ln>
                  </pic:spPr>
                </pic:pic>
              </a:graphicData>
            </a:graphic>
          </wp:anchor>
        </w:drawing>
      </w:r>
      <w:r>
        <w:rPr>
          <w:rFonts w:ascii="Times New Roman" w:hAnsi="Times New Roman" w:eastAsia="黑体"/>
          <w:b/>
          <w:spacing w:val="40"/>
          <w:sz w:val="32"/>
          <w:szCs w:val="32"/>
        </w:rPr>
        <w:br w:type="page"/>
      </w:r>
    </w:p>
    <w:p>
      <w:pPr>
        <w:ind w:firstLine="138" w:firstLineChars="49"/>
        <w:jc w:val="center"/>
        <w:rPr>
          <w:sz w:val="28"/>
          <w:szCs w:val="28"/>
        </w:rPr>
      </w:pPr>
      <w:r>
        <w:rPr>
          <w:rFonts w:asciiTheme="majorHAnsi" w:hAnsiTheme="majorHAnsi" w:eastAsiaTheme="majorEastAsia" w:cstheme="majorBidi"/>
          <w:b/>
          <w:bCs/>
          <w:kern w:val="0"/>
          <w:sz w:val="28"/>
          <w:szCs w:val="28"/>
          <w:lang w:val="zh-CN"/>
        </w:rPr>
        <w:fldChar w:fldCharType="begin"/>
      </w:r>
      <w:r>
        <w:rPr>
          <w:rFonts w:asciiTheme="majorHAnsi" w:hAnsiTheme="majorHAnsi" w:eastAsiaTheme="majorEastAsia" w:cstheme="majorBidi"/>
          <w:b/>
          <w:bCs/>
          <w:kern w:val="0"/>
          <w:sz w:val="28"/>
          <w:szCs w:val="28"/>
          <w:lang w:val="zh-CN"/>
        </w:rPr>
        <w:instrText xml:space="preserve"> TOC \o "1-3" \h \z \u </w:instrText>
      </w:r>
      <w:r>
        <w:rPr>
          <w:rFonts w:asciiTheme="majorHAnsi" w:hAnsiTheme="majorHAnsi" w:eastAsiaTheme="majorEastAsia" w:cstheme="majorBidi"/>
          <w:b/>
          <w:bCs/>
          <w:kern w:val="0"/>
          <w:sz w:val="28"/>
          <w:szCs w:val="28"/>
          <w:lang w:val="zh-CN"/>
        </w:rPr>
        <w:fldChar w:fldCharType="separate"/>
      </w:r>
    </w:p>
    <w:p>
      <w:pPr>
        <w:pStyle w:val="14"/>
        <w:rPr>
          <w:rStyle w:val="21"/>
          <w:color w:val="auto"/>
          <w:sz w:val="32"/>
          <w:szCs w:val="32"/>
          <w:u w:val="none"/>
        </w:rPr>
      </w:pPr>
      <w:r>
        <w:rPr>
          <w:rStyle w:val="21"/>
          <w:rFonts w:hint="eastAsia"/>
          <w:color w:val="auto"/>
          <w:sz w:val="32"/>
          <w:szCs w:val="32"/>
          <w:u w:val="none"/>
        </w:rPr>
        <w:t>目 录</w:t>
      </w:r>
    </w:p>
    <w:p>
      <w:pPr>
        <w:ind w:firstLine="560"/>
        <w:rPr>
          <w:sz w:val="28"/>
          <w:szCs w:val="28"/>
        </w:rPr>
      </w:pPr>
    </w:p>
    <w:p>
      <w:pPr>
        <w:pStyle w:val="14"/>
        <w:rPr>
          <w:kern w:val="2"/>
          <w:sz w:val="21"/>
        </w:rPr>
      </w:pPr>
      <w:r>
        <w:fldChar w:fldCharType="begin"/>
      </w:r>
      <w:r>
        <w:instrText xml:space="preserve"> HYPERLINK \l "_Toc524624537" </w:instrText>
      </w:r>
      <w:r>
        <w:fldChar w:fldCharType="separate"/>
      </w:r>
      <w:r>
        <w:rPr>
          <w:rStyle w:val="21"/>
          <w:color w:val="auto"/>
        </w:rPr>
        <w:t xml:space="preserve">1 </w:t>
      </w:r>
      <w:r>
        <w:rPr>
          <w:rStyle w:val="21"/>
          <w:rFonts w:hint="eastAsia"/>
          <w:color w:val="auto"/>
        </w:rPr>
        <w:t>概述</w:t>
      </w:r>
      <w:r>
        <w:tab/>
      </w:r>
      <w:r>
        <w:fldChar w:fldCharType="begin"/>
      </w:r>
      <w:r>
        <w:instrText xml:space="preserve"> PAGEREF _Toc524624537 \h </w:instrText>
      </w:r>
      <w:r>
        <w:fldChar w:fldCharType="separate"/>
      </w:r>
      <w:r>
        <w:t>1</w:t>
      </w:r>
      <w:r>
        <w:fldChar w:fldCharType="end"/>
      </w:r>
      <w:r>
        <w:fldChar w:fldCharType="end"/>
      </w:r>
    </w:p>
    <w:p>
      <w:pPr>
        <w:pStyle w:val="15"/>
        <w:tabs>
          <w:tab w:val="right" w:leader="dot" w:pos="8302"/>
        </w:tabs>
        <w:rPr>
          <w:kern w:val="2"/>
          <w:sz w:val="24"/>
          <w:szCs w:val="24"/>
        </w:rPr>
      </w:pPr>
      <w:r>
        <w:fldChar w:fldCharType="begin"/>
      </w:r>
      <w:r>
        <w:instrText xml:space="preserve"> HYPERLINK \l "_Toc524624538" </w:instrText>
      </w:r>
      <w:r>
        <w:fldChar w:fldCharType="separate"/>
      </w:r>
      <w:r>
        <w:rPr>
          <w:rStyle w:val="21"/>
          <w:rFonts w:ascii="Times New Roman" w:hAnsi="Times New Roman"/>
          <w:b/>
          <w:color w:val="auto"/>
          <w:sz w:val="24"/>
          <w:szCs w:val="24"/>
        </w:rPr>
        <w:t xml:space="preserve">1.1 </w:t>
      </w:r>
      <w:r>
        <w:rPr>
          <w:rStyle w:val="21"/>
          <w:rFonts w:hint="eastAsia" w:ascii="Times New Roman" w:hAnsi="Times New Roman"/>
          <w:b/>
          <w:color w:val="auto"/>
          <w:sz w:val="24"/>
          <w:szCs w:val="24"/>
        </w:rPr>
        <w:t>项目背景</w:t>
      </w:r>
      <w:r>
        <w:rPr>
          <w:sz w:val="24"/>
          <w:szCs w:val="24"/>
        </w:rPr>
        <w:tab/>
      </w:r>
      <w:r>
        <w:rPr>
          <w:sz w:val="24"/>
          <w:szCs w:val="24"/>
        </w:rPr>
        <w:fldChar w:fldCharType="begin"/>
      </w:r>
      <w:r>
        <w:rPr>
          <w:sz w:val="24"/>
          <w:szCs w:val="24"/>
        </w:rPr>
        <w:instrText xml:space="preserve"> PAGEREF _Toc524624538 \h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"_Toc524624539" </w:instrText>
      </w:r>
      <w:r>
        <w:fldChar w:fldCharType="separate"/>
      </w:r>
      <w:r>
        <w:rPr>
          <w:rStyle w:val="21"/>
          <w:rFonts w:ascii="Times New Roman" w:hAnsi="Times New Roman"/>
          <w:b/>
          <w:color w:val="auto"/>
          <w:sz w:val="24"/>
          <w:szCs w:val="24"/>
        </w:rPr>
        <w:t xml:space="preserve">1.2 </w:t>
      </w:r>
      <w:r>
        <w:rPr>
          <w:rStyle w:val="21"/>
          <w:rFonts w:hint="eastAsia" w:ascii="Times New Roman" w:hAnsi="Times New Roman"/>
          <w:b/>
          <w:color w:val="auto"/>
          <w:sz w:val="24"/>
          <w:szCs w:val="24"/>
        </w:rPr>
        <w:t>环境影响评价过程</w:t>
      </w:r>
      <w:r>
        <w:rPr>
          <w:sz w:val="24"/>
          <w:szCs w:val="24"/>
        </w:rPr>
        <w:tab/>
      </w:r>
      <w:r>
        <w:rPr>
          <w:sz w:val="24"/>
          <w:szCs w:val="24"/>
        </w:rPr>
        <w:fldChar w:fldCharType="begin"/>
      </w:r>
      <w:r>
        <w:rPr>
          <w:sz w:val="24"/>
          <w:szCs w:val="24"/>
        </w:rPr>
        <w:instrText xml:space="preserve"> PAGEREF _Toc524624539 \h </w:instrText>
      </w:r>
      <w:r>
        <w:rPr>
          <w:sz w:val="24"/>
          <w:szCs w:val="24"/>
        </w:rPr>
        <w:fldChar w:fldCharType="separate"/>
      </w:r>
      <w:r>
        <w:rPr>
          <w:sz w:val="24"/>
          <w:szCs w:val="24"/>
        </w:rPr>
        <w:t>2</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"_Toc524624540" </w:instrText>
      </w:r>
      <w:r>
        <w:fldChar w:fldCharType="separate"/>
      </w:r>
      <w:r>
        <w:rPr>
          <w:rStyle w:val="21"/>
          <w:rFonts w:ascii="Times New Roman" w:hAnsi="Times New Roman"/>
          <w:b/>
          <w:color w:val="auto"/>
          <w:sz w:val="24"/>
          <w:szCs w:val="24"/>
        </w:rPr>
        <w:t xml:space="preserve">1.3 </w:t>
      </w:r>
      <w:r>
        <w:rPr>
          <w:rStyle w:val="21"/>
          <w:rFonts w:hint="eastAsia" w:ascii="Times New Roman" w:hAnsi="Times New Roman"/>
          <w:b/>
          <w:color w:val="auto"/>
          <w:sz w:val="24"/>
          <w:szCs w:val="24"/>
        </w:rPr>
        <w:t>分析判定情况</w:t>
      </w:r>
      <w:r>
        <w:rPr>
          <w:sz w:val="24"/>
          <w:szCs w:val="24"/>
        </w:rPr>
        <w:tab/>
      </w:r>
      <w:r>
        <w:rPr>
          <w:sz w:val="24"/>
          <w:szCs w:val="24"/>
        </w:rPr>
        <w:fldChar w:fldCharType="begin"/>
      </w:r>
      <w:r>
        <w:rPr>
          <w:sz w:val="24"/>
          <w:szCs w:val="24"/>
        </w:rPr>
        <w:instrText xml:space="preserve"> PAGEREF _Toc524624540 \h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"_Toc524624541" </w:instrText>
      </w:r>
      <w:r>
        <w:fldChar w:fldCharType="separate"/>
      </w:r>
      <w:r>
        <w:rPr>
          <w:rStyle w:val="21"/>
          <w:rFonts w:ascii="Times New Roman" w:hAnsi="Times New Roman"/>
          <w:b/>
          <w:color w:val="auto"/>
          <w:sz w:val="24"/>
          <w:szCs w:val="24"/>
        </w:rPr>
        <w:t xml:space="preserve">1.4 </w:t>
      </w:r>
      <w:r>
        <w:rPr>
          <w:rStyle w:val="21"/>
          <w:rFonts w:hint="eastAsia" w:ascii="Times New Roman" w:hAnsi="Times New Roman"/>
          <w:b/>
          <w:color w:val="auto"/>
          <w:sz w:val="24"/>
          <w:szCs w:val="24"/>
        </w:rPr>
        <w:t>“三线一单”符合性分析</w:t>
      </w:r>
      <w:r>
        <w:rPr>
          <w:sz w:val="24"/>
          <w:szCs w:val="24"/>
        </w:rPr>
        <w:tab/>
      </w:r>
      <w:r>
        <w:rPr>
          <w:sz w:val="24"/>
          <w:szCs w:val="24"/>
        </w:rPr>
        <w:fldChar w:fldCharType="begin"/>
      </w:r>
      <w:r>
        <w:rPr>
          <w:sz w:val="24"/>
          <w:szCs w:val="24"/>
        </w:rPr>
        <w:instrText xml:space="preserve"> PAGEREF _Toc524624541 \h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"_Toc524624542" </w:instrText>
      </w:r>
      <w:r>
        <w:fldChar w:fldCharType="separate"/>
      </w:r>
      <w:r>
        <w:rPr>
          <w:rStyle w:val="21"/>
          <w:rFonts w:ascii="Times New Roman" w:hAnsi="Times New Roman"/>
          <w:b/>
          <w:color w:val="auto"/>
          <w:sz w:val="24"/>
          <w:szCs w:val="24"/>
        </w:rPr>
        <w:t>1.5</w:t>
      </w:r>
      <w:r>
        <w:rPr>
          <w:rStyle w:val="21"/>
          <w:rFonts w:hint="eastAsia" w:ascii="Times New Roman" w:hAnsi="Times New Roman"/>
          <w:b/>
          <w:color w:val="auto"/>
          <w:sz w:val="24"/>
          <w:szCs w:val="24"/>
        </w:rPr>
        <w:t>关注的环境问题及主要环境影响</w:t>
      </w:r>
      <w:r>
        <w:rPr>
          <w:sz w:val="24"/>
          <w:szCs w:val="24"/>
        </w:rPr>
        <w:tab/>
      </w:r>
      <w:r>
        <w:rPr>
          <w:sz w:val="24"/>
          <w:szCs w:val="24"/>
        </w:rPr>
        <w:fldChar w:fldCharType="begin"/>
      </w:r>
      <w:r>
        <w:rPr>
          <w:sz w:val="24"/>
          <w:szCs w:val="24"/>
        </w:rPr>
        <w:instrText xml:space="preserve"> PAGEREF _Toc524624542 \h </w:instrText>
      </w:r>
      <w:r>
        <w:rPr>
          <w:sz w:val="24"/>
          <w:szCs w:val="24"/>
        </w:rPr>
        <w:fldChar w:fldCharType="separate"/>
      </w:r>
      <w:r>
        <w:rPr>
          <w:sz w:val="24"/>
          <w:szCs w:val="24"/>
        </w:rPr>
        <w:t>5</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"_Toc524624543" </w:instrText>
      </w:r>
      <w:r>
        <w:fldChar w:fldCharType="separate"/>
      </w:r>
      <w:r>
        <w:rPr>
          <w:rStyle w:val="21"/>
          <w:rFonts w:ascii="Times New Roman" w:hAnsi="Times New Roman"/>
          <w:b/>
          <w:color w:val="auto"/>
          <w:sz w:val="24"/>
          <w:szCs w:val="24"/>
        </w:rPr>
        <w:t xml:space="preserve">1.6 </w:t>
      </w:r>
      <w:r>
        <w:rPr>
          <w:rStyle w:val="21"/>
          <w:rFonts w:hint="eastAsia" w:ascii="Times New Roman" w:hAnsi="Times New Roman"/>
          <w:b/>
          <w:color w:val="auto"/>
          <w:sz w:val="24"/>
          <w:szCs w:val="24"/>
        </w:rPr>
        <w:t>主要结论</w:t>
      </w:r>
      <w:r>
        <w:rPr>
          <w:sz w:val="24"/>
          <w:szCs w:val="24"/>
        </w:rPr>
        <w:tab/>
      </w:r>
      <w:r>
        <w:rPr>
          <w:sz w:val="24"/>
          <w:szCs w:val="24"/>
        </w:rPr>
        <w:fldChar w:fldCharType="begin"/>
      </w:r>
      <w:r>
        <w:rPr>
          <w:sz w:val="24"/>
          <w:szCs w:val="24"/>
        </w:rPr>
        <w:instrText xml:space="preserve"> PAGEREF _Toc524624543 \h </w:instrText>
      </w:r>
      <w:r>
        <w:rPr>
          <w:sz w:val="24"/>
          <w:szCs w:val="24"/>
        </w:rPr>
        <w:fldChar w:fldCharType="separate"/>
      </w:r>
      <w:r>
        <w:rPr>
          <w:sz w:val="24"/>
          <w:szCs w:val="24"/>
        </w:rPr>
        <w:t>5</w:t>
      </w:r>
      <w:r>
        <w:rPr>
          <w:sz w:val="24"/>
          <w:szCs w:val="24"/>
        </w:rPr>
        <w:fldChar w:fldCharType="end"/>
      </w:r>
      <w:r>
        <w:rPr>
          <w:sz w:val="24"/>
          <w:szCs w:val="24"/>
        </w:rPr>
        <w:fldChar w:fldCharType="end"/>
      </w:r>
    </w:p>
    <w:p>
      <w:pPr>
        <w:pStyle w:val="14"/>
        <w:rPr>
          <w:kern w:val="2"/>
        </w:rPr>
      </w:pPr>
      <w:r>
        <w:fldChar w:fldCharType="begin"/>
      </w:r>
      <w:r>
        <w:instrText xml:space="preserve"> HYPERLINK \l "_Toc524624544" </w:instrText>
      </w:r>
      <w:r>
        <w:fldChar w:fldCharType="separate"/>
      </w:r>
      <w:r>
        <w:rPr>
          <w:rStyle w:val="21"/>
          <w:color w:val="auto"/>
        </w:rPr>
        <w:t xml:space="preserve">2 </w:t>
      </w:r>
      <w:r>
        <w:rPr>
          <w:rStyle w:val="21"/>
          <w:rFonts w:hint="eastAsia"/>
          <w:color w:val="auto"/>
        </w:rPr>
        <w:t>总则</w:t>
      </w:r>
      <w:r>
        <w:tab/>
      </w:r>
      <w:r>
        <w:fldChar w:fldCharType="begin"/>
      </w:r>
      <w:r>
        <w:instrText xml:space="preserve"> PAGEREF _Toc524624544 \h </w:instrText>
      </w:r>
      <w:r>
        <w:fldChar w:fldCharType="separate"/>
      </w:r>
      <w:r>
        <w:t>6</w:t>
      </w:r>
      <w:r>
        <w:fldChar w:fldCharType="end"/>
      </w:r>
      <w:r>
        <w:fldChar w:fldCharType="end"/>
      </w:r>
    </w:p>
    <w:p>
      <w:pPr>
        <w:pStyle w:val="15"/>
        <w:tabs>
          <w:tab w:val="right" w:leader="dot" w:pos="8302"/>
        </w:tabs>
        <w:rPr>
          <w:kern w:val="2"/>
          <w:sz w:val="24"/>
          <w:szCs w:val="24"/>
        </w:rPr>
      </w:pPr>
      <w:r>
        <w:fldChar w:fldCharType="begin"/>
      </w:r>
      <w:r>
        <w:instrText xml:space="preserve"> HYPERLINK \l "_Toc524624545" </w:instrText>
      </w:r>
      <w:r>
        <w:fldChar w:fldCharType="separate"/>
      </w:r>
      <w:r>
        <w:rPr>
          <w:rStyle w:val="21"/>
          <w:rFonts w:ascii="Times New Roman" w:hAnsi="Times New Roman"/>
          <w:b/>
          <w:color w:val="auto"/>
          <w:sz w:val="24"/>
          <w:szCs w:val="24"/>
        </w:rPr>
        <w:t>2.1</w:t>
      </w:r>
      <w:r>
        <w:rPr>
          <w:rStyle w:val="21"/>
          <w:rFonts w:hint="eastAsia" w:ascii="Times New Roman" w:hAnsi="Times New Roman"/>
          <w:b/>
          <w:color w:val="auto"/>
          <w:sz w:val="24"/>
          <w:szCs w:val="24"/>
        </w:rPr>
        <w:t>编制依据</w:t>
      </w:r>
      <w:r>
        <w:rPr>
          <w:sz w:val="24"/>
          <w:szCs w:val="24"/>
        </w:rPr>
        <w:tab/>
      </w:r>
      <w:r>
        <w:rPr>
          <w:sz w:val="24"/>
          <w:szCs w:val="24"/>
        </w:rPr>
        <w:fldChar w:fldCharType="begin"/>
      </w:r>
      <w:r>
        <w:rPr>
          <w:sz w:val="24"/>
          <w:szCs w:val="24"/>
        </w:rPr>
        <w:instrText xml:space="preserve"> PAGEREF _Toc524624545 \h </w:instrText>
      </w:r>
      <w:r>
        <w:rPr>
          <w:sz w:val="24"/>
          <w:szCs w:val="24"/>
        </w:rPr>
        <w:fldChar w:fldCharType="separate"/>
      </w:r>
      <w:r>
        <w:rPr>
          <w:sz w:val="24"/>
          <w:szCs w:val="24"/>
        </w:rPr>
        <w:t>6</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"_Toc524624546" </w:instrText>
      </w:r>
      <w:r>
        <w:fldChar w:fldCharType="separate"/>
      </w:r>
      <w:r>
        <w:rPr>
          <w:rStyle w:val="21"/>
          <w:rFonts w:ascii="Times New Roman" w:hAnsi="Times New Roman"/>
          <w:b/>
          <w:color w:val="auto"/>
          <w:sz w:val="24"/>
          <w:szCs w:val="24"/>
        </w:rPr>
        <w:t xml:space="preserve">2.1.1 </w:t>
      </w:r>
      <w:r>
        <w:rPr>
          <w:rStyle w:val="21"/>
          <w:rFonts w:hint="eastAsia" w:ascii="Times New Roman"/>
          <w:b/>
          <w:color w:val="auto"/>
          <w:sz w:val="24"/>
          <w:szCs w:val="24"/>
        </w:rPr>
        <w:t>项目依据</w:t>
      </w:r>
      <w:r>
        <w:rPr>
          <w:sz w:val="24"/>
          <w:szCs w:val="24"/>
        </w:rPr>
        <w:tab/>
      </w:r>
      <w:r>
        <w:rPr>
          <w:sz w:val="24"/>
          <w:szCs w:val="24"/>
        </w:rPr>
        <w:fldChar w:fldCharType="begin"/>
      </w:r>
      <w:r>
        <w:rPr>
          <w:sz w:val="24"/>
          <w:szCs w:val="24"/>
        </w:rPr>
        <w:instrText xml:space="preserve"> PAGEREF _Toc524624546 \h </w:instrText>
      </w:r>
      <w:r>
        <w:rPr>
          <w:sz w:val="24"/>
          <w:szCs w:val="24"/>
        </w:rPr>
        <w:fldChar w:fldCharType="separate"/>
      </w:r>
      <w:r>
        <w:rPr>
          <w:sz w:val="24"/>
          <w:szCs w:val="24"/>
        </w:rPr>
        <w:t>6</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"_Toc524624547" </w:instrText>
      </w:r>
      <w:r>
        <w:fldChar w:fldCharType="separate"/>
      </w:r>
      <w:r>
        <w:rPr>
          <w:rStyle w:val="21"/>
          <w:rFonts w:ascii="Times New Roman" w:hAnsi="Times New Roman"/>
          <w:b/>
          <w:color w:val="auto"/>
          <w:sz w:val="24"/>
          <w:szCs w:val="24"/>
        </w:rPr>
        <w:t xml:space="preserve">2.1.2 </w:t>
      </w:r>
      <w:r>
        <w:rPr>
          <w:rStyle w:val="21"/>
          <w:rFonts w:hint="eastAsia" w:ascii="Times New Roman" w:hAnsi="Times New Roman"/>
          <w:b/>
          <w:color w:val="auto"/>
          <w:sz w:val="24"/>
          <w:szCs w:val="24"/>
        </w:rPr>
        <w:t>国家法律法规及政策依据</w:t>
      </w:r>
      <w:r>
        <w:rPr>
          <w:sz w:val="24"/>
          <w:szCs w:val="24"/>
        </w:rPr>
        <w:tab/>
      </w:r>
      <w:r>
        <w:rPr>
          <w:sz w:val="24"/>
          <w:szCs w:val="24"/>
        </w:rPr>
        <w:fldChar w:fldCharType="begin"/>
      </w:r>
      <w:r>
        <w:rPr>
          <w:sz w:val="24"/>
          <w:szCs w:val="24"/>
        </w:rPr>
        <w:instrText xml:space="preserve"> PAGEREF _Toc524624547 \h </w:instrText>
      </w:r>
      <w:r>
        <w:rPr>
          <w:sz w:val="24"/>
          <w:szCs w:val="24"/>
        </w:rPr>
        <w:fldChar w:fldCharType="separate"/>
      </w:r>
      <w:r>
        <w:rPr>
          <w:sz w:val="24"/>
          <w:szCs w:val="24"/>
        </w:rPr>
        <w:t>6</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"_Toc524624548" </w:instrText>
      </w:r>
      <w:r>
        <w:fldChar w:fldCharType="separate"/>
      </w:r>
      <w:r>
        <w:rPr>
          <w:rStyle w:val="21"/>
          <w:rFonts w:ascii="Times New Roman" w:hAnsi="Times New Roman"/>
          <w:b/>
          <w:color w:val="auto"/>
          <w:sz w:val="24"/>
          <w:szCs w:val="24"/>
        </w:rPr>
        <w:t>2.1.3</w:t>
      </w:r>
      <w:r>
        <w:rPr>
          <w:rStyle w:val="21"/>
          <w:rFonts w:hint="eastAsia" w:ascii="Times New Roman" w:hAnsi="Times New Roman"/>
          <w:b/>
          <w:color w:val="auto"/>
          <w:sz w:val="24"/>
          <w:szCs w:val="24"/>
        </w:rPr>
        <w:t>地方法规文件依据</w:t>
      </w:r>
      <w:r>
        <w:rPr>
          <w:sz w:val="24"/>
          <w:szCs w:val="24"/>
        </w:rPr>
        <w:tab/>
      </w:r>
      <w:r>
        <w:rPr>
          <w:sz w:val="24"/>
          <w:szCs w:val="24"/>
        </w:rPr>
        <w:fldChar w:fldCharType="begin"/>
      </w:r>
      <w:r>
        <w:rPr>
          <w:sz w:val="24"/>
          <w:szCs w:val="24"/>
        </w:rPr>
        <w:instrText xml:space="preserve"> PAGEREF _Toc524624548 \h </w:instrText>
      </w:r>
      <w:r>
        <w:rPr>
          <w:sz w:val="24"/>
          <w:szCs w:val="24"/>
        </w:rPr>
        <w:fldChar w:fldCharType="separate"/>
      </w:r>
      <w:r>
        <w:rPr>
          <w:sz w:val="24"/>
          <w:szCs w:val="24"/>
        </w:rPr>
        <w:t>7</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"_Toc524624549" </w:instrText>
      </w:r>
      <w:r>
        <w:fldChar w:fldCharType="separate"/>
      </w:r>
      <w:r>
        <w:rPr>
          <w:rStyle w:val="21"/>
          <w:rFonts w:ascii="Times New Roman" w:hAnsi="Times New Roman"/>
          <w:b/>
          <w:color w:val="auto"/>
          <w:sz w:val="24"/>
          <w:szCs w:val="24"/>
        </w:rPr>
        <w:t xml:space="preserve">2.1.4 </w:t>
      </w:r>
      <w:r>
        <w:rPr>
          <w:rStyle w:val="21"/>
          <w:rFonts w:hint="eastAsia" w:ascii="Times New Roman" w:hAnsi="Times New Roman"/>
          <w:b/>
          <w:color w:val="auto"/>
          <w:sz w:val="24"/>
          <w:szCs w:val="24"/>
        </w:rPr>
        <w:t>技术依据</w:t>
      </w:r>
      <w:r>
        <w:rPr>
          <w:sz w:val="24"/>
          <w:szCs w:val="24"/>
        </w:rPr>
        <w:tab/>
      </w:r>
      <w:r>
        <w:rPr>
          <w:sz w:val="24"/>
          <w:szCs w:val="24"/>
        </w:rPr>
        <w:fldChar w:fldCharType="begin"/>
      </w:r>
      <w:r>
        <w:rPr>
          <w:sz w:val="24"/>
          <w:szCs w:val="24"/>
        </w:rPr>
        <w:instrText xml:space="preserve"> PAGEREF _Toc524624549 \h </w:instrText>
      </w:r>
      <w:r>
        <w:rPr>
          <w:sz w:val="24"/>
          <w:szCs w:val="24"/>
        </w:rPr>
        <w:fldChar w:fldCharType="separate"/>
      </w:r>
      <w:r>
        <w:rPr>
          <w:sz w:val="24"/>
          <w:szCs w:val="24"/>
        </w:rPr>
        <w:t>7</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"_Toc524624550" </w:instrText>
      </w:r>
      <w:r>
        <w:fldChar w:fldCharType="separate"/>
      </w:r>
      <w:r>
        <w:rPr>
          <w:rStyle w:val="21"/>
          <w:rFonts w:ascii="Times New Roman" w:hAnsi="Times New Roman"/>
          <w:b/>
          <w:color w:val="auto"/>
          <w:sz w:val="24"/>
          <w:szCs w:val="24"/>
        </w:rPr>
        <w:t xml:space="preserve">2.1.5 </w:t>
      </w:r>
      <w:r>
        <w:rPr>
          <w:rStyle w:val="21"/>
          <w:rFonts w:hint="eastAsia" w:ascii="Times New Roman" w:hAnsi="Times New Roman"/>
          <w:b/>
          <w:color w:val="auto"/>
          <w:sz w:val="24"/>
          <w:szCs w:val="24"/>
        </w:rPr>
        <w:t>参考资料</w:t>
      </w:r>
      <w:r>
        <w:rPr>
          <w:sz w:val="24"/>
          <w:szCs w:val="24"/>
        </w:rPr>
        <w:tab/>
      </w:r>
      <w:r>
        <w:rPr>
          <w:sz w:val="24"/>
          <w:szCs w:val="24"/>
        </w:rPr>
        <w:fldChar w:fldCharType="begin"/>
      </w:r>
      <w:r>
        <w:rPr>
          <w:sz w:val="24"/>
          <w:szCs w:val="24"/>
        </w:rPr>
        <w:instrText xml:space="preserve"> PAGEREF _Toc524624550 \h </w:instrText>
      </w:r>
      <w:r>
        <w:rPr>
          <w:sz w:val="24"/>
          <w:szCs w:val="24"/>
        </w:rPr>
        <w:fldChar w:fldCharType="separate"/>
      </w:r>
      <w:r>
        <w:rPr>
          <w:sz w:val="24"/>
          <w:szCs w:val="24"/>
        </w:rPr>
        <w:t>8</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"_Toc524624551" </w:instrText>
      </w:r>
      <w:r>
        <w:fldChar w:fldCharType="separate"/>
      </w:r>
      <w:r>
        <w:rPr>
          <w:rStyle w:val="21"/>
          <w:rFonts w:ascii="Times New Roman" w:hAnsi="Times New Roman"/>
          <w:b/>
          <w:color w:val="auto"/>
          <w:sz w:val="24"/>
          <w:szCs w:val="24"/>
        </w:rPr>
        <w:t>2.2</w:t>
      </w:r>
      <w:r>
        <w:rPr>
          <w:rStyle w:val="21"/>
          <w:rFonts w:hint="eastAsia" w:ascii="Times New Roman" w:hAnsi="Times New Roman"/>
          <w:b/>
          <w:color w:val="auto"/>
          <w:sz w:val="24"/>
          <w:szCs w:val="24"/>
        </w:rPr>
        <w:t>评价目的和原则</w:t>
      </w:r>
      <w:r>
        <w:rPr>
          <w:sz w:val="24"/>
          <w:szCs w:val="24"/>
        </w:rPr>
        <w:tab/>
      </w:r>
      <w:r>
        <w:rPr>
          <w:sz w:val="24"/>
          <w:szCs w:val="24"/>
        </w:rPr>
        <w:fldChar w:fldCharType="begin"/>
      </w:r>
      <w:r>
        <w:rPr>
          <w:sz w:val="24"/>
          <w:szCs w:val="24"/>
        </w:rPr>
        <w:instrText xml:space="preserve"> PAGEREF _Toc524624551 \h </w:instrText>
      </w:r>
      <w:r>
        <w:rPr>
          <w:sz w:val="24"/>
          <w:szCs w:val="24"/>
        </w:rPr>
        <w:fldChar w:fldCharType="separate"/>
      </w:r>
      <w:r>
        <w:rPr>
          <w:sz w:val="24"/>
          <w:szCs w:val="24"/>
        </w:rPr>
        <w:t>8</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"_Toc524624552" </w:instrText>
      </w:r>
      <w:r>
        <w:fldChar w:fldCharType="separate"/>
      </w:r>
      <w:r>
        <w:rPr>
          <w:rStyle w:val="21"/>
          <w:rFonts w:ascii="Times New Roman" w:hAnsi="Times New Roman"/>
          <w:b/>
          <w:color w:val="auto"/>
          <w:sz w:val="24"/>
          <w:szCs w:val="24"/>
        </w:rPr>
        <w:t xml:space="preserve">2.2.1 </w:t>
      </w:r>
      <w:r>
        <w:rPr>
          <w:rStyle w:val="21"/>
          <w:rFonts w:hint="eastAsia" w:ascii="Times New Roman" w:hAnsi="Times New Roman"/>
          <w:b/>
          <w:color w:val="auto"/>
          <w:sz w:val="24"/>
          <w:szCs w:val="24"/>
        </w:rPr>
        <w:t>评价目的</w:t>
      </w:r>
      <w:r>
        <w:rPr>
          <w:sz w:val="24"/>
          <w:szCs w:val="24"/>
        </w:rPr>
        <w:tab/>
      </w:r>
      <w:r>
        <w:rPr>
          <w:sz w:val="24"/>
          <w:szCs w:val="24"/>
        </w:rPr>
        <w:fldChar w:fldCharType="begin"/>
      </w:r>
      <w:r>
        <w:rPr>
          <w:sz w:val="24"/>
          <w:szCs w:val="24"/>
        </w:rPr>
        <w:instrText xml:space="preserve"> PAGEREF _Toc524624552 \h </w:instrText>
      </w:r>
      <w:r>
        <w:rPr>
          <w:sz w:val="24"/>
          <w:szCs w:val="24"/>
        </w:rPr>
        <w:fldChar w:fldCharType="separate"/>
      </w:r>
      <w:r>
        <w:rPr>
          <w:sz w:val="24"/>
          <w:szCs w:val="24"/>
        </w:rPr>
        <w:t>8</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"_Toc524624553" </w:instrText>
      </w:r>
      <w:r>
        <w:fldChar w:fldCharType="separate"/>
      </w:r>
      <w:r>
        <w:rPr>
          <w:rStyle w:val="21"/>
          <w:rFonts w:ascii="Times New Roman" w:hAnsi="Times New Roman"/>
          <w:b/>
          <w:color w:val="auto"/>
          <w:sz w:val="24"/>
          <w:szCs w:val="24"/>
        </w:rPr>
        <w:t xml:space="preserve">2.2.2 </w:t>
      </w:r>
      <w:r>
        <w:rPr>
          <w:rStyle w:val="21"/>
          <w:rFonts w:hint="eastAsia" w:ascii="Times New Roman" w:hAnsi="Times New Roman"/>
          <w:b/>
          <w:color w:val="auto"/>
          <w:sz w:val="24"/>
          <w:szCs w:val="24"/>
        </w:rPr>
        <w:t>评价原则</w:t>
      </w:r>
      <w:r>
        <w:rPr>
          <w:sz w:val="24"/>
          <w:szCs w:val="24"/>
        </w:rPr>
        <w:tab/>
      </w:r>
      <w:r>
        <w:rPr>
          <w:sz w:val="24"/>
          <w:szCs w:val="24"/>
        </w:rPr>
        <w:fldChar w:fldCharType="begin"/>
      </w:r>
      <w:r>
        <w:rPr>
          <w:sz w:val="24"/>
          <w:szCs w:val="24"/>
        </w:rPr>
        <w:instrText xml:space="preserve"> PAGEREF _Toc524624553 \h </w:instrText>
      </w:r>
      <w:r>
        <w:rPr>
          <w:sz w:val="24"/>
          <w:szCs w:val="24"/>
        </w:rPr>
        <w:fldChar w:fldCharType="separate"/>
      </w:r>
      <w:r>
        <w:rPr>
          <w:sz w:val="24"/>
          <w:szCs w:val="24"/>
        </w:rPr>
        <w:t>9</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"_Toc524624554" </w:instrText>
      </w:r>
      <w:r>
        <w:fldChar w:fldCharType="separate"/>
      </w:r>
      <w:r>
        <w:rPr>
          <w:rStyle w:val="21"/>
          <w:rFonts w:ascii="Times New Roman" w:hAnsi="Times New Roman"/>
          <w:b/>
          <w:color w:val="auto"/>
          <w:sz w:val="24"/>
          <w:szCs w:val="24"/>
        </w:rPr>
        <w:t>2.3</w:t>
      </w:r>
      <w:r>
        <w:rPr>
          <w:rStyle w:val="21"/>
          <w:rFonts w:hint="eastAsia" w:ascii="Times New Roman" w:hAnsi="Times New Roman"/>
          <w:b/>
          <w:color w:val="auto"/>
          <w:sz w:val="24"/>
          <w:szCs w:val="24"/>
        </w:rPr>
        <w:t>环境影响因素的识别和评价因子筛选</w:t>
      </w:r>
      <w:r>
        <w:rPr>
          <w:sz w:val="24"/>
          <w:szCs w:val="24"/>
        </w:rPr>
        <w:tab/>
      </w:r>
      <w:r>
        <w:rPr>
          <w:sz w:val="24"/>
          <w:szCs w:val="24"/>
        </w:rPr>
        <w:fldChar w:fldCharType="begin"/>
      </w:r>
      <w:r>
        <w:rPr>
          <w:sz w:val="24"/>
          <w:szCs w:val="24"/>
        </w:rPr>
        <w:instrText xml:space="preserve"> PAGEREF _Toc524624554 \h </w:instrText>
      </w:r>
      <w:r>
        <w:rPr>
          <w:sz w:val="24"/>
          <w:szCs w:val="24"/>
        </w:rPr>
        <w:fldChar w:fldCharType="separate"/>
      </w:r>
      <w:r>
        <w:rPr>
          <w:sz w:val="24"/>
          <w:szCs w:val="24"/>
        </w:rPr>
        <w:t>9</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"_Toc524624555" </w:instrText>
      </w:r>
      <w:r>
        <w:fldChar w:fldCharType="separate"/>
      </w:r>
      <w:r>
        <w:rPr>
          <w:rStyle w:val="21"/>
          <w:rFonts w:ascii="Times New Roman" w:hAnsi="Times New Roman"/>
          <w:b/>
          <w:color w:val="auto"/>
          <w:sz w:val="24"/>
          <w:szCs w:val="24"/>
        </w:rPr>
        <w:t xml:space="preserve">2.3.1 </w:t>
      </w:r>
      <w:r>
        <w:rPr>
          <w:rStyle w:val="21"/>
          <w:rFonts w:hint="eastAsia" w:ascii="Times New Roman" w:hAnsi="Times New Roman"/>
          <w:b/>
          <w:color w:val="auto"/>
          <w:sz w:val="24"/>
          <w:szCs w:val="24"/>
        </w:rPr>
        <w:t>环境影响因素识别</w:t>
      </w:r>
      <w:r>
        <w:rPr>
          <w:sz w:val="24"/>
          <w:szCs w:val="24"/>
        </w:rPr>
        <w:tab/>
      </w:r>
      <w:r>
        <w:rPr>
          <w:sz w:val="24"/>
          <w:szCs w:val="24"/>
        </w:rPr>
        <w:fldChar w:fldCharType="begin"/>
      </w:r>
      <w:r>
        <w:rPr>
          <w:sz w:val="24"/>
          <w:szCs w:val="24"/>
        </w:rPr>
        <w:instrText xml:space="preserve"> PAGEREF _Toc524624555 \h </w:instrText>
      </w:r>
      <w:r>
        <w:rPr>
          <w:sz w:val="24"/>
          <w:szCs w:val="24"/>
        </w:rPr>
        <w:fldChar w:fldCharType="separate"/>
      </w:r>
      <w:r>
        <w:rPr>
          <w:sz w:val="24"/>
          <w:szCs w:val="24"/>
        </w:rPr>
        <w:t>9</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"_Toc524624556" </w:instrText>
      </w:r>
      <w:r>
        <w:fldChar w:fldCharType="separate"/>
      </w:r>
      <w:r>
        <w:rPr>
          <w:rStyle w:val="21"/>
          <w:rFonts w:ascii="Times New Roman" w:hAnsi="Times New Roman"/>
          <w:b/>
          <w:color w:val="auto"/>
          <w:sz w:val="24"/>
          <w:szCs w:val="24"/>
        </w:rPr>
        <w:t xml:space="preserve">2.3.2 </w:t>
      </w:r>
      <w:r>
        <w:rPr>
          <w:rStyle w:val="21"/>
          <w:rFonts w:hint="eastAsia" w:ascii="Times New Roman" w:hAnsi="Times New Roman"/>
          <w:b/>
          <w:color w:val="auto"/>
          <w:sz w:val="24"/>
          <w:szCs w:val="24"/>
        </w:rPr>
        <w:t>评价因子筛选</w:t>
      </w:r>
      <w:r>
        <w:rPr>
          <w:sz w:val="24"/>
          <w:szCs w:val="24"/>
        </w:rPr>
        <w:tab/>
      </w:r>
      <w:r>
        <w:rPr>
          <w:sz w:val="24"/>
          <w:szCs w:val="24"/>
        </w:rPr>
        <w:fldChar w:fldCharType="begin"/>
      </w:r>
      <w:r>
        <w:rPr>
          <w:sz w:val="24"/>
          <w:szCs w:val="24"/>
        </w:rPr>
        <w:instrText xml:space="preserve"> PAGEREF _Toc524624556 \h </w:instrText>
      </w:r>
      <w:r>
        <w:rPr>
          <w:sz w:val="24"/>
          <w:szCs w:val="24"/>
        </w:rPr>
        <w:fldChar w:fldCharType="separate"/>
      </w:r>
      <w:r>
        <w:rPr>
          <w:sz w:val="24"/>
          <w:szCs w:val="24"/>
        </w:rPr>
        <w:t>10</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"_Toc524624557" </w:instrText>
      </w:r>
      <w:r>
        <w:fldChar w:fldCharType="separate"/>
      </w:r>
      <w:r>
        <w:rPr>
          <w:rStyle w:val="21"/>
          <w:rFonts w:ascii="Times New Roman" w:hAnsi="Times New Roman"/>
          <w:b/>
          <w:color w:val="auto"/>
          <w:sz w:val="24"/>
          <w:szCs w:val="24"/>
        </w:rPr>
        <w:t>2.4</w:t>
      </w:r>
      <w:r>
        <w:rPr>
          <w:rStyle w:val="21"/>
          <w:rFonts w:hint="eastAsia" w:ascii="Times New Roman" w:hAnsi="Times New Roman"/>
          <w:b/>
          <w:color w:val="auto"/>
          <w:sz w:val="24"/>
          <w:szCs w:val="24"/>
        </w:rPr>
        <w:t>环境功能区划及评价标准</w:t>
      </w:r>
      <w:r>
        <w:rPr>
          <w:sz w:val="24"/>
          <w:szCs w:val="24"/>
        </w:rPr>
        <w:tab/>
      </w:r>
      <w:r>
        <w:rPr>
          <w:sz w:val="24"/>
          <w:szCs w:val="24"/>
        </w:rPr>
        <w:fldChar w:fldCharType="begin"/>
      </w:r>
      <w:r>
        <w:rPr>
          <w:sz w:val="24"/>
          <w:szCs w:val="24"/>
        </w:rPr>
        <w:instrText xml:space="preserve"> PAGEREF _Toc524624557 \h </w:instrText>
      </w:r>
      <w:r>
        <w:rPr>
          <w:sz w:val="24"/>
          <w:szCs w:val="24"/>
        </w:rPr>
        <w:fldChar w:fldCharType="separate"/>
      </w:r>
      <w:r>
        <w:rPr>
          <w:sz w:val="24"/>
          <w:szCs w:val="24"/>
        </w:rPr>
        <w:t>11</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"_Toc524624558" </w:instrText>
      </w:r>
      <w:r>
        <w:fldChar w:fldCharType="separate"/>
      </w:r>
      <w:r>
        <w:rPr>
          <w:rStyle w:val="21"/>
          <w:rFonts w:ascii="Times New Roman" w:hAnsi="Times New Roman"/>
          <w:b/>
          <w:color w:val="auto"/>
          <w:sz w:val="24"/>
          <w:szCs w:val="24"/>
        </w:rPr>
        <w:t xml:space="preserve">2.4.1 </w:t>
      </w:r>
      <w:r>
        <w:rPr>
          <w:rStyle w:val="21"/>
          <w:rFonts w:hint="eastAsia" w:ascii="Times New Roman" w:hAnsi="Times New Roman"/>
          <w:b/>
          <w:color w:val="auto"/>
          <w:sz w:val="24"/>
          <w:szCs w:val="24"/>
        </w:rPr>
        <w:t>环境功能区划</w:t>
      </w:r>
      <w:r>
        <w:rPr>
          <w:sz w:val="24"/>
          <w:szCs w:val="24"/>
        </w:rPr>
        <w:tab/>
      </w:r>
      <w:r>
        <w:rPr>
          <w:sz w:val="24"/>
          <w:szCs w:val="24"/>
        </w:rPr>
        <w:fldChar w:fldCharType="begin"/>
      </w:r>
      <w:r>
        <w:rPr>
          <w:sz w:val="24"/>
          <w:szCs w:val="24"/>
        </w:rPr>
        <w:instrText xml:space="preserve"> PAGEREF _Toc524624558 \h </w:instrText>
      </w:r>
      <w:r>
        <w:rPr>
          <w:sz w:val="24"/>
          <w:szCs w:val="24"/>
        </w:rPr>
        <w:fldChar w:fldCharType="separate"/>
      </w:r>
      <w:r>
        <w:rPr>
          <w:sz w:val="24"/>
          <w:szCs w:val="24"/>
        </w:rPr>
        <w:t>11</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"_Toc524624559" </w:instrText>
      </w:r>
      <w:r>
        <w:fldChar w:fldCharType="separate"/>
      </w:r>
      <w:r>
        <w:rPr>
          <w:rStyle w:val="21"/>
          <w:rFonts w:ascii="Times New Roman" w:hAnsi="Times New Roman"/>
          <w:b/>
          <w:color w:val="auto"/>
          <w:sz w:val="24"/>
          <w:szCs w:val="24"/>
        </w:rPr>
        <w:t xml:space="preserve">2.4.2 </w:t>
      </w:r>
      <w:r>
        <w:rPr>
          <w:rStyle w:val="21"/>
          <w:rFonts w:hint="eastAsia" w:ascii="Times New Roman" w:hAnsi="Times New Roman"/>
          <w:b/>
          <w:color w:val="auto"/>
          <w:sz w:val="24"/>
          <w:szCs w:val="24"/>
        </w:rPr>
        <w:t>评价标准</w:t>
      </w:r>
      <w:r>
        <w:rPr>
          <w:sz w:val="24"/>
          <w:szCs w:val="24"/>
        </w:rPr>
        <w:tab/>
      </w:r>
      <w:r>
        <w:rPr>
          <w:sz w:val="24"/>
          <w:szCs w:val="24"/>
        </w:rPr>
        <w:fldChar w:fldCharType="begin"/>
      </w:r>
      <w:r>
        <w:rPr>
          <w:sz w:val="24"/>
          <w:szCs w:val="24"/>
        </w:rPr>
        <w:instrText xml:space="preserve"> PAGEREF _Toc524624559 \h </w:instrText>
      </w:r>
      <w:r>
        <w:rPr>
          <w:sz w:val="24"/>
          <w:szCs w:val="24"/>
        </w:rPr>
        <w:fldChar w:fldCharType="separate"/>
      </w:r>
      <w:r>
        <w:rPr>
          <w:sz w:val="24"/>
          <w:szCs w:val="24"/>
        </w:rPr>
        <w:t>11</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"_Toc524624560" </w:instrText>
      </w:r>
      <w:r>
        <w:fldChar w:fldCharType="separate"/>
      </w:r>
      <w:r>
        <w:rPr>
          <w:rStyle w:val="21"/>
          <w:rFonts w:ascii="Times New Roman" w:hAnsi="Times New Roman"/>
          <w:b/>
          <w:color w:val="auto"/>
          <w:sz w:val="24"/>
          <w:szCs w:val="24"/>
        </w:rPr>
        <w:t xml:space="preserve">2.5 </w:t>
      </w:r>
      <w:r>
        <w:rPr>
          <w:rStyle w:val="21"/>
          <w:rFonts w:hint="eastAsia" w:ascii="Times New Roman" w:hAnsi="Times New Roman"/>
          <w:b/>
          <w:color w:val="auto"/>
          <w:sz w:val="24"/>
          <w:szCs w:val="24"/>
        </w:rPr>
        <w:t>评价等级的划分</w:t>
      </w:r>
      <w:r>
        <w:rPr>
          <w:sz w:val="24"/>
          <w:szCs w:val="24"/>
        </w:rPr>
        <w:tab/>
      </w:r>
      <w:r>
        <w:rPr>
          <w:sz w:val="24"/>
          <w:szCs w:val="24"/>
        </w:rPr>
        <w:fldChar w:fldCharType="begin"/>
      </w:r>
      <w:r>
        <w:rPr>
          <w:sz w:val="24"/>
          <w:szCs w:val="24"/>
        </w:rPr>
        <w:instrText xml:space="preserve"> PAGEREF _Toc524624560 \h </w:instrText>
      </w:r>
      <w:r>
        <w:rPr>
          <w:sz w:val="24"/>
          <w:szCs w:val="24"/>
        </w:rPr>
        <w:fldChar w:fldCharType="separate"/>
      </w:r>
      <w:r>
        <w:rPr>
          <w:sz w:val="24"/>
          <w:szCs w:val="24"/>
        </w:rPr>
        <w:t>13</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"_Toc524624561" </w:instrText>
      </w:r>
      <w:r>
        <w:fldChar w:fldCharType="separate"/>
      </w:r>
      <w:r>
        <w:rPr>
          <w:rStyle w:val="21"/>
          <w:rFonts w:ascii="Times New Roman" w:hAnsi="Times New Roman"/>
          <w:b/>
          <w:color w:val="auto"/>
          <w:sz w:val="24"/>
          <w:szCs w:val="24"/>
        </w:rPr>
        <w:t xml:space="preserve">2.5.1 </w:t>
      </w:r>
      <w:r>
        <w:rPr>
          <w:rStyle w:val="21"/>
          <w:rFonts w:hint="eastAsia" w:ascii="Times New Roman" w:hAnsi="Times New Roman"/>
          <w:b/>
          <w:color w:val="auto"/>
          <w:sz w:val="24"/>
          <w:szCs w:val="24"/>
        </w:rPr>
        <w:t>大气环境</w:t>
      </w:r>
      <w:r>
        <w:rPr>
          <w:sz w:val="24"/>
          <w:szCs w:val="24"/>
        </w:rPr>
        <w:tab/>
      </w:r>
      <w:r>
        <w:rPr>
          <w:sz w:val="24"/>
          <w:szCs w:val="24"/>
        </w:rPr>
        <w:fldChar w:fldCharType="begin"/>
      </w:r>
      <w:r>
        <w:rPr>
          <w:sz w:val="24"/>
          <w:szCs w:val="24"/>
        </w:rPr>
        <w:instrText xml:space="preserve"> PAGEREF _Toc524624561 \h </w:instrText>
      </w:r>
      <w:r>
        <w:rPr>
          <w:sz w:val="24"/>
          <w:szCs w:val="24"/>
        </w:rPr>
        <w:fldChar w:fldCharType="separate"/>
      </w:r>
      <w:r>
        <w:rPr>
          <w:sz w:val="24"/>
          <w:szCs w:val="24"/>
        </w:rPr>
        <w:t>13</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"_Toc524624562" </w:instrText>
      </w:r>
      <w:r>
        <w:fldChar w:fldCharType="separate"/>
      </w:r>
      <w:r>
        <w:rPr>
          <w:rStyle w:val="21"/>
          <w:rFonts w:ascii="Times New Roman" w:hAnsi="Times New Roman"/>
          <w:b/>
          <w:color w:val="auto"/>
          <w:sz w:val="24"/>
          <w:szCs w:val="24"/>
        </w:rPr>
        <w:t xml:space="preserve">2.5.2 </w:t>
      </w:r>
      <w:r>
        <w:rPr>
          <w:rStyle w:val="21"/>
          <w:rFonts w:hint="eastAsia" w:ascii="Times New Roman" w:hAnsi="Times New Roman"/>
          <w:b/>
          <w:color w:val="auto"/>
          <w:sz w:val="24"/>
          <w:szCs w:val="24"/>
        </w:rPr>
        <w:t>水环境</w:t>
      </w:r>
      <w:r>
        <w:rPr>
          <w:sz w:val="24"/>
          <w:szCs w:val="24"/>
        </w:rPr>
        <w:tab/>
      </w:r>
      <w:r>
        <w:rPr>
          <w:sz w:val="24"/>
          <w:szCs w:val="24"/>
        </w:rPr>
        <w:fldChar w:fldCharType="begin"/>
      </w:r>
      <w:r>
        <w:rPr>
          <w:sz w:val="24"/>
          <w:szCs w:val="24"/>
        </w:rPr>
        <w:instrText xml:space="preserve"> PAGEREF _Toc524624562 \h </w:instrText>
      </w:r>
      <w:r>
        <w:rPr>
          <w:sz w:val="24"/>
          <w:szCs w:val="24"/>
        </w:rPr>
        <w:fldChar w:fldCharType="separate"/>
      </w:r>
      <w:r>
        <w:rPr>
          <w:sz w:val="24"/>
          <w:szCs w:val="24"/>
        </w:rPr>
        <w:t>14</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"_Toc524624563" </w:instrText>
      </w:r>
      <w:r>
        <w:fldChar w:fldCharType="separate"/>
      </w:r>
      <w:r>
        <w:rPr>
          <w:rStyle w:val="21"/>
          <w:rFonts w:ascii="Times New Roman" w:hAnsi="Times New Roman"/>
          <w:b/>
          <w:color w:val="auto"/>
          <w:sz w:val="24"/>
          <w:szCs w:val="24"/>
        </w:rPr>
        <w:t xml:space="preserve">2.5.3 </w:t>
      </w:r>
      <w:r>
        <w:rPr>
          <w:rStyle w:val="21"/>
          <w:rFonts w:hint="eastAsia" w:ascii="Times New Roman" w:hAnsi="Times New Roman"/>
          <w:b/>
          <w:color w:val="auto"/>
          <w:sz w:val="24"/>
          <w:szCs w:val="24"/>
        </w:rPr>
        <w:t>声环境</w:t>
      </w:r>
      <w:r>
        <w:rPr>
          <w:sz w:val="24"/>
          <w:szCs w:val="24"/>
        </w:rPr>
        <w:tab/>
      </w:r>
      <w:r>
        <w:rPr>
          <w:sz w:val="24"/>
          <w:szCs w:val="24"/>
        </w:rPr>
        <w:fldChar w:fldCharType="begin"/>
      </w:r>
      <w:r>
        <w:rPr>
          <w:sz w:val="24"/>
          <w:szCs w:val="24"/>
        </w:rPr>
        <w:instrText xml:space="preserve"> PAGEREF _Toc524624563 \h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"_Toc524624564" </w:instrText>
      </w:r>
      <w:r>
        <w:fldChar w:fldCharType="separate"/>
      </w:r>
      <w:r>
        <w:rPr>
          <w:rStyle w:val="21"/>
          <w:rFonts w:ascii="Times New Roman" w:hAnsi="Times New Roman"/>
          <w:b/>
          <w:color w:val="auto"/>
          <w:sz w:val="24"/>
          <w:szCs w:val="24"/>
        </w:rPr>
        <w:t xml:space="preserve">2.5.4 </w:t>
      </w:r>
      <w:r>
        <w:rPr>
          <w:rStyle w:val="21"/>
          <w:rFonts w:hint="eastAsia" w:ascii="Times New Roman" w:hAnsi="Times New Roman"/>
          <w:b/>
          <w:color w:val="auto"/>
          <w:sz w:val="24"/>
          <w:szCs w:val="24"/>
        </w:rPr>
        <w:t>生态环境</w:t>
      </w:r>
      <w:r>
        <w:rPr>
          <w:sz w:val="24"/>
          <w:szCs w:val="24"/>
        </w:rPr>
        <w:tab/>
      </w:r>
      <w:r>
        <w:rPr>
          <w:sz w:val="24"/>
          <w:szCs w:val="24"/>
        </w:rPr>
        <w:fldChar w:fldCharType="begin"/>
      </w:r>
      <w:r>
        <w:rPr>
          <w:sz w:val="24"/>
          <w:szCs w:val="24"/>
        </w:rPr>
        <w:instrText xml:space="preserve"> PAGEREF _Toc524624564 \h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7"/>
        <w:tabs>
          <w:tab w:val="right" w:leader="dot" w:pos="8302"/>
        </w:tabs>
        <w:rPr>
          <w:kern w:val="2"/>
          <w:sz w:val="24"/>
          <w:szCs w:val="24"/>
        </w:rPr>
      </w:pPr>
      <w:r>
        <w:fldChar w:fldCharType="begin"/>
      </w:r>
      <w:r>
        <w:instrText xml:space="preserve"> HYPERLINK \l "_Toc524624565" </w:instrText>
      </w:r>
      <w:r>
        <w:fldChar w:fldCharType="separate"/>
      </w:r>
      <w:r>
        <w:rPr>
          <w:rStyle w:val="21"/>
          <w:rFonts w:ascii="Times New Roman" w:hAnsi="Times New Roman"/>
          <w:b/>
          <w:color w:val="auto"/>
          <w:sz w:val="24"/>
          <w:szCs w:val="24"/>
        </w:rPr>
        <w:t xml:space="preserve">2.5.5 </w:t>
      </w:r>
      <w:r>
        <w:rPr>
          <w:rStyle w:val="21"/>
          <w:rFonts w:hint="eastAsia" w:ascii="Times New Roman" w:hAnsi="Times New Roman"/>
          <w:b/>
          <w:color w:val="auto"/>
          <w:sz w:val="24"/>
          <w:szCs w:val="24"/>
        </w:rPr>
        <w:t>环境风险评价</w:t>
      </w:r>
      <w:r>
        <w:rPr>
          <w:sz w:val="24"/>
          <w:szCs w:val="24"/>
        </w:rPr>
        <w:tab/>
      </w:r>
      <w:r>
        <w:rPr>
          <w:sz w:val="24"/>
          <w:szCs w:val="24"/>
        </w:rPr>
        <w:fldChar w:fldCharType="begin"/>
      </w:r>
      <w:r>
        <w:rPr>
          <w:sz w:val="24"/>
          <w:szCs w:val="24"/>
        </w:rPr>
        <w:instrText xml:space="preserve"> PAGEREF _Toc524624565 \h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15"/>
        <w:tabs>
          <w:tab w:val="right" w:leader="dot" w:pos="8302"/>
        </w:tabs>
        <w:rPr>
          <w:kern w:val="2"/>
          <w:sz w:val="24"/>
          <w:szCs w:val="24"/>
        </w:rPr>
      </w:pPr>
      <w:r>
        <w:fldChar w:fldCharType="begin"/>
      </w:r>
      <w:r>
        <w:instrText xml:space="preserve"> HYPERLINK \l "_Toc524624566" </w:instrText>
      </w:r>
      <w:r>
        <w:fldChar w:fldCharType="separate"/>
      </w:r>
      <w:r>
        <w:rPr>
          <w:rStyle w:val="21"/>
          <w:rFonts w:ascii="Times New Roman" w:hAnsi="Times New Roman"/>
          <w:b/>
          <w:color w:val="auto"/>
          <w:sz w:val="24"/>
          <w:szCs w:val="24"/>
        </w:rPr>
        <w:t xml:space="preserve">2.6 </w:t>
      </w:r>
      <w:r>
        <w:rPr>
          <w:rStyle w:val="21"/>
          <w:rFonts w:hint="eastAsia" w:ascii="Times New Roman" w:hAnsi="Times New Roman"/>
          <w:b/>
          <w:color w:val="auto"/>
          <w:sz w:val="24"/>
          <w:szCs w:val="24"/>
        </w:rPr>
        <w:t>保护目标</w:t>
      </w:r>
      <w:r>
        <w:rPr>
          <w:sz w:val="24"/>
          <w:szCs w:val="24"/>
        </w:rPr>
        <w:tab/>
      </w:r>
      <w:r>
        <w:rPr>
          <w:sz w:val="24"/>
          <w:szCs w:val="24"/>
        </w:rPr>
        <w:fldChar w:fldCharType="begin"/>
      </w:r>
      <w:r>
        <w:rPr>
          <w:sz w:val="24"/>
          <w:szCs w:val="24"/>
        </w:rPr>
        <w:instrText xml:space="preserve"> PAGEREF _Toc524624566 \h </w:instrText>
      </w:r>
      <w:r>
        <w:rPr>
          <w:sz w:val="24"/>
          <w:szCs w:val="24"/>
        </w:rPr>
        <w:fldChar w:fldCharType="separate"/>
      </w:r>
      <w:r>
        <w:rPr>
          <w:sz w:val="24"/>
          <w:szCs w:val="24"/>
        </w:rPr>
        <w:t>19</w:t>
      </w:r>
      <w:r>
        <w:rPr>
          <w:sz w:val="24"/>
          <w:szCs w:val="24"/>
        </w:rPr>
        <w:fldChar w:fldCharType="end"/>
      </w:r>
      <w:r>
        <w:rPr>
          <w:sz w:val="24"/>
          <w:szCs w:val="24"/>
        </w:rPr>
        <w:fldChar w:fldCharType="end"/>
      </w:r>
    </w:p>
    <w:p>
      <w:pPr>
        <w:pStyle w:val="14"/>
        <w:rPr>
          <w:kern w:val="2"/>
          <w:sz w:val="21"/>
        </w:rPr>
      </w:pPr>
      <w:r>
        <w:fldChar w:fldCharType="begin"/>
      </w:r>
      <w:r>
        <w:instrText xml:space="preserve"> HYPERLINK \l "_Toc524624567" </w:instrText>
      </w:r>
      <w:r>
        <w:fldChar w:fldCharType="separate"/>
      </w:r>
      <w:r>
        <w:rPr>
          <w:rStyle w:val="21"/>
          <w:color w:val="auto"/>
        </w:rPr>
        <w:t xml:space="preserve">3 </w:t>
      </w:r>
      <w:r>
        <w:rPr>
          <w:rStyle w:val="21"/>
          <w:rFonts w:hint="eastAsia"/>
          <w:color w:val="auto"/>
        </w:rPr>
        <w:t>建设项目概况与工程分析</w:t>
      </w:r>
      <w:r>
        <w:tab/>
      </w:r>
      <w:r>
        <w:fldChar w:fldCharType="begin"/>
      </w:r>
      <w:r>
        <w:instrText xml:space="preserve"> PAGEREF _Toc524624567 \h </w:instrText>
      </w:r>
      <w:r>
        <w:fldChar w:fldCharType="separate"/>
      </w:r>
      <w:r>
        <w:t>21</w:t>
      </w:r>
      <w:r>
        <w:fldChar w:fldCharType="end"/>
      </w:r>
      <w:r>
        <w:fldChar w:fldCharType="end"/>
      </w:r>
    </w:p>
    <w:p>
      <w:pPr>
        <w:pStyle w:val="15"/>
        <w:tabs>
          <w:tab w:val="right" w:leader="dot" w:pos="8302"/>
        </w:tabs>
        <w:rPr>
          <w:kern w:val="2"/>
          <w:sz w:val="21"/>
        </w:rPr>
      </w:pPr>
      <w:r>
        <w:fldChar w:fldCharType="begin"/>
      </w:r>
      <w:r>
        <w:instrText xml:space="preserve"> HYPERLINK \l "_Toc524624568" </w:instrText>
      </w:r>
      <w:r>
        <w:fldChar w:fldCharType="separate"/>
      </w:r>
      <w:r>
        <w:rPr>
          <w:rStyle w:val="21"/>
          <w:rFonts w:ascii="Times New Roman" w:hAnsi="Times New Roman"/>
          <w:b/>
          <w:color w:val="auto"/>
        </w:rPr>
        <w:t xml:space="preserve">3.1 </w:t>
      </w:r>
      <w:r>
        <w:rPr>
          <w:rStyle w:val="21"/>
          <w:rFonts w:hint="eastAsia" w:ascii="Times New Roman" w:hAnsi="Times New Roman"/>
          <w:b/>
          <w:color w:val="auto"/>
        </w:rPr>
        <w:t>现有工程概况</w:t>
      </w:r>
      <w:r>
        <w:tab/>
      </w:r>
      <w:r>
        <w:fldChar w:fldCharType="begin"/>
      </w:r>
      <w:r>
        <w:instrText xml:space="preserve"> PAGEREF _Toc524624568 \h </w:instrText>
      </w:r>
      <w:r>
        <w:fldChar w:fldCharType="separate"/>
      </w:r>
      <w:r>
        <w:t>21</w:t>
      </w:r>
      <w:r>
        <w:fldChar w:fldCharType="end"/>
      </w:r>
      <w:r>
        <w:fldChar w:fldCharType="end"/>
      </w:r>
    </w:p>
    <w:p>
      <w:pPr>
        <w:pStyle w:val="7"/>
        <w:tabs>
          <w:tab w:val="right" w:leader="dot" w:pos="8302"/>
        </w:tabs>
        <w:rPr>
          <w:kern w:val="2"/>
          <w:sz w:val="21"/>
        </w:rPr>
      </w:pPr>
      <w:r>
        <w:fldChar w:fldCharType="begin"/>
      </w:r>
      <w:r>
        <w:instrText xml:space="preserve"> HYPERLINK \l "_Toc524624569" </w:instrText>
      </w:r>
      <w:r>
        <w:fldChar w:fldCharType="separate"/>
      </w:r>
      <w:r>
        <w:rPr>
          <w:rStyle w:val="21"/>
          <w:rFonts w:ascii="Times New Roman" w:hAnsi="Times New Roman"/>
          <w:b/>
          <w:color w:val="auto"/>
        </w:rPr>
        <w:t xml:space="preserve">3.1.1 </w:t>
      </w:r>
      <w:r>
        <w:rPr>
          <w:rStyle w:val="21"/>
          <w:rFonts w:hint="eastAsia" w:ascii="Times New Roman" w:hAnsi="Times New Roman"/>
          <w:b/>
          <w:color w:val="auto"/>
        </w:rPr>
        <w:t>先导试验区概况</w:t>
      </w:r>
      <w:r>
        <w:tab/>
      </w:r>
      <w:r>
        <w:fldChar w:fldCharType="begin"/>
      </w:r>
      <w:r>
        <w:instrText xml:space="preserve"> PAGEREF _Toc524624569 \h </w:instrText>
      </w:r>
      <w:r>
        <w:fldChar w:fldCharType="separate"/>
      </w:r>
      <w:r>
        <w:t>21</w:t>
      </w:r>
      <w:r>
        <w:fldChar w:fldCharType="end"/>
      </w:r>
      <w:r>
        <w:fldChar w:fldCharType="end"/>
      </w:r>
    </w:p>
    <w:p>
      <w:pPr>
        <w:pStyle w:val="7"/>
        <w:tabs>
          <w:tab w:val="right" w:leader="dot" w:pos="8302"/>
        </w:tabs>
        <w:rPr>
          <w:kern w:val="2"/>
          <w:sz w:val="21"/>
        </w:rPr>
      </w:pPr>
      <w:r>
        <w:fldChar w:fldCharType="begin"/>
      </w:r>
      <w:r>
        <w:instrText xml:space="preserve"> HYPERLINK \l "_Toc524624570" </w:instrText>
      </w:r>
      <w:r>
        <w:fldChar w:fldCharType="separate"/>
      </w:r>
      <w:r>
        <w:rPr>
          <w:rStyle w:val="21"/>
          <w:rFonts w:ascii="Times New Roman" w:hAnsi="Times New Roman"/>
          <w:b/>
          <w:color w:val="auto"/>
        </w:rPr>
        <w:t xml:space="preserve">3.1.2 </w:t>
      </w:r>
      <w:r>
        <w:rPr>
          <w:rStyle w:val="21"/>
          <w:rFonts w:hint="eastAsia" w:ascii="Times New Roman" w:hAnsi="Times New Roman"/>
          <w:b/>
          <w:color w:val="auto"/>
        </w:rPr>
        <w:t>先导试验区开发现状</w:t>
      </w:r>
      <w:r>
        <w:tab/>
      </w:r>
      <w:r>
        <w:fldChar w:fldCharType="begin"/>
      </w:r>
      <w:r>
        <w:instrText xml:space="preserve"> PAGEREF _Toc524624570 \h </w:instrText>
      </w:r>
      <w:r>
        <w:fldChar w:fldCharType="separate"/>
      </w:r>
      <w:r>
        <w:t>21</w:t>
      </w:r>
      <w:r>
        <w:fldChar w:fldCharType="end"/>
      </w:r>
      <w:r>
        <w:fldChar w:fldCharType="end"/>
      </w:r>
    </w:p>
    <w:p>
      <w:pPr>
        <w:pStyle w:val="7"/>
        <w:tabs>
          <w:tab w:val="right" w:leader="dot" w:pos="8302"/>
        </w:tabs>
        <w:rPr>
          <w:kern w:val="2"/>
          <w:sz w:val="21"/>
        </w:rPr>
      </w:pPr>
      <w:r>
        <w:fldChar w:fldCharType="begin"/>
      </w:r>
      <w:r>
        <w:instrText xml:space="preserve"> HYPERLINK \l "_Toc524624571" </w:instrText>
      </w:r>
      <w:r>
        <w:fldChar w:fldCharType="separate"/>
      </w:r>
      <w:r>
        <w:rPr>
          <w:rStyle w:val="21"/>
          <w:rFonts w:ascii="Times New Roman" w:hAnsi="Times New Roman"/>
          <w:b/>
          <w:color w:val="auto"/>
        </w:rPr>
        <w:t xml:space="preserve">3.1.3 </w:t>
      </w:r>
      <w:r>
        <w:rPr>
          <w:rStyle w:val="21"/>
          <w:rFonts w:hint="eastAsia" w:ascii="Times New Roman" w:hAnsi="Times New Roman"/>
          <w:b/>
          <w:color w:val="auto"/>
        </w:rPr>
        <w:t>现有污染源调查</w:t>
      </w:r>
      <w:r>
        <w:tab/>
      </w:r>
      <w:r>
        <w:fldChar w:fldCharType="begin"/>
      </w:r>
      <w:r>
        <w:instrText xml:space="preserve"> PAGEREF _Toc524624571 \h </w:instrText>
      </w:r>
      <w:r>
        <w:fldChar w:fldCharType="separate"/>
      </w:r>
      <w:r>
        <w:t>23</w:t>
      </w:r>
      <w:r>
        <w:fldChar w:fldCharType="end"/>
      </w:r>
      <w:r>
        <w:fldChar w:fldCharType="end"/>
      </w:r>
    </w:p>
    <w:p>
      <w:pPr>
        <w:pStyle w:val="7"/>
        <w:tabs>
          <w:tab w:val="right" w:leader="dot" w:pos="8302"/>
        </w:tabs>
        <w:rPr>
          <w:kern w:val="2"/>
          <w:sz w:val="21"/>
        </w:rPr>
      </w:pPr>
      <w:r>
        <w:fldChar w:fldCharType="begin"/>
      </w:r>
      <w:r>
        <w:instrText xml:space="preserve"> HYPERLINK \l "_Toc524624572" </w:instrText>
      </w:r>
      <w:r>
        <w:fldChar w:fldCharType="separate"/>
      </w:r>
      <w:r>
        <w:rPr>
          <w:rStyle w:val="21"/>
          <w:rFonts w:ascii="Times New Roman" w:hAnsi="Times New Roman"/>
          <w:b/>
          <w:color w:val="auto"/>
        </w:rPr>
        <w:t xml:space="preserve">3.1.4 </w:t>
      </w:r>
      <w:r>
        <w:rPr>
          <w:rStyle w:val="21"/>
          <w:rFonts w:hint="eastAsia" w:ascii="Times New Roman" w:hAnsi="Times New Roman"/>
          <w:b/>
          <w:color w:val="auto"/>
        </w:rPr>
        <w:t>现有污染源排放汇总</w:t>
      </w:r>
      <w:r>
        <w:tab/>
      </w:r>
      <w:r>
        <w:fldChar w:fldCharType="begin"/>
      </w:r>
      <w:r>
        <w:instrText xml:space="preserve"> PAGEREF _Toc524624572 \h </w:instrText>
      </w:r>
      <w:r>
        <w:fldChar w:fldCharType="separate"/>
      </w:r>
      <w:r>
        <w:t>24</w:t>
      </w:r>
      <w:r>
        <w:fldChar w:fldCharType="end"/>
      </w:r>
      <w:r>
        <w:fldChar w:fldCharType="end"/>
      </w:r>
    </w:p>
    <w:p>
      <w:pPr>
        <w:pStyle w:val="15"/>
        <w:tabs>
          <w:tab w:val="right" w:leader="dot" w:pos="8302"/>
        </w:tabs>
        <w:rPr>
          <w:kern w:val="2"/>
          <w:sz w:val="21"/>
        </w:rPr>
      </w:pPr>
      <w:r>
        <w:fldChar w:fldCharType="begin"/>
      </w:r>
      <w:r>
        <w:instrText xml:space="preserve"> HYPERLINK \l "_Toc524624573" </w:instrText>
      </w:r>
      <w:r>
        <w:fldChar w:fldCharType="separate"/>
      </w:r>
      <w:r>
        <w:rPr>
          <w:rStyle w:val="21"/>
          <w:rFonts w:ascii="Times New Roman" w:hAnsi="Times New Roman"/>
          <w:b/>
          <w:color w:val="auto"/>
        </w:rPr>
        <w:t xml:space="preserve">3.2 </w:t>
      </w:r>
      <w:r>
        <w:rPr>
          <w:rStyle w:val="21"/>
          <w:rFonts w:hint="eastAsia" w:ascii="Times New Roman" w:hAnsi="Times New Roman"/>
          <w:b/>
          <w:color w:val="auto"/>
        </w:rPr>
        <w:t>已采取的环保措施、存在环保问题及整改措施</w:t>
      </w:r>
      <w:r>
        <w:tab/>
      </w:r>
      <w:r>
        <w:fldChar w:fldCharType="begin"/>
      </w:r>
      <w:r>
        <w:instrText xml:space="preserve"> PAGEREF _Toc524624573 \h </w:instrText>
      </w:r>
      <w:r>
        <w:fldChar w:fldCharType="separate"/>
      </w:r>
      <w:r>
        <w:t>24</w:t>
      </w:r>
      <w:r>
        <w:fldChar w:fldCharType="end"/>
      </w:r>
      <w:r>
        <w:fldChar w:fldCharType="end"/>
      </w:r>
    </w:p>
    <w:p>
      <w:pPr>
        <w:pStyle w:val="7"/>
        <w:tabs>
          <w:tab w:val="right" w:leader="dot" w:pos="8302"/>
        </w:tabs>
        <w:rPr>
          <w:kern w:val="2"/>
          <w:sz w:val="21"/>
        </w:rPr>
      </w:pPr>
      <w:r>
        <w:fldChar w:fldCharType="begin"/>
      </w:r>
      <w:r>
        <w:instrText xml:space="preserve"> HYPERLINK \l "_Toc524624574" </w:instrText>
      </w:r>
      <w:r>
        <w:fldChar w:fldCharType="separate"/>
      </w:r>
      <w:r>
        <w:rPr>
          <w:rStyle w:val="21"/>
          <w:rFonts w:ascii="Times New Roman" w:hAnsi="Times New Roman"/>
          <w:b/>
          <w:color w:val="auto"/>
        </w:rPr>
        <w:t xml:space="preserve">3.2.1 </w:t>
      </w:r>
      <w:r>
        <w:rPr>
          <w:rStyle w:val="21"/>
          <w:rFonts w:hint="eastAsia" w:ascii="Times New Roman" w:hAnsi="Times New Roman"/>
          <w:b/>
          <w:color w:val="auto"/>
        </w:rPr>
        <w:t>先导试验区环评及验收</w:t>
      </w:r>
      <w:r>
        <w:tab/>
      </w:r>
      <w:r>
        <w:fldChar w:fldCharType="begin"/>
      </w:r>
      <w:r>
        <w:instrText xml:space="preserve"> PAGEREF _Toc524624574 \h </w:instrText>
      </w:r>
      <w:r>
        <w:fldChar w:fldCharType="separate"/>
      </w:r>
      <w:r>
        <w:t>24</w:t>
      </w:r>
      <w:r>
        <w:fldChar w:fldCharType="end"/>
      </w:r>
      <w:r>
        <w:fldChar w:fldCharType="end"/>
      </w:r>
    </w:p>
    <w:p>
      <w:pPr>
        <w:pStyle w:val="7"/>
        <w:tabs>
          <w:tab w:val="right" w:leader="dot" w:pos="8302"/>
        </w:tabs>
        <w:rPr>
          <w:kern w:val="2"/>
          <w:sz w:val="21"/>
        </w:rPr>
      </w:pPr>
      <w:r>
        <w:fldChar w:fldCharType="begin"/>
      </w:r>
      <w:r>
        <w:instrText xml:space="preserve"> HYPERLINK \l "_Toc524624575" </w:instrText>
      </w:r>
      <w:r>
        <w:fldChar w:fldCharType="separate"/>
      </w:r>
      <w:r>
        <w:rPr>
          <w:rStyle w:val="21"/>
          <w:rFonts w:ascii="Times New Roman" w:hAnsi="Times New Roman"/>
          <w:b/>
          <w:color w:val="auto"/>
        </w:rPr>
        <w:t xml:space="preserve">3.2.2 </w:t>
      </w:r>
      <w:r>
        <w:rPr>
          <w:rStyle w:val="21"/>
          <w:rFonts w:hint="eastAsia" w:ascii="Times New Roman" w:hAnsi="Times New Roman"/>
          <w:b/>
          <w:color w:val="auto"/>
        </w:rPr>
        <w:t>现有项目采取的主要环保措施</w:t>
      </w:r>
      <w:r>
        <w:tab/>
      </w:r>
      <w:r>
        <w:fldChar w:fldCharType="begin"/>
      </w:r>
      <w:r>
        <w:instrText xml:space="preserve"> PAGEREF _Toc524624575 \h </w:instrText>
      </w:r>
      <w:r>
        <w:fldChar w:fldCharType="separate"/>
      </w:r>
      <w:r>
        <w:t>25</w:t>
      </w:r>
      <w:r>
        <w:fldChar w:fldCharType="end"/>
      </w:r>
      <w:r>
        <w:fldChar w:fldCharType="end"/>
      </w:r>
    </w:p>
    <w:p>
      <w:pPr>
        <w:pStyle w:val="7"/>
        <w:tabs>
          <w:tab w:val="right" w:leader="dot" w:pos="8302"/>
        </w:tabs>
        <w:rPr>
          <w:kern w:val="2"/>
          <w:sz w:val="21"/>
        </w:rPr>
      </w:pPr>
      <w:r>
        <w:fldChar w:fldCharType="begin"/>
      </w:r>
      <w:r>
        <w:instrText xml:space="preserve"> HYPERLINK \l "_Toc524624576" </w:instrText>
      </w:r>
      <w:r>
        <w:fldChar w:fldCharType="separate"/>
      </w:r>
      <w:r>
        <w:rPr>
          <w:rStyle w:val="21"/>
          <w:rFonts w:ascii="Times New Roman" w:hAnsi="Times New Roman"/>
          <w:b/>
          <w:color w:val="auto"/>
        </w:rPr>
        <w:t xml:space="preserve">3.2.3 </w:t>
      </w:r>
      <w:r>
        <w:rPr>
          <w:rStyle w:val="21"/>
          <w:rFonts w:hint="eastAsia" w:ascii="Times New Roman" w:hAnsi="Times New Roman"/>
          <w:b/>
          <w:color w:val="auto"/>
        </w:rPr>
        <w:t>现有项目存在的环保问题</w:t>
      </w:r>
      <w:r>
        <w:tab/>
      </w:r>
      <w:r>
        <w:fldChar w:fldCharType="begin"/>
      </w:r>
      <w:r>
        <w:instrText xml:space="preserve"> PAGEREF _Toc524624576 \h </w:instrText>
      </w:r>
      <w:r>
        <w:fldChar w:fldCharType="separate"/>
      </w:r>
      <w:r>
        <w:t>25</w:t>
      </w:r>
      <w:r>
        <w:fldChar w:fldCharType="end"/>
      </w:r>
      <w:r>
        <w:fldChar w:fldCharType="end"/>
      </w:r>
    </w:p>
    <w:p>
      <w:pPr>
        <w:pStyle w:val="7"/>
        <w:tabs>
          <w:tab w:val="right" w:leader="dot" w:pos="8302"/>
        </w:tabs>
        <w:rPr>
          <w:kern w:val="2"/>
          <w:sz w:val="21"/>
        </w:rPr>
      </w:pPr>
      <w:r>
        <w:fldChar w:fldCharType="begin"/>
      </w:r>
      <w:r>
        <w:instrText xml:space="preserve"> HYPERLINK \l "_Toc524624577" </w:instrText>
      </w:r>
      <w:r>
        <w:fldChar w:fldCharType="separate"/>
      </w:r>
      <w:r>
        <w:rPr>
          <w:rStyle w:val="21"/>
          <w:rFonts w:ascii="Times New Roman" w:hAnsi="Times New Roman"/>
          <w:b/>
          <w:color w:val="auto"/>
        </w:rPr>
        <w:t xml:space="preserve">3.2.4 </w:t>
      </w:r>
      <w:r>
        <w:rPr>
          <w:rStyle w:val="21"/>
          <w:rFonts w:hint="eastAsia" w:ascii="Times New Roman" w:hAnsi="Times New Roman"/>
          <w:b/>
          <w:color w:val="auto"/>
        </w:rPr>
        <w:t>现有项目整改措施</w:t>
      </w:r>
      <w:r>
        <w:tab/>
      </w:r>
      <w:r>
        <w:fldChar w:fldCharType="begin"/>
      </w:r>
      <w:r>
        <w:instrText xml:space="preserve"> PAGEREF _Toc524624577 \h </w:instrText>
      </w:r>
      <w:r>
        <w:fldChar w:fldCharType="separate"/>
      </w:r>
      <w:r>
        <w:t>25</w:t>
      </w:r>
      <w:r>
        <w:fldChar w:fldCharType="end"/>
      </w:r>
      <w:r>
        <w:fldChar w:fldCharType="end"/>
      </w:r>
    </w:p>
    <w:p>
      <w:pPr>
        <w:pStyle w:val="15"/>
        <w:tabs>
          <w:tab w:val="right" w:leader="dot" w:pos="8302"/>
        </w:tabs>
        <w:rPr>
          <w:kern w:val="2"/>
          <w:sz w:val="21"/>
        </w:rPr>
      </w:pPr>
      <w:r>
        <w:fldChar w:fldCharType="begin"/>
      </w:r>
      <w:r>
        <w:instrText xml:space="preserve"> HYPERLINK \l "_Toc524624578" </w:instrText>
      </w:r>
      <w:r>
        <w:fldChar w:fldCharType="separate"/>
      </w:r>
      <w:r>
        <w:rPr>
          <w:rStyle w:val="21"/>
          <w:rFonts w:ascii="Times New Roman" w:hAnsi="Times New Roman"/>
          <w:b/>
          <w:color w:val="auto"/>
        </w:rPr>
        <w:t xml:space="preserve">3.3 </w:t>
      </w:r>
      <w:r>
        <w:rPr>
          <w:rStyle w:val="21"/>
          <w:rFonts w:hint="eastAsia" w:ascii="Times New Roman" w:hAnsi="Times New Roman"/>
          <w:b/>
          <w:color w:val="auto"/>
        </w:rPr>
        <w:t>扩建项目概况</w:t>
      </w:r>
      <w:r>
        <w:tab/>
      </w:r>
      <w:r>
        <w:fldChar w:fldCharType="begin"/>
      </w:r>
      <w:r>
        <w:instrText xml:space="preserve"> PAGEREF _Toc524624578 \h </w:instrText>
      </w:r>
      <w:r>
        <w:fldChar w:fldCharType="separate"/>
      </w:r>
      <w:r>
        <w:t>25</w:t>
      </w:r>
      <w:r>
        <w:fldChar w:fldCharType="end"/>
      </w:r>
      <w:r>
        <w:fldChar w:fldCharType="end"/>
      </w:r>
    </w:p>
    <w:p>
      <w:pPr>
        <w:pStyle w:val="7"/>
        <w:tabs>
          <w:tab w:val="right" w:leader="dot" w:pos="8302"/>
        </w:tabs>
        <w:rPr>
          <w:kern w:val="2"/>
          <w:sz w:val="21"/>
        </w:rPr>
      </w:pPr>
      <w:r>
        <w:fldChar w:fldCharType="begin"/>
      </w:r>
      <w:r>
        <w:instrText xml:space="preserve"> HYPERLINK \l "_Toc524624579" </w:instrText>
      </w:r>
      <w:r>
        <w:fldChar w:fldCharType="separate"/>
      </w:r>
      <w:r>
        <w:rPr>
          <w:rStyle w:val="21"/>
          <w:rFonts w:ascii="Times New Roman" w:hAnsi="Times New Roman"/>
          <w:b/>
          <w:color w:val="auto"/>
        </w:rPr>
        <w:t xml:space="preserve">3.3.1 </w:t>
      </w:r>
      <w:r>
        <w:rPr>
          <w:rStyle w:val="21"/>
          <w:rFonts w:hint="eastAsia" w:ascii="Times New Roman" w:hAnsi="Times New Roman"/>
          <w:b/>
          <w:color w:val="auto"/>
        </w:rPr>
        <w:t>建设内容</w:t>
      </w:r>
      <w:r>
        <w:tab/>
      </w:r>
      <w:r>
        <w:fldChar w:fldCharType="begin"/>
      </w:r>
      <w:r>
        <w:instrText xml:space="preserve"> PAGEREF _Toc524624579 \h </w:instrText>
      </w:r>
      <w:r>
        <w:fldChar w:fldCharType="separate"/>
      </w:r>
      <w:r>
        <w:t>26</w:t>
      </w:r>
      <w:r>
        <w:fldChar w:fldCharType="end"/>
      </w:r>
      <w:r>
        <w:fldChar w:fldCharType="end"/>
      </w:r>
    </w:p>
    <w:p>
      <w:pPr>
        <w:pStyle w:val="7"/>
        <w:tabs>
          <w:tab w:val="right" w:leader="dot" w:pos="8302"/>
        </w:tabs>
        <w:rPr>
          <w:kern w:val="2"/>
          <w:sz w:val="21"/>
        </w:rPr>
      </w:pPr>
      <w:r>
        <w:fldChar w:fldCharType="begin"/>
      </w:r>
      <w:r>
        <w:instrText xml:space="preserve"> HYPERLINK \l "_Toc524624580" </w:instrText>
      </w:r>
      <w:r>
        <w:fldChar w:fldCharType="separate"/>
      </w:r>
      <w:r>
        <w:rPr>
          <w:rStyle w:val="21"/>
          <w:rFonts w:ascii="Times New Roman" w:hAnsi="Times New Roman"/>
          <w:b/>
          <w:color w:val="auto"/>
        </w:rPr>
        <w:t xml:space="preserve">3.3.2 </w:t>
      </w:r>
      <w:r>
        <w:rPr>
          <w:rStyle w:val="21"/>
          <w:rFonts w:hint="eastAsia" w:ascii="Times New Roman" w:hAnsi="Times New Roman"/>
          <w:b/>
          <w:color w:val="auto"/>
        </w:rPr>
        <w:t>平面布置及占地</w:t>
      </w:r>
      <w:r>
        <w:tab/>
      </w:r>
      <w:r>
        <w:fldChar w:fldCharType="begin"/>
      </w:r>
      <w:r>
        <w:instrText xml:space="preserve"> PAGEREF _Toc524624580 \h </w:instrText>
      </w:r>
      <w:r>
        <w:fldChar w:fldCharType="separate"/>
      </w:r>
      <w:r>
        <w:t>28</w:t>
      </w:r>
      <w:r>
        <w:fldChar w:fldCharType="end"/>
      </w:r>
      <w:r>
        <w:fldChar w:fldCharType="end"/>
      </w:r>
    </w:p>
    <w:p>
      <w:pPr>
        <w:pStyle w:val="7"/>
        <w:tabs>
          <w:tab w:val="right" w:leader="dot" w:pos="8302"/>
        </w:tabs>
        <w:rPr>
          <w:kern w:val="2"/>
          <w:sz w:val="21"/>
        </w:rPr>
      </w:pPr>
      <w:r>
        <w:fldChar w:fldCharType="begin"/>
      </w:r>
      <w:r>
        <w:instrText xml:space="preserve"> HYPERLINK \l "_Toc524624581" </w:instrText>
      </w:r>
      <w:r>
        <w:fldChar w:fldCharType="separate"/>
      </w:r>
      <w:r>
        <w:rPr>
          <w:rStyle w:val="21"/>
          <w:rFonts w:ascii="Times New Roman" w:hAnsi="Times New Roman"/>
          <w:b/>
          <w:color w:val="auto"/>
        </w:rPr>
        <w:t xml:space="preserve">3.3.3 </w:t>
      </w:r>
      <w:r>
        <w:rPr>
          <w:rStyle w:val="21"/>
          <w:rFonts w:hint="eastAsia" w:ascii="Times New Roman" w:hAnsi="Times New Roman"/>
          <w:b/>
          <w:color w:val="auto"/>
        </w:rPr>
        <w:t>公用工程</w:t>
      </w:r>
      <w:r>
        <w:tab/>
      </w:r>
      <w:r>
        <w:fldChar w:fldCharType="begin"/>
      </w:r>
      <w:r>
        <w:instrText xml:space="preserve"> PAGEREF _Toc524624581 \h </w:instrText>
      </w:r>
      <w:r>
        <w:fldChar w:fldCharType="separate"/>
      </w:r>
      <w:r>
        <w:t>30</w:t>
      </w:r>
      <w:r>
        <w:fldChar w:fldCharType="end"/>
      </w:r>
      <w:r>
        <w:fldChar w:fldCharType="end"/>
      </w:r>
    </w:p>
    <w:p>
      <w:pPr>
        <w:pStyle w:val="15"/>
        <w:tabs>
          <w:tab w:val="right" w:leader="dot" w:pos="8302"/>
        </w:tabs>
        <w:rPr>
          <w:kern w:val="2"/>
          <w:sz w:val="21"/>
        </w:rPr>
      </w:pPr>
      <w:r>
        <w:fldChar w:fldCharType="begin"/>
      </w:r>
      <w:r>
        <w:instrText xml:space="preserve"> HYPERLINK \l "_Toc524624582" </w:instrText>
      </w:r>
      <w:r>
        <w:fldChar w:fldCharType="separate"/>
      </w:r>
      <w:r>
        <w:rPr>
          <w:rStyle w:val="21"/>
          <w:rFonts w:ascii="Times New Roman" w:hAnsi="Times New Roman"/>
          <w:b/>
          <w:color w:val="auto"/>
        </w:rPr>
        <w:t xml:space="preserve">3.4 </w:t>
      </w:r>
      <w:r>
        <w:rPr>
          <w:rStyle w:val="21"/>
          <w:rFonts w:hint="eastAsia" w:ascii="Times New Roman" w:hAnsi="Times New Roman"/>
          <w:b/>
          <w:color w:val="auto"/>
        </w:rPr>
        <w:t>工艺过程及产污环节</w:t>
      </w:r>
      <w:r>
        <w:tab/>
      </w:r>
      <w:r>
        <w:fldChar w:fldCharType="begin"/>
      </w:r>
      <w:r>
        <w:instrText xml:space="preserve"> PAGEREF _Toc524624582 \h </w:instrText>
      </w:r>
      <w:r>
        <w:fldChar w:fldCharType="separate"/>
      </w:r>
      <w:r>
        <w:t>33</w:t>
      </w:r>
      <w:r>
        <w:fldChar w:fldCharType="end"/>
      </w:r>
      <w:r>
        <w:fldChar w:fldCharType="end"/>
      </w:r>
    </w:p>
    <w:p>
      <w:pPr>
        <w:pStyle w:val="15"/>
        <w:tabs>
          <w:tab w:val="right" w:leader="dot" w:pos="8302"/>
        </w:tabs>
        <w:rPr>
          <w:kern w:val="2"/>
          <w:sz w:val="21"/>
        </w:rPr>
      </w:pPr>
      <w:r>
        <w:fldChar w:fldCharType="begin"/>
      </w:r>
      <w:r>
        <w:instrText xml:space="preserve"> HYPERLINK \l "_Toc524624583" </w:instrText>
      </w:r>
      <w:r>
        <w:fldChar w:fldCharType="separate"/>
      </w:r>
      <w:r>
        <w:rPr>
          <w:rStyle w:val="21"/>
          <w:rFonts w:ascii="Times New Roman" w:hAnsi="Times New Roman"/>
          <w:b/>
          <w:color w:val="auto"/>
        </w:rPr>
        <w:t xml:space="preserve">3.5 </w:t>
      </w:r>
      <w:r>
        <w:rPr>
          <w:rStyle w:val="21"/>
          <w:rFonts w:hint="eastAsia" w:ascii="Times New Roman" w:hAnsi="Times New Roman"/>
          <w:b/>
          <w:color w:val="auto"/>
        </w:rPr>
        <w:t>项目环境影响分析</w:t>
      </w:r>
      <w:r>
        <w:tab/>
      </w:r>
      <w:r>
        <w:fldChar w:fldCharType="begin"/>
      </w:r>
      <w:r>
        <w:instrText xml:space="preserve"> PAGEREF _Toc524624583 \h </w:instrText>
      </w:r>
      <w:r>
        <w:fldChar w:fldCharType="separate"/>
      </w:r>
      <w:r>
        <w:t>38</w:t>
      </w:r>
      <w:r>
        <w:fldChar w:fldCharType="end"/>
      </w:r>
      <w:r>
        <w:fldChar w:fldCharType="end"/>
      </w:r>
    </w:p>
    <w:p>
      <w:pPr>
        <w:pStyle w:val="7"/>
        <w:tabs>
          <w:tab w:val="right" w:leader="dot" w:pos="8302"/>
        </w:tabs>
        <w:rPr>
          <w:kern w:val="2"/>
          <w:sz w:val="21"/>
        </w:rPr>
      </w:pPr>
      <w:r>
        <w:fldChar w:fldCharType="begin"/>
      </w:r>
      <w:r>
        <w:instrText xml:space="preserve"> HYPERLINK \l "_Toc524624584" </w:instrText>
      </w:r>
      <w:r>
        <w:fldChar w:fldCharType="separate"/>
      </w:r>
      <w:r>
        <w:rPr>
          <w:rStyle w:val="21"/>
          <w:rFonts w:ascii="Times New Roman" w:hAnsi="Times New Roman"/>
          <w:b/>
          <w:color w:val="auto"/>
        </w:rPr>
        <w:t xml:space="preserve">3.5.1 </w:t>
      </w:r>
      <w:r>
        <w:rPr>
          <w:rStyle w:val="21"/>
          <w:rFonts w:hint="eastAsia" w:ascii="Times New Roman" w:hAnsi="Times New Roman"/>
          <w:b/>
          <w:color w:val="auto"/>
        </w:rPr>
        <w:t>建设期环境影响分析</w:t>
      </w:r>
      <w:r>
        <w:tab/>
      </w:r>
      <w:r>
        <w:fldChar w:fldCharType="begin"/>
      </w:r>
      <w:r>
        <w:instrText xml:space="preserve"> PAGEREF _Toc524624584 \h </w:instrText>
      </w:r>
      <w:r>
        <w:fldChar w:fldCharType="separate"/>
      </w:r>
      <w:r>
        <w:t>38</w:t>
      </w:r>
      <w:r>
        <w:fldChar w:fldCharType="end"/>
      </w:r>
      <w:r>
        <w:fldChar w:fldCharType="end"/>
      </w:r>
    </w:p>
    <w:p>
      <w:pPr>
        <w:pStyle w:val="7"/>
        <w:tabs>
          <w:tab w:val="right" w:leader="dot" w:pos="8302"/>
        </w:tabs>
        <w:rPr>
          <w:kern w:val="2"/>
          <w:sz w:val="21"/>
        </w:rPr>
      </w:pPr>
      <w:r>
        <w:fldChar w:fldCharType="begin"/>
      </w:r>
      <w:r>
        <w:instrText xml:space="preserve"> HYPERLINK \l "_Toc524624585" </w:instrText>
      </w:r>
      <w:r>
        <w:fldChar w:fldCharType="separate"/>
      </w:r>
      <w:r>
        <w:rPr>
          <w:rStyle w:val="21"/>
          <w:rFonts w:ascii="Times New Roman" w:hAnsi="Times New Roman"/>
          <w:b/>
          <w:color w:val="auto"/>
        </w:rPr>
        <w:t xml:space="preserve">3.5.2 </w:t>
      </w:r>
      <w:r>
        <w:rPr>
          <w:rStyle w:val="21"/>
          <w:rFonts w:hint="eastAsia" w:ascii="Times New Roman" w:hAnsi="Times New Roman"/>
          <w:b/>
          <w:color w:val="auto"/>
        </w:rPr>
        <w:t>运营期环境影响分析</w:t>
      </w:r>
      <w:r>
        <w:tab/>
      </w:r>
      <w:r>
        <w:fldChar w:fldCharType="begin"/>
      </w:r>
      <w:r>
        <w:instrText xml:space="preserve"> PAGEREF _Toc524624585 \h </w:instrText>
      </w:r>
      <w:r>
        <w:fldChar w:fldCharType="separate"/>
      </w:r>
      <w:r>
        <w:t>44</w:t>
      </w:r>
      <w:r>
        <w:fldChar w:fldCharType="end"/>
      </w:r>
      <w:r>
        <w:fldChar w:fldCharType="end"/>
      </w:r>
    </w:p>
    <w:p>
      <w:pPr>
        <w:pStyle w:val="7"/>
        <w:tabs>
          <w:tab w:val="right" w:leader="dot" w:pos="8302"/>
        </w:tabs>
        <w:rPr>
          <w:kern w:val="2"/>
          <w:sz w:val="21"/>
        </w:rPr>
      </w:pPr>
      <w:r>
        <w:fldChar w:fldCharType="begin"/>
      </w:r>
      <w:r>
        <w:instrText xml:space="preserve"> HYPERLINK \l "_Toc524624586" </w:instrText>
      </w:r>
      <w:r>
        <w:fldChar w:fldCharType="separate"/>
      </w:r>
      <w:r>
        <w:rPr>
          <w:rStyle w:val="21"/>
          <w:rFonts w:ascii="Times New Roman" w:hAnsi="Times New Roman"/>
          <w:b/>
          <w:color w:val="auto"/>
        </w:rPr>
        <w:t xml:space="preserve">3.5.3 </w:t>
      </w:r>
      <w:r>
        <w:rPr>
          <w:rStyle w:val="21"/>
          <w:rFonts w:hint="eastAsia" w:ascii="Times New Roman" w:hAnsi="Times New Roman"/>
          <w:b/>
          <w:color w:val="auto"/>
        </w:rPr>
        <w:t>退役闭井期环境影响分析</w:t>
      </w:r>
      <w:r>
        <w:tab/>
      </w:r>
      <w:r>
        <w:fldChar w:fldCharType="begin"/>
      </w:r>
      <w:r>
        <w:instrText xml:space="preserve"> PAGEREF _Toc524624586 \h </w:instrText>
      </w:r>
      <w:r>
        <w:fldChar w:fldCharType="separate"/>
      </w:r>
      <w:r>
        <w:t>47</w:t>
      </w:r>
      <w:r>
        <w:fldChar w:fldCharType="end"/>
      </w:r>
      <w:r>
        <w:fldChar w:fldCharType="end"/>
      </w:r>
    </w:p>
    <w:p>
      <w:pPr>
        <w:pStyle w:val="7"/>
        <w:tabs>
          <w:tab w:val="right" w:leader="dot" w:pos="8302"/>
        </w:tabs>
        <w:rPr>
          <w:kern w:val="2"/>
          <w:sz w:val="21"/>
        </w:rPr>
      </w:pPr>
      <w:r>
        <w:fldChar w:fldCharType="begin"/>
      </w:r>
      <w:r>
        <w:instrText xml:space="preserve"> HYPERLINK \l "_Toc524624587" </w:instrText>
      </w:r>
      <w:r>
        <w:fldChar w:fldCharType="separate"/>
      </w:r>
      <w:r>
        <w:rPr>
          <w:rStyle w:val="21"/>
          <w:rFonts w:ascii="Times New Roman" w:hAnsi="Times New Roman"/>
          <w:b/>
          <w:color w:val="auto"/>
        </w:rPr>
        <w:t xml:space="preserve">3.5.4 </w:t>
      </w:r>
      <w:r>
        <w:rPr>
          <w:rStyle w:val="21"/>
          <w:rFonts w:hint="eastAsia" w:ascii="Times New Roman" w:hAnsi="Times New Roman"/>
          <w:b/>
          <w:color w:val="auto"/>
        </w:rPr>
        <w:t>污染物排放总量汇总</w:t>
      </w:r>
      <w:r>
        <w:tab/>
      </w:r>
      <w:r>
        <w:fldChar w:fldCharType="begin"/>
      </w:r>
      <w:r>
        <w:instrText xml:space="preserve"> PAGEREF _Toc524624587 \h </w:instrText>
      </w:r>
      <w:r>
        <w:fldChar w:fldCharType="separate"/>
      </w:r>
      <w:r>
        <w:t>48</w:t>
      </w:r>
      <w:r>
        <w:fldChar w:fldCharType="end"/>
      </w:r>
      <w:r>
        <w:fldChar w:fldCharType="end"/>
      </w:r>
    </w:p>
    <w:p>
      <w:pPr>
        <w:pStyle w:val="15"/>
        <w:tabs>
          <w:tab w:val="right" w:leader="dot" w:pos="8302"/>
        </w:tabs>
        <w:rPr>
          <w:kern w:val="2"/>
          <w:sz w:val="21"/>
        </w:rPr>
      </w:pPr>
      <w:r>
        <w:fldChar w:fldCharType="begin"/>
      </w:r>
      <w:r>
        <w:instrText xml:space="preserve"> HYPERLINK \l "_Toc524624588" </w:instrText>
      </w:r>
      <w:r>
        <w:fldChar w:fldCharType="separate"/>
      </w:r>
      <w:r>
        <w:rPr>
          <w:rStyle w:val="21"/>
          <w:rFonts w:ascii="Times New Roman" w:hAnsi="Times New Roman"/>
          <w:b/>
          <w:color w:val="auto"/>
        </w:rPr>
        <w:t xml:space="preserve">3.6 </w:t>
      </w:r>
      <w:r>
        <w:rPr>
          <w:rStyle w:val="21"/>
          <w:rFonts w:hint="eastAsia" w:ascii="Times New Roman" w:hAnsi="Times New Roman"/>
          <w:b/>
          <w:color w:val="auto"/>
        </w:rPr>
        <w:t>项目扩建前后污染物排放量变化情况</w:t>
      </w:r>
      <w:r>
        <w:tab/>
      </w:r>
      <w:r>
        <w:fldChar w:fldCharType="begin"/>
      </w:r>
      <w:r>
        <w:instrText xml:space="preserve"> PAGEREF _Toc524624588 \h </w:instrText>
      </w:r>
      <w:r>
        <w:fldChar w:fldCharType="separate"/>
      </w:r>
      <w:r>
        <w:t>49</w:t>
      </w:r>
      <w:r>
        <w:fldChar w:fldCharType="end"/>
      </w:r>
      <w:r>
        <w:fldChar w:fldCharType="end"/>
      </w:r>
    </w:p>
    <w:p>
      <w:pPr>
        <w:pStyle w:val="15"/>
        <w:tabs>
          <w:tab w:val="right" w:leader="dot" w:pos="8302"/>
        </w:tabs>
        <w:rPr>
          <w:kern w:val="2"/>
          <w:sz w:val="21"/>
        </w:rPr>
      </w:pPr>
      <w:r>
        <w:fldChar w:fldCharType="begin"/>
      </w:r>
      <w:r>
        <w:instrText xml:space="preserve"> HYPERLINK \l "_Toc524624589" </w:instrText>
      </w:r>
      <w:r>
        <w:fldChar w:fldCharType="separate"/>
      </w:r>
      <w:r>
        <w:rPr>
          <w:rStyle w:val="21"/>
          <w:rFonts w:ascii="Times New Roman" w:hAnsi="Times New Roman"/>
          <w:b/>
          <w:color w:val="auto"/>
        </w:rPr>
        <w:t xml:space="preserve">3.7 </w:t>
      </w:r>
      <w:r>
        <w:rPr>
          <w:rStyle w:val="21"/>
          <w:rFonts w:hint="eastAsia" w:ascii="Times New Roman" w:hAnsi="Times New Roman"/>
          <w:b/>
          <w:color w:val="auto"/>
        </w:rPr>
        <w:t>总量控制</w:t>
      </w:r>
      <w:r>
        <w:tab/>
      </w:r>
      <w:r>
        <w:fldChar w:fldCharType="begin"/>
      </w:r>
      <w:r>
        <w:instrText xml:space="preserve"> PAGEREF _Toc524624589 \h </w:instrText>
      </w:r>
      <w:r>
        <w:fldChar w:fldCharType="separate"/>
      </w:r>
      <w:r>
        <w:t>49</w:t>
      </w:r>
      <w:r>
        <w:fldChar w:fldCharType="end"/>
      </w:r>
      <w:r>
        <w:fldChar w:fldCharType="end"/>
      </w:r>
    </w:p>
    <w:p>
      <w:pPr>
        <w:pStyle w:val="14"/>
        <w:rPr>
          <w:kern w:val="2"/>
          <w:sz w:val="21"/>
        </w:rPr>
      </w:pPr>
      <w:r>
        <w:fldChar w:fldCharType="begin"/>
      </w:r>
      <w:r>
        <w:instrText xml:space="preserve"> HYPERLINK \l "_Toc524624590" </w:instrText>
      </w:r>
      <w:r>
        <w:fldChar w:fldCharType="separate"/>
      </w:r>
      <w:r>
        <w:rPr>
          <w:rStyle w:val="21"/>
          <w:color w:val="auto"/>
        </w:rPr>
        <w:t xml:space="preserve">4 </w:t>
      </w:r>
      <w:r>
        <w:rPr>
          <w:rStyle w:val="21"/>
          <w:rFonts w:hint="eastAsia"/>
          <w:color w:val="auto"/>
        </w:rPr>
        <w:t>环境现状调查与评价</w:t>
      </w:r>
      <w:r>
        <w:tab/>
      </w:r>
      <w:r>
        <w:fldChar w:fldCharType="begin"/>
      </w:r>
      <w:r>
        <w:instrText xml:space="preserve"> PAGEREF _Toc524624590 \h </w:instrText>
      </w:r>
      <w:r>
        <w:fldChar w:fldCharType="separate"/>
      </w:r>
      <w:r>
        <w:t>50</w:t>
      </w:r>
      <w:r>
        <w:fldChar w:fldCharType="end"/>
      </w:r>
      <w:r>
        <w:fldChar w:fldCharType="end"/>
      </w:r>
    </w:p>
    <w:p>
      <w:pPr>
        <w:pStyle w:val="15"/>
        <w:tabs>
          <w:tab w:val="right" w:leader="dot" w:pos="8302"/>
        </w:tabs>
        <w:rPr>
          <w:kern w:val="2"/>
          <w:sz w:val="21"/>
        </w:rPr>
      </w:pPr>
      <w:r>
        <w:fldChar w:fldCharType="begin"/>
      </w:r>
      <w:r>
        <w:instrText xml:space="preserve"> HYPERLINK \l "_Toc524624591" </w:instrText>
      </w:r>
      <w:r>
        <w:fldChar w:fldCharType="separate"/>
      </w:r>
      <w:r>
        <w:rPr>
          <w:rStyle w:val="21"/>
          <w:rFonts w:ascii="Times New Roman" w:hAnsi="Times New Roman"/>
          <w:b/>
          <w:color w:val="auto"/>
        </w:rPr>
        <w:t xml:space="preserve">4.1 </w:t>
      </w:r>
      <w:r>
        <w:rPr>
          <w:rStyle w:val="21"/>
          <w:rFonts w:hint="eastAsia" w:ascii="Times New Roman" w:hAnsi="Times New Roman"/>
          <w:b/>
          <w:color w:val="auto"/>
        </w:rPr>
        <w:t>自然环境现状调查与评价</w:t>
      </w:r>
      <w:r>
        <w:tab/>
      </w:r>
      <w:r>
        <w:fldChar w:fldCharType="begin"/>
      </w:r>
      <w:r>
        <w:instrText xml:space="preserve"> PAGEREF _Toc524624591 \h </w:instrText>
      </w:r>
      <w:r>
        <w:fldChar w:fldCharType="separate"/>
      </w:r>
      <w:r>
        <w:t>50</w:t>
      </w:r>
      <w:r>
        <w:fldChar w:fldCharType="end"/>
      </w:r>
      <w:r>
        <w:fldChar w:fldCharType="end"/>
      </w:r>
    </w:p>
    <w:p>
      <w:pPr>
        <w:pStyle w:val="7"/>
        <w:tabs>
          <w:tab w:val="right" w:leader="dot" w:pos="8302"/>
        </w:tabs>
        <w:rPr>
          <w:kern w:val="2"/>
          <w:sz w:val="21"/>
        </w:rPr>
      </w:pPr>
      <w:r>
        <w:fldChar w:fldCharType="begin"/>
      </w:r>
      <w:r>
        <w:instrText xml:space="preserve"> HYPERLINK \l "_Toc524624592" </w:instrText>
      </w:r>
      <w:r>
        <w:fldChar w:fldCharType="separate"/>
      </w:r>
      <w:r>
        <w:rPr>
          <w:rStyle w:val="21"/>
          <w:rFonts w:ascii="Times New Roman" w:hAnsi="Times New Roman"/>
          <w:b/>
          <w:color w:val="auto"/>
        </w:rPr>
        <w:t>4.1.1</w:t>
      </w:r>
      <w:r>
        <w:rPr>
          <w:rStyle w:val="21"/>
          <w:rFonts w:hint="eastAsia" w:ascii="Times New Roman" w:hAnsi="Times New Roman"/>
          <w:b/>
          <w:color w:val="auto"/>
        </w:rPr>
        <w:t>项目地理位置</w:t>
      </w:r>
      <w:r>
        <w:tab/>
      </w:r>
      <w:r>
        <w:fldChar w:fldCharType="begin"/>
      </w:r>
      <w:r>
        <w:instrText xml:space="preserve"> PAGEREF _Toc524624592 \h </w:instrText>
      </w:r>
      <w:r>
        <w:fldChar w:fldCharType="separate"/>
      </w:r>
      <w:r>
        <w:t>50</w:t>
      </w:r>
      <w:r>
        <w:fldChar w:fldCharType="end"/>
      </w:r>
      <w:r>
        <w:fldChar w:fldCharType="end"/>
      </w:r>
    </w:p>
    <w:p>
      <w:pPr>
        <w:pStyle w:val="7"/>
        <w:tabs>
          <w:tab w:val="right" w:leader="dot" w:pos="8302"/>
        </w:tabs>
        <w:rPr>
          <w:kern w:val="2"/>
          <w:sz w:val="21"/>
        </w:rPr>
      </w:pPr>
      <w:r>
        <w:fldChar w:fldCharType="begin"/>
      </w:r>
      <w:r>
        <w:instrText xml:space="preserve"> HYPERLINK \l "_Toc524624593" </w:instrText>
      </w:r>
      <w:r>
        <w:fldChar w:fldCharType="separate"/>
      </w:r>
      <w:r>
        <w:rPr>
          <w:rStyle w:val="21"/>
          <w:rFonts w:ascii="Times New Roman" w:hAnsi="Times New Roman"/>
          <w:b/>
          <w:color w:val="auto"/>
        </w:rPr>
        <w:t xml:space="preserve">4.1.2 </w:t>
      </w:r>
      <w:r>
        <w:rPr>
          <w:rStyle w:val="21"/>
          <w:rFonts w:hint="eastAsia" w:ascii="Times New Roman" w:hAnsi="Times New Roman"/>
          <w:b/>
          <w:color w:val="auto"/>
        </w:rPr>
        <w:t>地形地貌</w:t>
      </w:r>
      <w:r>
        <w:tab/>
      </w:r>
      <w:r>
        <w:fldChar w:fldCharType="begin"/>
      </w:r>
      <w:r>
        <w:instrText xml:space="preserve"> PAGEREF _Toc524624593 \h </w:instrText>
      </w:r>
      <w:r>
        <w:fldChar w:fldCharType="separate"/>
      </w:r>
      <w:r>
        <w:t>50</w:t>
      </w:r>
      <w:r>
        <w:fldChar w:fldCharType="end"/>
      </w:r>
      <w:r>
        <w:fldChar w:fldCharType="end"/>
      </w:r>
    </w:p>
    <w:p>
      <w:pPr>
        <w:pStyle w:val="7"/>
        <w:tabs>
          <w:tab w:val="right" w:leader="dot" w:pos="8302"/>
        </w:tabs>
        <w:rPr>
          <w:kern w:val="2"/>
          <w:sz w:val="21"/>
        </w:rPr>
      </w:pPr>
      <w:r>
        <w:fldChar w:fldCharType="begin"/>
      </w:r>
      <w:r>
        <w:instrText xml:space="preserve"> HYPERLINK \l "_Toc524624594" </w:instrText>
      </w:r>
      <w:r>
        <w:fldChar w:fldCharType="separate"/>
      </w:r>
      <w:r>
        <w:rPr>
          <w:rStyle w:val="21"/>
          <w:rFonts w:ascii="Times New Roman" w:hAnsi="Times New Roman"/>
          <w:b/>
          <w:color w:val="auto"/>
        </w:rPr>
        <w:t xml:space="preserve">4.1.3 </w:t>
      </w:r>
      <w:r>
        <w:rPr>
          <w:rStyle w:val="21"/>
          <w:rFonts w:hint="eastAsia" w:ascii="Times New Roman" w:hAnsi="Times New Roman"/>
          <w:b/>
          <w:color w:val="auto"/>
        </w:rPr>
        <w:t>气候气象</w:t>
      </w:r>
      <w:r>
        <w:tab/>
      </w:r>
      <w:r>
        <w:fldChar w:fldCharType="begin"/>
      </w:r>
      <w:r>
        <w:instrText xml:space="preserve"> PAGEREF _Toc524624594 \h </w:instrText>
      </w:r>
      <w:r>
        <w:fldChar w:fldCharType="separate"/>
      </w:r>
      <w:r>
        <w:t>52</w:t>
      </w:r>
      <w:r>
        <w:fldChar w:fldCharType="end"/>
      </w:r>
      <w:r>
        <w:fldChar w:fldCharType="end"/>
      </w:r>
    </w:p>
    <w:p>
      <w:pPr>
        <w:pStyle w:val="7"/>
        <w:tabs>
          <w:tab w:val="right" w:leader="dot" w:pos="8302"/>
        </w:tabs>
        <w:rPr>
          <w:kern w:val="2"/>
          <w:sz w:val="21"/>
        </w:rPr>
      </w:pPr>
      <w:r>
        <w:fldChar w:fldCharType="begin"/>
      </w:r>
      <w:r>
        <w:instrText xml:space="preserve"> HYPERLINK \l "_Toc524624595" </w:instrText>
      </w:r>
      <w:r>
        <w:fldChar w:fldCharType="separate"/>
      </w:r>
      <w:r>
        <w:rPr>
          <w:rStyle w:val="21"/>
          <w:rFonts w:ascii="Times New Roman" w:hAnsi="Times New Roman"/>
          <w:b/>
          <w:color w:val="auto"/>
        </w:rPr>
        <w:t xml:space="preserve">4.1.4 </w:t>
      </w:r>
      <w:r>
        <w:rPr>
          <w:rStyle w:val="21"/>
          <w:rFonts w:hint="eastAsia" w:ascii="Times New Roman" w:hAnsi="Times New Roman"/>
          <w:b/>
          <w:color w:val="auto"/>
        </w:rPr>
        <w:t>水文条件</w:t>
      </w:r>
      <w:r>
        <w:tab/>
      </w:r>
      <w:r>
        <w:fldChar w:fldCharType="begin"/>
      </w:r>
      <w:r>
        <w:instrText xml:space="preserve"> PAGEREF _Toc524624595 \h </w:instrText>
      </w:r>
      <w:r>
        <w:fldChar w:fldCharType="separate"/>
      </w:r>
      <w:r>
        <w:t>52</w:t>
      </w:r>
      <w:r>
        <w:fldChar w:fldCharType="end"/>
      </w:r>
      <w:r>
        <w:fldChar w:fldCharType="end"/>
      </w:r>
    </w:p>
    <w:p>
      <w:pPr>
        <w:pStyle w:val="7"/>
        <w:tabs>
          <w:tab w:val="right" w:leader="dot" w:pos="8302"/>
        </w:tabs>
        <w:rPr>
          <w:kern w:val="2"/>
          <w:sz w:val="21"/>
        </w:rPr>
      </w:pPr>
      <w:r>
        <w:fldChar w:fldCharType="begin"/>
      </w:r>
      <w:r>
        <w:instrText xml:space="preserve"> HYPERLINK \l "_Toc524624596" </w:instrText>
      </w:r>
      <w:r>
        <w:fldChar w:fldCharType="separate"/>
      </w:r>
      <w:r>
        <w:rPr>
          <w:rStyle w:val="21"/>
          <w:rFonts w:ascii="Times New Roman" w:hAnsi="Times New Roman"/>
          <w:b/>
          <w:color w:val="auto"/>
        </w:rPr>
        <w:t xml:space="preserve">4.1.5 </w:t>
      </w:r>
      <w:r>
        <w:rPr>
          <w:rStyle w:val="21"/>
          <w:rFonts w:hint="eastAsia" w:ascii="Times New Roman" w:hAnsi="Times New Roman"/>
          <w:b/>
          <w:color w:val="auto"/>
        </w:rPr>
        <w:t>区域地质环境条件</w:t>
      </w:r>
      <w:r>
        <w:tab/>
      </w:r>
      <w:r>
        <w:fldChar w:fldCharType="begin"/>
      </w:r>
      <w:r>
        <w:instrText xml:space="preserve"> PAGEREF _Toc524624596 \h </w:instrText>
      </w:r>
      <w:r>
        <w:fldChar w:fldCharType="separate"/>
      </w:r>
      <w:r>
        <w:t>53</w:t>
      </w:r>
      <w:r>
        <w:fldChar w:fldCharType="end"/>
      </w:r>
      <w:r>
        <w:fldChar w:fldCharType="end"/>
      </w:r>
    </w:p>
    <w:p>
      <w:pPr>
        <w:pStyle w:val="7"/>
        <w:tabs>
          <w:tab w:val="right" w:leader="dot" w:pos="8302"/>
        </w:tabs>
        <w:rPr>
          <w:kern w:val="2"/>
          <w:sz w:val="21"/>
        </w:rPr>
      </w:pPr>
      <w:r>
        <w:fldChar w:fldCharType="begin"/>
      </w:r>
      <w:r>
        <w:instrText xml:space="preserve"> HYPERLINK \l "_Toc524624597" </w:instrText>
      </w:r>
      <w:r>
        <w:fldChar w:fldCharType="separate"/>
      </w:r>
      <w:r>
        <w:rPr>
          <w:rStyle w:val="21"/>
          <w:rFonts w:ascii="Times New Roman" w:hAnsi="Times New Roman"/>
          <w:b/>
          <w:color w:val="auto"/>
        </w:rPr>
        <w:t xml:space="preserve">4.1.6 </w:t>
      </w:r>
      <w:r>
        <w:rPr>
          <w:rStyle w:val="21"/>
          <w:rFonts w:hint="eastAsia" w:ascii="Times New Roman" w:hAnsi="Times New Roman"/>
          <w:b/>
          <w:color w:val="auto"/>
        </w:rPr>
        <w:t>水源地</w:t>
      </w:r>
      <w:r>
        <w:tab/>
      </w:r>
      <w:r>
        <w:fldChar w:fldCharType="begin"/>
      </w:r>
      <w:r>
        <w:instrText xml:space="preserve"> PAGEREF _Toc524624597 \h </w:instrText>
      </w:r>
      <w:r>
        <w:fldChar w:fldCharType="separate"/>
      </w:r>
      <w:r>
        <w:t>61</w:t>
      </w:r>
      <w:r>
        <w:fldChar w:fldCharType="end"/>
      </w:r>
      <w:r>
        <w:fldChar w:fldCharType="end"/>
      </w:r>
    </w:p>
    <w:p>
      <w:pPr>
        <w:pStyle w:val="7"/>
        <w:tabs>
          <w:tab w:val="right" w:leader="dot" w:pos="8302"/>
        </w:tabs>
        <w:rPr>
          <w:kern w:val="2"/>
          <w:sz w:val="21"/>
        </w:rPr>
      </w:pPr>
      <w:r>
        <w:fldChar w:fldCharType="begin"/>
      </w:r>
      <w:r>
        <w:instrText xml:space="preserve"> HYPERLINK \l "_Toc524624598" </w:instrText>
      </w:r>
      <w:r>
        <w:fldChar w:fldCharType="separate"/>
      </w:r>
      <w:r>
        <w:rPr>
          <w:rStyle w:val="21"/>
          <w:rFonts w:ascii="Times New Roman" w:hAnsi="Times New Roman"/>
          <w:b/>
          <w:color w:val="auto"/>
        </w:rPr>
        <w:t xml:space="preserve">4.1.7 </w:t>
      </w:r>
      <w:r>
        <w:rPr>
          <w:rStyle w:val="21"/>
          <w:rFonts w:hint="eastAsia" w:ascii="Times New Roman" w:hAnsi="Times New Roman"/>
          <w:b/>
          <w:color w:val="auto"/>
        </w:rPr>
        <w:t>生物资源</w:t>
      </w:r>
      <w:r>
        <w:tab/>
      </w:r>
      <w:r>
        <w:fldChar w:fldCharType="begin"/>
      </w:r>
      <w:r>
        <w:instrText xml:space="preserve"> PAGEREF _Toc524624598 \h </w:instrText>
      </w:r>
      <w:r>
        <w:fldChar w:fldCharType="separate"/>
      </w:r>
      <w:r>
        <w:t>61</w:t>
      </w:r>
      <w:r>
        <w:fldChar w:fldCharType="end"/>
      </w:r>
      <w:r>
        <w:fldChar w:fldCharType="end"/>
      </w:r>
    </w:p>
    <w:p>
      <w:pPr>
        <w:pStyle w:val="7"/>
        <w:tabs>
          <w:tab w:val="right" w:leader="dot" w:pos="8302"/>
        </w:tabs>
        <w:rPr>
          <w:kern w:val="2"/>
          <w:sz w:val="21"/>
        </w:rPr>
      </w:pPr>
      <w:r>
        <w:fldChar w:fldCharType="begin"/>
      </w:r>
      <w:r>
        <w:instrText xml:space="preserve"> HYPERLINK \l "_Toc524624599" </w:instrText>
      </w:r>
      <w:r>
        <w:fldChar w:fldCharType="separate"/>
      </w:r>
      <w:r>
        <w:rPr>
          <w:rStyle w:val="21"/>
          <w:rFonts w:ascii="Times New Roman" w:hAnsi="Times New Roman"/>
          <w:b/>
          <w:color w:val="auto"/>
        </w:rPr>
        <w:t xml:space="preserve">4.1.8 </w:t>
      </w:r>
      <w:r>
        <w:rPr>
          <w:rStyle w:val="21"/>
          <w:rFonts w:hint="eastAsia" w:ascii="Times New Roman" w:hAnsi="Times New Roman"/>
          <w:b/>
          <w:color w:val="auto"/>
        </w:rPr>
        <w:t>土壤</w:t>
      </w:r>
      <w:r>
        <w:tab/>
      </w:r>
      <w:r>
        <w:fldChar w:fldCharType="begin"/>
      </w:r>
      <w:r>
        <w:instrText xml:space="preserve"> PAGEREF _Toc524624599 \h </w:instrText>
      </w:r>
      <w:r>
        <w:fldChar w:fldCharType="separate"/>
      </w:r>
      <w:r>
        <w:t>62</w:t>
      </w:r>
      <w:r>
        <w:fldChar w:fldCharType="end"/>
      </w:r>
      <w:r>
        <w:fldChar w:fldCharType="end"/>
      </w:r>
    </w:p>
    <w:p>
      <w:pPr>
        <w:pStyle w:val="7"/>
        <w:tabs>
          <w:tab w:val="right" w:leader="dot" w:pos="8302"/>
        </w:tabs>
        <w:rPr>
          <w:kern w:val="2"/>
          <w:sz w:val="21"/>
        </w:rPr>
      </w:pPr>
      <w:r>
        <w:fldChar w:fldCharType="begin"/>
      </w:r>
      <w:r>
        <w:instrText xml:space="preserve"> HYPERLINK \l "_Toc524624600" </w:instrText>
      </w:r>
      <w:r>
        <w:fldChar w:fldCharType="separate"/>
      </w:r>
      <w:r>
        <w:rPr>
          <w:rStyle w:val="21"/>
          <w:rFonts w:ascii="Times New Roman" w:hAnsi="Times New Roman"/>
          <w:b/>
          <w:color w:val="auto"/>
        </w:rPr>
        <w:t xml:space="preserve">4.1.9 </w:t>
      </w:r>
      <w:r>
        <w:rPr>
          <w:rStyle w:val="21"/>
          <w:rFonts w:hint="eastAsia" w:ascii="Times New Roman" w:hAnsi="Times New Roman"/>
          <w:b/>
          <w:color w:val="auto"/>
        </w:rPr>
        <w:t>生态功能区划与生态经济区划</w:t>
      </w:r>
      <w:r>
        <w:tab/>
      </w:r>
      <w:r>
        <w:fldChar w:fldCharType="begin"/>
      </w:r>
      <w:r>
        <w:instrText xml:space="preserve"> PAGEREF _Toc524624600 \h </w:instrText>
      </w:r>
      <w:r>
        <w:fldChar w:fldCharType="separate"/>
      </w:r>
      <w:r>
        <w:t>62</w:t>
      </w:r>
      <w:r>
        <w:fldChar w:fldCharType="end"/>
      </w:r>
      <w:r>
        <w:fldChar w:fldCharType="end"/>
      </w:r>
    </w:p>
    <w:p>
      <w:pPr>
        <w:pStyle w:val="15"/>
        <w:tabs>
          <w:tab w:val="right" w:leader="dot" w:pos="8302"/>
        </w:tabs>
        <w:rPr>
          <w:kern w:val="2"/>
          <w:sz w:val="21"/>
        </w:rPr>
      </w:pPr>
      <w:r>
        <w:fldChar w:fldCharType="begin"/>
      </w:r>
      <w:r>
        <w:instrText xml:space="preserve"> HYPERLINK \l "_Toc524624601" </w:instrText>
      </w:r>
      <w:r>
        <w:fldChar w:fldCharType="separate"/>
      </w:r>
      <w:r>
        <w:rPr>
          <w:rStyle w:val="21"/>
          <w:rFonts w:ascii="Times New Roman" w:hAnsi="Times New Roman"/>
          <w:b/>
          <w:color w:val="auto"/>
        </w:rPr>
        <w:t xml:space="preserve">4.2 </w:t>
      </w:r>
      <w:r>
        <w:rPr>
          <w:rStyle w:val="21"/>
          <w:rFonts w:hint="eastAsia" w:ascii="Times New Roman" w:hAnsi="Times New Roman"/>
          <w:b/>
          <w:color w:val="auto"/>
        </w:rPr>
        <w:t>环境质量现状调查与评价</w:t>
      </w:r>
      <w:r>
        <w:tab/>
      </w:r>
      <w:r>
        <w:fldChar w:fldCharType="begin"/>
      </w:r>
      <w:r>
        <w:instrText xml:space="preserve"> PAGEREF _Toc524624601 \h </w:instrText>
      </w:r>
      <w:r>
        <w:fldChar w:fldCharType="separate"/>
      </w:r>
      <w:r>
        <w:t>62</w:t>
      </w:r>
      <w:r>
        <w:fldChar w:fldCharType="end"/>
      </w:r>
      <w:r>
        <w:fldChar w:fldCharType="end"/>
      </w:r>
    </w:p>
    <w:p>
      <w:pPr>
        <w:pStyle w:val="7"/>
        <w:tabs>
          <w:tab w:val="right" w:leader="dot" w:pos="8302"/>
        </w:tabs>
        <w:rPr>
          <w:kern w:val="2"/>
          <w:sz w:val="21"/>
        </w:rPr>
      </w:pPr>
      <w:r>
        <w:fldChar w:fldCharType="begin"/>
      </w:r>
      <w:r>
        <w:instrText xml:space="preserve"> HYPERLINK \l "_Toc524624602" </w:instrText>
      </w:r>
      <w:r>
        <w:fldChar w:fldCharType="separate"/>
      </w:r>
      <w:r>
        <w:rPr>
          <w:rStyle w:val="21"/>
          <w:rFonts w:ascii="Times New Roman" w:hAnsi="Times New Roman"/>
          <w:b/>
          <w:color w:val="auto"/>
        </w:rPr>
        <w:t xml:space="preserve">4.2.1 </w:t>
      </w:r>
      <w:r>
        <w:rPr>
          <w:rStyle w:val="21"/>
          <w:rFonts w:hint="eastAsia" w:ascii="Times New Roman" w:hAnsi="Times New Roman"/>
          <w:b/>
          <w:color w:val="auto"/>
        </w:rPr>
        <w:t>环境空气质量现状与评价</w:t>
      </w:r>
      <w:r>
        <w:tab/>
      </w:r>
      <w:r>
        <w:fldChar w:fldCharType="begin"/>
      </w:r>
      <w:r>
        <w:instrText xml:space="preserve"> PAGEREF _Toc524624602 \h </w:instrText>
      </w:r>
      <w:r>
        <w:fldChar w:fldCharType="separate"/>
      </w:r>
      <w:r>
        <w:t>62</w:t>
      </w:r>
      <w:r>
        <w:fldChar w:fldCharType="end"/>
      </w:r>
      <w:r>
        <w:fldChar w:fldCharType="end"/>
      </w:r>
    </w:p>
    <w:p>
      <w:pPr>
        <w:pStyle w:val="7"/>
        <w:tabs>
          <w:tab w:val="right" w:leader="dot" w:pos="8302"/>
        </w:tabs>
        <w:rPr>
          <w:kern w:val="2"/>
          <w:sz w:val="21"/>
        </w:rPr>
      </w:pPr>
      <w:r>
        <w:fldChar w:fldCharType="begin"/>
      </w:r>
      <w:r>
        <w:instrText xml:space="preserve"> HYPERLINK \l "_Toc524624603" </w:instrText>
      </w:r>
      <w:r>
        <w:fldChar w:fldCharType="separate"/>
      </w:r>
      <w:r>
        <w:rPr>
          <w:rStyle w:val="21"/>
          <w:rFonts w:ascii="Times New Roman" w:hAnsi="Times New Roman"/>
          <w:b/>
          <w:color w:val="auto"/>
        </w:rPr>
        <w:t xml:space="preserve">4.2.2 </w:t>
      </w:r>
      <w:r>
        <w:rPr>
          <w:rStyle w:val="21"/>
          <w:rFonts w:hint="eastAsia" w:ascii="Times New Roman" w:hAnsi="Times New Roman"/>
          <w:b/>
          <w:color w:val="auto"/>
        </w:rPr>
        <w:t>地表水质量现状与评价</w:t>
      </w:r>
      <w:r>
        <w:tab/>
      </w:r>
      <w:r>
        <w:fldChar w:fldCharType="begin"/>
      </w:r>
      <w:r>
        <w:instrText xml:space="preserve"> PAGEREF _Toc524624603 \h </w:instrText>
      </w:r>
      <w:r>
        <w:fldChar w:fldCharType="separate"/>
      </w:r>
      <w:r>
        <w:t>64</w:t>
      </w:r>
      <w:r>
        <w:fldChar w:fldCharType="end"/>
      </w:r>
      <w:r>
        <w:fldChar w:fldCharType="end"/>
      </w:r>
    </w:p>
    <w:p>
      <w:pPr>
        <w:pStyle w:val="7"/>
        <w:tabs>
          <w:tab w:val="right" w:leader="dot" w:pos="8302"/>
        </w:tabs>
        <w:rPr>
          <w:kern w:val="2"/>
          <w:sz w:val="21"/>
        </w:rPr>
      </w:pPr>
      <w:r>
        <w:fldChar w:fldCharType="begin"/>
      </w:r>
      <w:r>
        <w:instrText xml:space="preserve"> HYPERLINK \l "_Toc524624604" </w:instrText>
      </w:r>
      <w:r>
        <w:fldChar w:fldCharType="separate"/>
      </w:r>
      <w:r>
        <w:rPr>
          <w:rStyle w:val="21"/>
          <w:rFonts w:ascii="Times New Roman" w:hAnsi="Times New Roman"/>
          <w:b/>
          <w:color w:val="auto"/>
        </w:rPr>
        <w:t xml:space="preserve">4.2.3 </w:t>
      </w:r>
      <w:r>
        <w:rPr>
          <w:rStyle w:val="21"/>
          <w:rFonts w:hint="eastAsia" w:ascii="Times New Roman" w:hAnsi="Times New Roman"/>
          <w:b/>
          <w:color w:val="auto"/>
        </w:rPr>
        <w:t>地下水质量现状与评价</w:t>
      </w:r>
      <w:r>
        <w:tab/>
      </w:r>
      <w:r>
        <w:fldChar w:fldCharType="begin"/>
      </w:r>
      <w:r>
        <w:instrText xml:space="preserve"> PAGEREF _Toc524624604 \h </w:instrText>
      </w:r>
      <w:r>
        <w:fldChar w:fldCharType="separate"/>
      </w:r>
      <w:r>
        <w:t>66</w:t>
      </w:r>
      <w:r>
        <w:fldChar w:fldCharType="end"/>
      </w:r>
      <w:r>
        <w:fldChar w:fldCharType="end"/>
      </w:r>
    </w:p>
    <w:p>
      <w:pPr>
        <w:pStyle w:val="7"/>
        <w:tabs>
          <w:tab w:val="right" w:leader="dot" w:pos="8302"/>
        </w:tabs>
        <w:rPr>
          <w:kern w:val="2"/>
          <w:sz w:val="21"/>
        </w:rPr>
      </w:pPr>
      <w:r>
        <w:fldChar w:fldCharType="begin"/>
      </w:r>
      <w:r>
        <w:instrText xml:space="preserve"> HYPERLINK \l "_Toc524624605" </w:instrText>
      </w:r>
      <w:r>
        <w:fldChar w:fldCharType="separate"/>
      </w:r>
      <w:r>
        <w:rPr>
          <w:rStyle w:val="21"/>
          <w:rFonts w:ascii="Times New Roman" w:hAnsi="Times New Roman"/>
          <w:b/>
          <w:color w:val="auto"/>
        </w:rPr>
        <w:t xml:space="preserve">4.2.4 </w:t>
      </w:r>
      <w:r>
        <w:rPr>
          <w:rStyle w:val="21"/>
          <w:rFonts w:hint="eastAsia" w:ascii="Times New Roman" w:hAnsi="Times New Roman"/>
          <w:b/>
          <w:color w:val="auto"/>
        </w:rPr>
        <w:t>声环境质量现状与评价</w:t>
      </w:r>
      <w:r>
        <w:tab/>
      </w:r>
      <w:r>
        <w:fldChar w:fldCharType="begin"/>
      </w:r>
      <w:r>
        <w:instrText xml:space="preserve"> PAGEREF _Toc524624605 \h </w:instrText>
      </w:r>
      <w:r>
        <w:fldChar w:fldCharType="separate"/>
      </w:r>
      <w:r>
        <w:t>76</w:t>
      </w:r>
      <w:r>
        <w:fldChar w:fldCharType="end"/>
      </w:r>
      <w:r>
        <w:fldChar w:fldCharType="end"/>
      </w:r>
    </w:p>
    <w:p>
      <w:pPr>
        <w:pStyle w:val="7"/>
        <w:tabs>
          <w:tab w:val="right" w:leader="dot" w:pos="8302"/>
        </w:tabs>
        <w:rPr>
          <w:kern w:val="2"/>
          <w:sz w:val="21"/>
        </w:rPr>
      </w:pPr>
      <w:r>
        <w:fldChar w:fldCharType="begin"/>
      </w:r>
      <w:r>
        <w:instrText xml:space="preserve"> HYPERLINK \l "_Toc524624606" </w:instrText>
      </w:r>
      <w:r>
        <w:fldChar w:fldCharType="separate"/>
      </w:r>
      <w:r>
        <w:rPr>
          <w:rStyle w:val="21"/>
          <w:rFonts w:ascii="Times New Roman" w:hAnsi="Times New Roman"/>
          <w:b/>
          <w:color w:val="auto"/>
        </w:rPr>
        <w:t xml:space="preserve">4.2.5 </w:t>
      </w:r>
      <w:r>
        <w:rPr>
          <w:rStyle w:val="21"/>
          <w:rFonts w:hint="eastAsia" w:ascii="Times New Roman" w:hAnsi="Times New Roman"/>
          <w:b/>
          <w:color w:val="auto"/>
        </w:rPr>
        <w:t>生态环境质量现状与评价</w:t>
      </w:r>
      <w:r>
        <w:tab/>
      </w:r>
      <w:r>
        <w:fldChar w:fldCharType="begin"/>
      </w:r>
      <w:r>
        <w:instrText xml:space="preserve"> PAGEREF _Toc524624606 \h </w:instrText>
      </w:r>
      <w:r>
        <w:fldChar w:fldCharType="separate"/>
      </w:r>
      <w:r>
        <w:t>76</w:t>
      </w:r>
      <w:r>
        <w:fldChar w:fldCharType="end"/>
      </w:r>
      <w:r>
        <w:fldChar w:fldCharType="end"/>
      </w:r>
    </w:p>
    <w:p>
      <w:pPr>
        <w:pStyle w:val="14"/>
        <w:rPr>
          <w:kern w:val="2"/>
          <w:sz w:val="21"/>
        </w:rPr>
      </w:pPr>
      <w:r>
        <w:fldChar w:fldCharType="begin"/>
      </w:r>
      <w:r>
        <w:instrText xml:space="preserve"> HYPERLINK \l "_Toc524624607" </w:instrText>
      </w:r>
      <w:r>
        <w:fldChar w:fldCharType="separate"/>
      </w:r>
      <w:r>
        <w:rPr>
          <w:rStyle w:val="21"/>
          <w:color w:val="auto"/>
        </w:rPr>
        <w:t xml:space="preserve">5 </w:t>
      </w:r>
      <w:r>
        <w:rPr>
          <w:rStyle w:val="21"/>
          <w:rFonts w:hint="eastAsia"/>
          <w:color w:val="auto"/>
        </w:rPr>
        <w:t>环境影响预测与评价</w:t>
      </w:r>
      <w:r>
        <w:tab/>
      </w:r>
      <w:r>
        <w:fldChar w:fldCharType="begin"/>
      </w:r>
      <w:r>
        <w:instrText xml:space="preserve"> PAGEREF _Toc524624607 \h </w:instrText>
      </w:r>
      <w:r>
        <w:fldChar w:fldCharType="separate"/>
      </w:r>
      <w:r>
        <w:t>82</w:t>
      </w:r>
      <w:r>
        <w:fldChar w:fldCharType="end"/>
      </w:r>
      <w:r>
        <w:fldChar w:fldCharType="end"/>
      </w:r>
    </w:p>
    <w:p>
      <w:pPr>
        <w:pStyle w:val="15"/>
        <w:tabs>
          <w:tab w:val="right" w:leader="dot" w:pos="8302"/>
        </w:tabs>
        <w:rPr>
          <w:kern w:val="2"/>
          <w:sz w:val="21"/>
        </w:rPr>
      </w:pPr>
      <w:r>
        <w:fldChar w:fldCharType="begin"/>
      </w:r>
      <w:r>
        <w:instrText xml:space="preserve"> HYPERLINK \l "_Toc524624608" </w:instrText>
      </w:r>
      <w:r>
        <w:fldChar w:fldCharType="separate"/>
      </w:r>
      <w:r>
        <w:rPr>
          <w:rStyle w:val="21"/>
          <w:rFonts w:ascii="Times New Roman" w:hAnsi="Times New Roman"/>
          <w:b/>
          <w:color w:val="auto"/>
        </w:rPr>
        <w:t xml:space="preserve">5.1 </w:t>
      </w:r>
      <w:r>
        <w:rPr>
          <w:rStyle w:val="21"/>
          <w:rFonts w:hint="eastAsia" w:ascii="Times New Roman" w:hAnsi="Times New Roman"/>
          <w:b/>
          <w:color w:val="auto"/>
        </w:rPr>
        <w:t>建设期环境影响分析</w:t>
      </w:r>
      <w:r>
        <w:tab/>
      </w:r>
      <w:r>
        <w:fldChar w:fldCharType="begin"/>
      </w:r>
      <w:r>
        <w:instrText xml:space="preserve"> PAGEREF _Toc524624608 \h </w:instrText>
      </w:r>
      <w:r>
        <w:fldChar w:fldCharType="separate"/>
      </w:r>
      <w:r>
        <w:t>82</w:t>
      </w:r>
      <w:r>
        <w:fldChar w:fldCharType="end"/>
      </w:r>
      <w:r>
        <w:fldChar w:fldCharType="end"/>
      </w:r>
    </w:p>
    <w:p>
      <w:pPr>
        <w:pStyle w:val="7"/>
        <w:tabs>
          <w:tab w:val="right" w:leader="dot" w:pos="8302"/>
        </w:tabs>
        <w:rPr>
          <w:kern w:val="2"/>
          <w:sz w:val="21"/>
        </w:rPr>
      </w:pPr>
      <w:r>
        <w:fldChar w:fldCharType="begin"/>
      </w:r>
      <w:r>
        <w:instrText xml:space="preserve"> HYPERLINK \l "_Toc524624609" </w:instrText>
      </w:r>
      <w:r>
        <w:fldChar w:fldCharType="separate"/>
      </w:r>
      <w:r>
        <w:rPr>
          <w:rStyle w:val="21"/>
          <w:rFonts w:ascii="Times New Roman" w:hAnsi="Times New Roman"/>
          <w:b/>
          <w:color w:val="auto"/>
        </w:rPr>
        <w:t xml:space="preserve">5.1.1 </w:t>
      </w:r>
      <w:r>
        <w:rPr>
          <w:rStyle w:val="21"/>
          <w:rFonts w:hint="eastAsia" w:ascii="Times New Roman" w:hAnsi="Times New Roman"/>
          <w:b/>
          <w:color w:val="auto"/>
        </w:rPr>
        <w:t>建设期大气环境影响分析</w:t>
      </w:r>
      <w:r>
        <w:tab/>
      </w:r>
      <w:r>
        <w:fldChar w:fldCharType="begin"/>
      </w:r>
      <w:r>
        <w:instrText xml:space="preserve"> PAGEREF _Toc524624609 \h </w:instrText>
      </w:r>
      <w:r>
        <w:fldChar w:fldCharType="separate"/>
      </w:r>
      <w:r>
        <w:t>82</w:t>
      </w:r>
      <w:r>
        <w:fldChar w:fldCharType="end"/>
      </w:r>
      <w:r>
        <w:fldChar w:fldCharType="end"/>
      </w:r>
    </w:p>
    <w:p>
      <w:pPr>
        <w:pStyle w:val="7"/>
        <w:tabs>
          <w:tab w:val="right" w:leader="dot" w:pos="8302"/>
        </w:tabs>
        <w:rPr>
          <w:kern w:val="2"/>
          <w:sz w:val="21"/>
        </w:rPr>
      </w:pPr>
      <w:r>
        <w:fldChar w:fldCharType="begin"/>
      </w:r>
      <w:r>
        <w:instrText xml:space="preserve"> HYPERLINK \l "_Toc524624610" </w:instrText>
      </w:r>
      <w:r>
        <w:fldChar w:fldCharType="separate"/>
      </w:r>
      <w:r>
        <w:rPr>
          <w:rStyle w:val="21"/>
          <w:rFonts w:ascii="Times New Roman" w:hAnsi="Times New Roman"/>
          <w:b/>
          <w:color w:val="auto"/>
        </w:rPr>
        <w:t xml:space="preserve">5.1.2 </w:t>
      </w:r>
      <w:r>
        <w:rPr>
          <w:rStyle w:val="21"/>
          <w:rFonts w:hint="eastAsia" w:ascii="Times New Roman" w:hAnsi="Times New Roman"/>
          <w:b/>
          <w:color w:val="auto"/>
        </w:rPr>
        <w:t>建设期地表水环境影响分析</w:t>
      </w:r>
      <w:r>
        <w:tab/>
      </w:r>
      <w:r>
        <w:fldChar w:fldCharType="begin"/>
      </w:r>
      <w:r>
        <w:instrText xml:space="preserve"> PAGEREF _Toc524624610 \h </w:instrText>
      </w:r>
      <w:r>
        <w:fldChar w:fldCharType="separate"/>
      </w:r>
      <w:r>
        <w:t>82</w:t>
      </w:r>
      <w:r>
        <w:fldChar w:fldCharType="end"/>
      </w:r>
      <w:r>
        <w:fldChar w:fldCharType="end"/>
      </w:r>
    </w:p>
    <w:p>
      <w:pPr>
        <w:pStyle w:val="7"/>
        <w:tabs>
          <w:tab w:val="right" w:leader="dot" w:pos="8302"/>
        </w:tabs>
        <w:rPr>
          <w:kern w:val="2"/>
          <w:sz w:val="21"/>
        </w:rPr>
      </w:pPr>
      <w:r>
        <w:fldChar w:fldCharType="begin"/>
      </w:r>
      <w:r>
        <w:instrText xml:space="preserve"> HYPERLINK \l "_Toc524624611" </w:instrText>
      </w:r>
      <w:r>
        <w:fldChar w:fldCharType="separate"/>
      </w:r>
      <w:r>
        <w:rPr>
          <w:rStyle w:val="21"/>
          <w:rFonts w:ascii="Times New Roman" w:hAnsi="Times New Roman"/>
          <w:b/>
          <w:color w:val="auto"/>
        </w:rPr>
        <w:t xml:space="preserve">5.1.3 </w:t>
      </w:r>
      <w:r>
        <w:rPr>
          <w:rStyle w:val="21"/>
          <w:rFonts w:hint="eastAsia" w:ascii="Times New Roman" w:hAnsi="Times New Roman"/>
          <w:b/>
          <w:color w:val="auto"/>
        </w:rPr>
        <w:t>地下水环境影响分析</w:t>
      </w:r>
      <w:r>
        <w:tab/>
      </w:r>
      <w:r>
        <w:fldChar w:fldCharType="begin"/>
      </w:r>
      <w:r>
        <w:instrText xml:space="preserve"> PAGEREF _Toc524624611 \h </w:instrText>
      </w:r>
      <w:r>
        <w:fldChar w:fldCharType="separate"/>
      </w:r>
      <w:r>
        <w:t>83</w:t>
      </w:r>
      <w:r>
        <w:fldChar w:fldCharType="end"/>
      </w:r>
      <w:r>
        <w:fldChar w:fldCharType="end"/>
      </w:r>
    </w:p>
    <w:p>
      <w:pPr>
        <w:pStyle w:val="7"/>
        <w:tabs>
          <w:tab w:val="right" w:leader="dot" w:pos="8302"/>
        </w:tabs>
        <w:rPr>
          <w:kern w:val="2"/>
          <w:sz w:val="21"/>
        </w:rPr>
      </w:pPr>
      <w:r>
        <w:fldChar w:fldCharType="begin"/>
      </w:r>
      <w:r>
        <w:instrText xml:space="preserve"> HYPERLINK \l "_Toc524624612" </w:instrText>
      </w:r>
      <w:r>
        <w:fldChar w:fldCharType="separate"/>
      </w:r>
      <w:r>
        <w:rPr>
          <w:rStyle w:val="21"/>
          <w:rFonts w:ascii="Times New Roman" w:hAnsi="Times New Roman"/>
          <w:b/>
          <w:color w:val="auto"/>
        </w:rPr>
        <w:t xml:space="preserve">5.1.3 </w:t>
      </w:r>
      <w:r>
        <w:rPr>
          <w:rStyle w:val="21"/>
          <w:rFonts w:hint="eastAsia" w:ascii="Times New Roman" w:hAnsi="Times New Roman"/>
          <w:b/>
          <w:color w:val="auto"/>
        </w:rPr>
        <w:t>建设期声环境影响分析</w:t>
      </w:r>
      <w:r>
        <w:tab/>
      </w:r>
      <w:r>
        <w:fldChar w:fldCharType="begin"/>
      </w:r>
      <w:r>
        <w:instrText xml:space="preserve"> PAGEREF _Toc524624612 \h </w:instrText>
      </w:r>
      <w:r>
        <w:fldChar w:fldCharType="separate"/>
      </w:r>
      <w:r>
        <w:t>92</w:t>
      </w:r>
      <w:r>
        <w:fldChar w:fldCharType="end"/>
      </w:r>
      <w:r>
        <w:fldChar w:fldCharType="end"/>
      </w:r>
    </w:p>
    <w:p>
      <w:pPr>
        <w:pStyle w:val="7"/>
        <w:tabs>
          <w:tab w:val="right" w:leader="dot" w:pos="8302"/>
        </w:tabs>
        <w:rPr>
          <w:kern w:val="2"/>
          <w:sz w:val="21"/>
        </w:rPr>
      </w:pPr>
      <w:r>
        <w:fldChar w:fldCharType="begin"/>
      </w:r>
      <w:r>
        <w:instrText xml:space="preserve"> HYPERLINK \l "_Toc524624613" </w:instrText>
      </w:r>
      <w:r>
        <w:fldChar w:fldCharType="separate"/>
      </w:r>
      <w:r>
        <w:rPr>
          <w:rStyle w:val="21"/>
          <w:rFonts w:ascii="Times New Roman" w:hAnsi="Times New Roman"/>
          <w:b/>
          <w:color w:val="auto"/>
        </w:rPr>
        <w:t xml:space="preserve">5.1.4 </w:t>
      </w:r>
      <w:r>
        <w:rPr>
          <w:rStyle w:val="21"/>
          <w:rFonts w:hint="eastAsia" w:ascii="Times New Roman" w:hAnsi="Times New Roman"/>
          <w:b/>
          <w:color w:val="auto"/>
        </w:rPr>
        <w:t>建设期固体废物环境影响分析</w:t>
      </w:r>
      <w:r>
        <w:tab/>
      </w:r>
      <w:r>
        <w:fldChar w:fldCharType="begin"/>
      </w:r>
      <w:r>
        <w:instrText xml:space="preserve"> PAGEREF _Toc524624613 \h </w:instrText>
      </w:r>
      <w:r>
        <w:fldChar w:fldCharType="separate"/>
      </w:r>
      <w:r>
        <w:t>95</w:t>
      </w:r>
      <w:r>
        <w:fldChar w:fldCharType="end"/>
      </w:r>
      <w:r>
        <w:fldChar w:fldCharType="end"/>
      </w:r>
    </w:p>
    <w:p>
      <w:pPr>
        <w:pStyle w:val="7"/>
        <w:tabs>
          <w:tab w:val="right" w:leader="dot" w:pos="8302"/>
        </w:tabs>
        <w:rPr>
          <w:kern w:val="2"/>
          <w:sz w:val="21"/>
        </w:rPr>
      </w:pPr>
      <w:r>
        <w:fldChar w:fldCharType="begin"/>
      </w:r>
      <w:r>
        <w:instrText xml:space="preserve"> HYPERLINK \l "_Toc524624614" </w:instrText>
      </w:r>
      <w:r>
        <w:fldChar w:fldCharType="separate"/>
      </w:r>
      <w:r>
        <w:rPr>
          <w:rStyle w:val="21"/>
          <w:rFonts w:ascii="Times New Roman" w:hAnsi="Times New Roman"/>
          <w:b/>
          <w:color w:val="auto"/>
        </w:rPr>
        <w:t xml:space="preserve">5.1.5 </w:t>
      </w:r>
      <w:r>
        <w:rPr>
          <w:rStyle w:val="21"/>
          <w:rFonts w:hint="eastAsia" w:ascii="Times New Roman" w:hAnsi="Times New Roman"/>
          <w:b/>
          <w:color w:val="auto"/>
        </w:rPr>
        <w:t>建设期生态环境影响分析</w:t>
      </w:r>
      <w:r>
        <w:tab/>
      </w:r>
      <w:r>
        <w:fldChar w:fldCharType="begin"/>
      </w:r>
      <w:r>
        <w:instrText xml:space="preserve"> PAGEREF _Toc524624614 \h </w:instrText>
      </w:r>
      <w:r>
        <w:fldChar w:fldCharType="separate"/>
      </w:r>
      <w:r>
        <w:t>96</w:t>
      </w:r>
      <w:r>
        <w:fldChar w:fldCharType="end"/>
      </w:r>
      <w:r>
        <w:fldChar w:fldCharType="end"/>
      </w:r>
    </w:p>
    <w:p>
      <w:pPr>
        <w:pStyle w:val="15"/>
        <w:tabs>
          <w:tab w:val="right" w:leader="dot" w:pos="8302"/>
        </w:tabs>
        <w:rPr>
          <w:kern w:val="2"/>
          <w:sz w:val="21"/>
        </w:rPr>
      </w:pPr>
      <w:r>
        <w:fldChar w:fldCharType="begin"/>
      </w:r>
      <w:r>
        <w:instrText xml:space="preserve"> HYPERLINK \l "_Toc524624615" </w:instrText>
      </w:r>
      <w:r>
        <w:fldChar w:fldCharType="separate"/>
      </w:r>
      <w:r>
        <w:rPr>
          <w:rStyle w:val="21"/>
          <w:rFonts w:ascii="Times New Roman" w:hAnsi="Times New Roman"/>
          <w:b/>
          <w:color w:val="auto"/>
        </w:rPr>
        <w:t xml:space="preserve">5.2 </w:t>
      </w:r>
      <w:r>
        <w:rPr>
          <w:rStyle w:val="21"/>
          <w:rFonts w:hint="eastAsia" w:ascii="Times New Roman" w:hAnsi="Times New Roman"/>
          <w:b/>
          <w:color w:val="auto"/>
        </w:rPr>
        <w:t>运营期环境影响分析</w:t>
      </w:r>
      <w:r>
        <w:tab/>
      </w:r>
      <w:r>
        <w:fldChar w:fldCharType="begin"/>
      </w:r>
      <w:r>
        <w:instrText xml:space="preserve"> PAGEREF _Toc524624615 \h </w:instrText>
      </w:r>
      <w:r>
        <w:fldChar w:fldCharType="separate"/>
      </w:r>
      <w:r>
        <w:t>98</w:t>
      </w:r>
      <w:r>
        <w:fldChar w:fldCharType="end"/>
      </w:r>
      <w:r>
        <w:fldChar w:fldCharType="end"/>
      </w:r>
    </w:p>
    <w:p>
      <w:pPr>
        <w:pStyle w:val="7"/>
        <w:tabs>
          <w:tab w:val="right" w:leader="dot" w:pos="8302"/>
        </w:tabs>
        <w:rPr>
          <w:kern w:val="2"/>
          <w:sz w:val="21"/>
        </w:rPr>
      </w:pPr>
      <w:r>
        <w:fldChar w:fldCharType="begin"/>
      </w:r>
      <w:r>
        <w:instrText xml:space="preserve"> HYPERLINK \l "_Toc524624616" </w:instrText>
      </w:r>
      <w:r>
        <w:fldChar w:fldCharType="separate"/>
      </w:r>
      <w:r>
        <w:rPr>
          <w:rStyle w:val="21"/>
          <w:rFonts w:ascii="Times New Roman" w:hAnsi="Times New Roman"/>
          <w:b/>
          <w:color w:val="auto"/>
        </w:rPr>
        <w:t xml:space="preserve">5.2.1 </w:t>
      </w:r>
      <w:r>
        <w:rPr>
          <w:rStyle w:val="21"/>
          <w:rFonts w:hint="eastAsia" w:ascii="Times New Roman" w:hAnsi="Times New Roman"/>
          <w:b/>
          <w:color w:val="auto"/>
        </w:rPr>
        <w:t>运营期大气环境影响分析</w:t>
      </w:r>
      <w:r>
        <w:tab/>
      </w:r>
      <w:r>
        <w:fldChar w:fldCharType="begin"/>
      </w:r>
      <w:r>
        <w:instrText xml:space="preserve"> PAGEREF _Toc524624616 \h </w:instrText>
      </w:r>
      <w:r>
        <w:fldChar w:fldCharType="separate"/>
      </w:r>
      <w:r>
        <w:t>98</w:t>
      </w:r>
      <w:r>
        <w:fldChar w:fldCharType="end"/>
      </w:r>
      <w:r>
        <w:fldChar w:fldCharType="end"/>
      </w:r>
    </w:p>
    <w:p>
      <w:pPr>
        <w:pStyle w:val="7"/>
        <w:tabs>
          <w:tab w:val="right" w:leader="dot" w:pos="8302"/>
        </w:tabs>
        <w:rPr>
          <w:kern w:val="2"/>
          <w:sz w:val="21"/>
        </w:rPr>
      </w:pPr>
      <w:r>
        <w:fldChar w:fldCharType="begin"/>
      </w:r>
      <w:r>
        <w:instrText xml:space="preserve"> HYPERLINK \l "_Toc524624619" </w:instrText>
      </w:r>
      <w:r>
        <w:fldChar w:fldCharType="separate"/>
      </w:r>
      <w:r>
        <w:rPr>
          <w:rStyle w:val="21"/>
          <w:rFonts w:ascii="Times New Roman" w:hAnsi="Times New Roman"/>
          <w:b/>
          <w:color w:val="auto"/>
        </w:rPr>
        <w:t xml:space="preserve">5.2.2 </w:t>
      </w:r>
      <w:r>
        <w:rPr>
          <w:rStyle w:val="21"/>
          <w:rFonts w:hint="eastAsia" w:ascii="Times New Roman" w:hAnsi="Times New Roman"/>
          <w:b/>
          <w:color w:val="auto"/>
        </w:rPr>
        <w:t>运营期地表水环境影响分析</w:t>
      </w:r>
      <w:r>
        <w:tab/>
      </w:r>
      <w:r>
        <w:fldChar w:fldCharType="begin"/>
      </w:r>
      <w:r>
        <w:instrText xml:space="preserve"> PAGEREF _Toc524624619 \h </w:instrText>
      </w:r>
      <w:r>
        <w:fldChar w:fldCharType="separate"/>
      </w:r>
      <w:r>
        <w:t>100</w:t>
      </w:r>
      <w:r>
        <w:fldChar w:fldCharType="end"/>
      </w:r>
      <w:r>
        <w:fldChar w:fldCharType="end"/>
      </w:r>
    </w:p>
    <w:p>
      <w:pPr>
        <w:pStyle w:val="7"/>
        <w:tabs>
          <w:tab w:val="right" w:leader="dot" w:pos="8302"/>
        </w:tabs>
        <w:rPr>
          <w:kern w:val="2"/>
          <w:sz w:val="21"/>
        </w:rPr>
      </w:pPr>
      <w:r>
        <w:fldChar w:fldCharType="begin"/>
      </w:r>
      <w:r>
        <w:instrText xml:space="preserve"> HYPERLINK \l "_Toc524624620" </w:instrText>
      </w:r>
      <w:r>
        <w:fldChar w:fldCharType="separate"/>
      </w:r>
      <w:r>
        <w:rPr>
          <w:rStyle w:val="21"/>
          <w:rFonts w:ascii="Times New Roman" w:hAnsi="Times New Roman"/>
          <w:b/>
          <w:color w:val="auto"/>
        </w:rPr>
        <w:t xml:space="preserve">5.2.3 </w:t>
      </w:r>
      <w:r>
        <w:rPr>
          <w:rStyle w:val="21"/>
          <w:rFonts w:hint="eastAsia" w:ascii="Times New Roman" w:hAnsi="Times New Roman"/>
          <w:b/>
          <w:color w:val="auto"/>
        </w:rPr>
        <w:t>运营期地下水环境影响分析</w:t>
      </w:r>
      <w:r>
        <w:tab/>
      </w:r>
      <w:r>
        <w:fldChar w:fldCharType="begin"/>
      </w:r>
      <w:r>
        <w:instrText xml:space="preserve"> PAGEREF _Toc524624620 \h </w:instrText>
      </w:r>
      <w:r>
        <w:fldChar w:fldCharType="separate"/>
      </w:r>
      <w:r>
        <w:t>101</w:t>
      </w:r>
      <w:r>
        <w:fldChar w:fldCharType="end"/>
      </w:r>
      <w:r>
        <w:fldChar w:fldCharType="end"/>
      </w:r>
    </w:p>
    <w:p>
      <w:pPr>
        <w:pStyle w:val="7"/>
        <w:tabs>
          <w:tab w:val="right" w:leader="dot" w:pos="8302"/>
        </w:tabs>
        <w:rPr>
          <w:kern w:val="2"/>
          <w:sz w:val="21"/>
        </w:rPr>
      </w:pPr>
      <w:r>
        <w:fldChar w:fldCharType="begin"/>
      </w:r>
      <w:r>
        <w:instrText xml:space="preserve"> HYPERLINK \l "_Toc524624621" </w:instrText>
      </w:r>
      <w:r>
        <w:fldChar w:fldCharType="separate"/>
      </w:r>
      <w:r>
        <w:rPr>
          <w:rStyle w:val="21"/>
          <w:rFonts w:ascii="Times New Roman" w:hAnsi="Times New Roman"/>
          <w:b/>
          <w:color w:val="auto"/>
        </w:rPr>
        <w:t xml:space="preserve">5.2.4 </w:t>
      </w:r>
      <w:r>
        <w:rPr>
          <w:rStyle w:val="21"/>
          <w:rFonts w:hint="eastAsia" w:ascii="Times New Roman" w:hAnsi="Times New Roman"/>
          <w:b/>
          <w:color w:val="auto"/>
        </w:rPr>
        <w:t>运营期噪声影响分析</w:t>
      </w:r>
      <w:r>
        <w:tab/>
      </w:r>
      <w:r>
        <w:fldChar w:fldCharType="begin"/>
      </w:r>
      <w:r>
        <w:instrText xml:space="preserve"> PAGEREF _Toc524624621 \h </w:instrText>
      </w:r>
      <w:r>
        <w:fldChar w:fldCharType="separate"/>
      </w:r>
      <w:r>
        <w:t>124</w:t>
      </w:r>
      <w:r>
        <w:fldChar w:fldCharType="end"/>
      </w:r>
      <w:r>
        <w:fldChar w:fldCharType="end"/>
      </w:r>
    </w:p>
    <w:p>
      <w:pPr>
        <w:pStyle w:val="7"/>
        <w:tabs>
          <w:tab w:val="right" w:leader="dot" w:pos="8302"/>
        </w:tabs>
        <w:rPr>
          <w:kern w:val="2"/>
          <w:sz w:val="21"/>
        </w:rPr>
      </w:pPr>
      <w:r>
        <w:fldChar w:fldCharType="begin"/>
      </w:r>
      <w:r>
        <w:instrText xml:space="preserve"> HYPERLINK \l "_Toc524624622" </w:instrText>
      </w:r>
      <w:r>
        <w:fldChar w:fldCharType="separate"/>
      </w:r>
      <w:r>
        <w:rPr>
          <w:rStyle w:val="21"/>
          <w:rFonts w:ascii="Times New Roman" w:hAnsi="Times New Roman"/>
          <w:b/>
          <w:color w:val="auto"/>
        </w:rPr>
        <w:t xml:space="preserve">5.2.5 </w:t>
      </w:r>
      <w:r>
        <w:rPr>
          <w:rStyle w:val="21"/>
          <w:rFonts w:hint="eastAsia" w:ascii="Times New Roman" w:hAnsi="Times New Roman"/>
          <w:b/>
          <w:color w:val="auto"/>
        </w:rPr>
        <w:t>运营期固体废物影响分析</w:t>
      </w:r>
      <w:r>
        <w:tab/>
      </w:r>
      <w:r>
        <w:fldChar w:fldCharType="begin"/>
      </w:r>
      <w:r>
        <w:instrText xml:space="preserve"> PAGEREF _Toc524624622 \h </w:instrText>
      </w:r>
      <w:r>
        <w:fldChar w:fldCharType="separate"/>
      </w:r>
      <w:r>
        <w:t>127</w:t>
      </w:r>
      <w:r>
        <w:fldChar w:fldCharType="end"/>
      </w:r>
      <w:r>
        <w:fldChar w:fldCharType="end"/>
      </w:r>
    </w:p>
    <w:p>
      <w:pPr>
        <w:pStyle w:val="7"/>
        <w:tabs>
          <w:tab w:val="right" w:leader="dot" w:pos="8302"/>
        </w:tabs>
        <w:rPr>
          <w:kern w:val="2"/>
          <w:sz w:val="21"/>
        </w:rPr>
      </w:pPr>
      <w:r>
        <w:fldChar w:fldCharType="begin"/>
      </w:r>
      <w:r>
        <w:instrText xml:space="preserve"> HYPERLINK \l "_Toc524624623" </w:instrText>
      </w:r>
      <w:r>
        <w:fldChar w:fldCharType="separate"/>
      </w:r>
      <w:r>
        <w:rPr>
          <w:rStyle w:val="21"/>
          <w:rFonts w:ascii="Times New Roman" w:hAnsi="Times New Roman"/>
          <w:b/>
          <w:color w:val="auto"/>
        </w:rPr>
        <w:t xml:space="preserve">5.2.6 </w:t>
      </w:r>
      <w:r>
        <w:rPr>
          <w:rStyle w:val="21"/>
          <w:rFonts w:hint="eastAsia" w:ascii="Times New Roman" w:hAnsi="Times New Roman"/>
          <w:b/>
          <w:color w:val="auto"/>
        </w:rPr>
        <w:t>运营期生态影响分析</w:t>
      </w:r>
      <w:r>
        <w:tab/>
      </w:r>
      <w:r>
        <w:fldChar w:fldCharType="begin"/>
      </w:r>
      <w:r>
        <w:instrText xml:space="preserve"> PAGEREF _Toc524624623 \h </w:instrText>
      </w:r>
      <w:r>
        <w:fldChar w:fldCharType="separate"/>
      </w:r>
      <w:r>
        <w:t>127</w:t>
      </w:r>
      <w:r>
        <w:fldChar w:fldCharType="end"/>
      </w:r>
      <w:r>
        <w:fldChar w:fldCharType="end"/>
      </w:r>
    </w:p>
    <w:p>
      <w:pPr>
        <w:pStyle w:val="15"/>
        <w:tabs>
          <w:tab w:val="right" w:leader="dot" w:pos="8302"/>
        </w:tabs>
        <w:rPr>
          <w:kern w:val="2"/>
          <w:sz w:val="21"/>
        </w:rPr>
      </w:pPr>
      <w:r>
        <w:fldChar w:fldCharType="begin"/>
      </w:r>
      <w:r>
        <w:instrText xml:space="preserve"> HYPERLINK \l "_Toc524624624" </w:instrText>
      </w:r>
      <w:r>
        <w:fldChar w:fldCharType="separate"/>
      </w:r>
      <w:r>
        <w:rPr>
          <w:rStyle w:val="21"/>
          <w:rFonts w:ascii="Times New Roman" w:hAnsi="Times New Roman"/>
          <w:b/>
          <w:color w:val="auto"/>
        </w:rPr>
        <w:t xml:space="preserve">5.3 </w:t>
      </w:r>
      <w:r>
        <w:rPr>
          <w:rStyle w:val="21"/>
          <w:rFonts w:hint="eastAsia" w:ascii="Times New Roman" w:hAnsi="Times New Roman"/>
          <w:b/>
          <w:color w:val="auto"/>
        </w:rPr>
        <w:t>环境风险评价</w:t>
      </w:r>
      <w:r>
        <w:tab/>
      </w:r>
      <w:r>
        <w:fldChar w:fldCharType="begin"/>
      </w:r>
      <w:r>
        <w:instrText xml:space="preserve"> PAGEREF _Toc524624624 \h </w:instrText>
      </w:r>
      <w:r>
        <w:fldChar w:fldCharType="separate"/>
      </w:r>
      <w:r>
        <w:t>128</w:t>
      </w:r>
      <w:r>
        <w:fldChar w:fldCharType="end"/>
      </w:r>
      <w:r>
        <w:fldChar w:fldCharType="end"/>
      </w:r>
    </w:p>
    <w:p>
      <w:pPr>
        <w:pStyle w:val="7"/>
        <w:tabs>
          <w:tab w:val="right" w:leader="dot" w:pos="8302"/>
        </w:tabs>
        <w:rPr>
          <w:kern w:val="2"/>
          <w:sz w:val="21"/>
        </w:rPr>
      </w:pPr>
      <w:r>
        <w:fldChar w:fldCharType="begin"/>
      </w:r>
      <w:r>
        <w:instrText xml:space="preserve"> HYPERLINK \l "_Toc524624625" </w:instrText>
      </w:r>
      <w:r>
        <w:fldChar w:fldCharType="separate"/>
      </w:r>
      <w:r>
        <w:rPr>
          <w:rStyle w:val="21"/>
          <w:rFonts w:ascii="Times New Roman" w:hAnsi="Times New Roman"/>
          <w:b/>
          <w:color w:val="auto"/>
        </w:rPr>
        <w:t xml:space="preserve">5.3.1 </w:t>
      </w:r>
      <w:r>
        <w:rPr>
          <w:rStyle w:val="21"/>
          <w:rFonts w:hint="eastAsia" w:ascii="Times New Roman" w:hAnsi="Times New Roman"/>
          <w:b/>
          <w:color w:val="auto"/>
        </w:rPr>
        <w:t>环境风险评价的目的和重点</w:t>
      </w:r>
      <w:r>
        <w:tab/>
      </w:r>
      <w:r>
        <w:fldChar w:fldCharType="begin"/>
      </w:r>
      <w:r>
        <w:instrText xml:space="preserve"> PAGEREF _Toc524624625 \h </w:instrText>
      </w:r>
      <w:r>
        <w:fldChar w:fldCharType="separate"/>
      </w:r>
      <w:r>
        <w:t>128</w:t>
      </w:r>
      <w:r>
        <w:fldChar w:fldCharType="end"/>
      </w:r>
      <w:r>
        <w:fldChar w:fldCharType="end"/>
      </w:r>
    </w:p>
    <w:p>
      <w:pPr>
        <w:pStyle w:val="7"/>
        <w:tabs>
          <w:tab w:val="right" w:leader="dot" w:pos="8302"/>
        </w:tabs>
        <w:rPr>
          <w:kern w:val="2"/>
          <w:sz w:val="21"/>
        </w:rPr>
      </w:pPr>
      <w:r>
        <w:fldChar w:fldCharType="begin"/>
      </w:r>
      <w:r>
        <w:instrText xml:space="preserve"> HYPERLINK \l "_Toc524624626" </w:instrText>
      </w:r>
      <w:r>
        <w:fldChar w:fldCharType="separate"/>
      </w:r>
      <w:r>
        <w:rPr>
          <w:rStyle w:val="21"/>
          <w:rFonts w:ascii="Times New Roman" w:hAnsi="Times New Roman"/>
          <w:b/>
          <w:color w:val="auto"/>
        </w:rPr>
        <w:t>5.3.2</w:t>
      </w:r>
      <w:r>
        <w:rPr>
          <w:rStyle w:val="21"/>
          <w:rFonts w:hint="eastAsia" w:ascii="Times New Roman" w:hAnsi="Times New Roman"/>
          <w:b/>
          <w:color w:val="auto"/>
        </w:rPr>
        <w:t>评价工作等级、评价范围的确定</w:t>
      </w:r>
      <w:r>
        <w:tab/>
      </w:r>
      <w:r>
        <w:fldChar w:fldCharType="begin"/>
      </w:r>
      <w:r>
        <w:instrText xml:space="preserve"> PAGEREF _Toc524624626 \h </w:instrText>
      </w:r>
      <w:r>
        <w:fldChar w:fldCharType="separate"/>
      </w:r>
      <w:r>
        <w:t>128</w:t>
      </w:r>
      <w:r>
        <w:fldChar w:fldCharType="end"/>
      </w:r>
      <w:r>
        <w:fldChar w:fldCharType="end"/>
      </w:r>
    </w:p>
    <w:p>
      <w:pPr>
        <w:pStyle w:val="7"/>
        <w:tabs>
          <w:tab w:val="right" w:leader="dot" w:pos="8302"/>
        </w:tabs>
        <w:rPr>
          <w:kern w:val="2"/>
          <w:sz w:val="21"/>
        </w:rPr>
      </w:pPr>
      <w:r>
        <w:fldChar w:fldCharType="begin"/>
      </w:r>
      <w:r>
        <w:instrText xml:space="preserve"> HYPERLINK \l "_Toc524624627" </w:instrText>
      </w:r>
      <w:r>
        <w:fldChar w:fldCharType="separate"/>
      </w:r>
      <w:r>
        <w:rPr>
          <w:rStyle w:val="21"/>
          <w:rFonts w:ascii="Times New Roman" w:hAnsi="Times New Roman"/>
          <w:b/>
          <w:color w:val="auto"/>
        </w:rPr>
        <w:t>5.3.3</w:t>
      </w:r>
      <w:r>
        <w:rPr>
          <w:rStyle w:val="21"/>
          <w:rFonts w:hint="eastAsia" w:ascii="Times New Roman" w:hAnsi="Times New Roman"/>
          <w:b/>
          <w:color w:val="auto"/>
        </w:rPr>
        <w:t>风险识别</w:t>
      </w:r>
      <w:r>
        <w:tab/>
      </w:r>
      <w:r>
        <w:fldChar w:fldCharType="begin"/>
      </w:r>
      <w:r>
        <w:instrText xml:space="preserve"> PAGEREF _Toc524624627 \h </w:instrText>
      </w:r>
      <w:r>
        <w:fldChar w:fldCharType="separate"/>
      </w:r>
      <w:r>
        <w:t>129</w:t>
      </w:r>
      <w:r>
        <w:fldChar w:fldCharType="end"/>
      </w:r>
      <w:r>
        <w:fldChar w:fldCharType="end"/>
      </w:r>
    </w:p>
    <w:p>
      <w:pPr>
        <w:pStyle w:val="7"/>
        <w:tabs>
          <w:tab w:val="right" w:leader="dot" w:pos="8302"/>
        </w:tabs>
        <w:rPr>
          <w:kern w:val="2"/>
          <w:sz w:val="21"/>
        </w:rPr>
      </w:pPr>
      <w:r>
        <w:fldChar w:fldCharType="begin"/>
      </w:r>
      <w:r>
        <w:instrText xml:space="preserve"> HYPERLINK \l "_Toc524624628" </w:instrText>
      </w:r>
      <w:r>
        <w:fldChar w:fldCharType="separate"/>
      </w:r>
      <w:r>
        <w:rPr>
          <w:rStyle w:val="21"/>
          <w:rFonts w:ascii="Times New Roman" w:hAnsi="Times New Roman"/>
          <w:b/>
          <w:color w:val="auto"/>
        </w:rPr>
        <w:t xml:space="preserve">5.3.4 </w:t>
      </w:r>
      <w:r>
        <w:rPr>
          <w:rStyle w:val="21"/>
          <w:rFonts w:hint="eastAsia" w:ascii="Times New Roman" w:hAnsi="Times New Roman"/>
          <w:b/>
          <w:color w:val="auto"/>
        </w:rPr>
        <w:t>源项分析</w:t>
      </w:r>
      <w:r>
        <w:tab/>
      </w:r>
      <w:r>
        <w:fldChar w:fldCharType="begin"/>
      </w:r>
      <w:r>
        <w:instrText xml:space="preserve"> PAGEREF _Toc524624628 \h </w:instrText>
      </w:r>
      <w:r>
        <w:fldChar w:fldCharType="separate"/>
      </w:r>
      <w:r>
        <w:t>131</w:t>
      </w:r>
      <w:r>
        <w:fldChar w:fldCharType="end"/>
      </w:r>
      <w:r>
        <w:fldChar w:fldCharType="end"/>
      </w:r>
    </w:p>
    <w:p>
      <w:pPr>
        <w:pStyle w:val="7"/>
        <w:tabs>
          <w:tab w:val="right" w:leader="dot" w:pos="8302"/>
        </w:tabs>
        <w:rPr>
          <w:kern w:val="2"/>
          <w:sz w:val="21"/>
        </w:rPr>
      </w:pPr>
      <w:r>
        <w:fldChar w:fldCharType="begin"/>
      </w:r>
      <w:r>
        <w:instrText xml:space="preserve"> HYPERLINK \l "_Toc524624629" </w:instrText>
      </w:r>
      <w:r>
        <w:fldChar w:fldCharType="separate"/>
      </w:r>
      <w:r>
        <w:rPr>
          <w:rStyle w:val="21"/>
          <w:rFonts w:ascii="Times New Roman" w:hAnsi="Times New Roman"/>
          <w:b/>
          <w:color w:val="auto"/>
        </w:rPr>
        <w:t xml:space="preserve">5.3.5 </w:t>
      </w:r>
      <w:r>
        <w:rPr>
          <w:rStyle w:val="21"/>
          <w:rFonts w:hint="eastAsia" w:ascii="Times New Roman" w:hAnsi="Times New Roman"/>
          <w:b/>
          <w:color w:val="auto"/>
        </w:rPr>
        <w:t>后果计算</w:t>
      </w:r>
      <w:r>
        <w:tab/>
      </w:r>
      <w:r>
        <w:fldChar w:fldCharType="begin"/>
      </w:r>
      <w:r>
        <w:instrText xml:space="preserve"> PAGEREF _Toc524624629 \h </w:instrText>
      </w:r>
      <w:r>
        <w:fldChar w:fldCharType="separate"/>
      </w:r>
      <w:r>
        <w:t>132</w:t>
      </w:r>
      <w:r>
        <w:fldChar w:fldCharType="end"/>
      </w:r>
      <w:r>
        <w:fldChar w:fldCharType="end"/>
      </w:r>
    </w:p>
    <w:p>
      <w:pPr>
        <w:pStyle w:val="7"/>
        <w:tabs>
          <w:tab w:val="right" w:leader="dot" w:pos="8302"/>
        </w:tabs>
        <w:rPr>
          <w:kern w:val="2"/>
          <w:sz w:val="21"/>
        </w:rPr>
      </w:pPr>
      <w:r>
        <w:fldChar w:fldCharType="begin"/>
      </w:r>
      <w:r>
        <w:instrText xml:space="preserve"> HYPERLINK \l "_Toc524624630" </w:instrText>
      </w:r>
      <w:r>
        <w:fldChar w:fldCharType="separate"/>
      </w:r>
      <w:r>
        <w:rPr>
          <w:rStyle w:val="21"/>
          <w:rFonts w:ascii="Times New Roman" w:hAnsi="Times New Roman"/>
          <w:b/>
          <w:color w:val="auto"/>
        </w:rPr>
        <w:t xml:space="preserve">5.3.6 </w:t>
      </w:r>
      <w:r>
        <w:rPr>
          <w:rStyle w:val="21"/>
          <w:rFonts w:hint="eastAsia" w:ascii="Times New Roman" w:hAnsi="Times New Roman"/>
          <w:b/>
          <w:color w:val="auto"/>
        </w:rPr>
        <w:t>事故风险对环境的影响</w:t>
      </w:r>
      <w:r>
        <w:tab/>
      </w:r>
      <w:r>
        <w:fldChar w:fldCharType="begin"/>
      </w:r>
      <w:r>
        <w:instrText xml:space="preserve"> PAGEREF _Toc524624630 \h </w:instrText>
      </w:r>
      <w:r>
        <w:fldChar w:fldCharType="separate"/>
      </w:r>
      <w:r>
        <w:t>133</w:t>
      </w:r>
      <w:r>
        <w:fldChar w:fldCharType="end"/>
      </w:r>
      <w:r>
        <w:fldChar w:fldCharType="end"/>
      </w:r>
    </w:p>
    <w:p>
      <w:pPr>
        <w:pStyle w:val="7"/>
        <w:tabs>
          <w:tab w:val="right" w:leader="dot" w:pos="8302"/>
        </w:tabs>
        <w:rPr>
          <w:kern w:val="2"/>
          <w:sz w:val="21"/>
        </w:rPr>
      </w:pPr>
      <w:r>
        <w:fldChar w:fldCharType="begin"/>
      </w:r>
      <w:r>
        <w:instrText xml:space="preserve"> HYPERLINK \l "_Toc524624631" </w:instrText>
      </w:r>
      <w:r>
        <w:fldChar w:fldCharType="separate"/>
      </w:r>
      <w:r>
        <w:rPr>
          <w:rStyle w:val="21"/>
          <w:rFonts w:ascii="Times New Roman" w:hAnsi="Times New Roman"/>
          <w:b/>
          <w:color w:val="auto"/>
        </w:rPr>
        <w:t xml:space="preserve">5.3.7 </w:t>
      </w:r>
      <w:r>
        <w:rPr>
          <w:rStyle w:val="21"/>
          <w:rFonts w:hint="eastAsia" w:ascii="Times New Roman" w:hAnsi="Times New Roman"/>
          <w:b/>
          <w:color w:val="auto"/>
        </w:rPr>
        <w:t>环境风险防范措施</w:t>
      </w:r>
      <w:r>
        <w:tab/>
      </w:r>
      <w:r>
        <w:fldChar w:fldCharType="begin"/>
      </w:r>
      <w:r>
        <w:instrText xml:space="preserve"> PAGEREF _Toc524624631 \h </w:instrText>
      </w:r>
      <w:r>
        <w:fldChar w:fldCharType="separate"/>
      </w:r>
      <w:r>
        <w:t>135</w:t>
      </w:r>
      <w:r>
        <w:fldChar w:fldCharType="end"/>
      </w:r>
      <w:r>
        <w:fldChar w:fldCharType="end"/>
      </w:r>
    </w:p>
    <w:p>
      <w:pPr>
        <w:pStyle w:val="7"/>
        <w:tabs>
          <w:tab w:val="right" w:leader="dot" w:pos="8302"/>
        </w:tabs>
        <w:rPr>
          <w:kern w:val="2"/>
          <w:sz w:val="21"/>
        </w:rPr>
      </w:pPr>
      <w:r>
        <w:fldChar w:fldCharType="begin"/>
      </w:r>
      <w:r>
        <w:instrText xml:space="preserve"> HYPERLINK \l "_Toc524624632" </w:instrText>
      </w:r>
      <w:r>
        <w:fldChar w:fldCharType="separate"/>
      </w:r>
      <w:r>
        <w:rPr>
          <w:rStyle w:val="21"/>
          <w:rFonts w:ascii="Times New Roman" w:hAnsi="Times New Roman"/>
          <w:b/>
          <w:color w:val="auto"/>
        </w:rPr>
        <w:t xml:space="preserve">5.3.8 </w:t>
      </w:r>
      <w:r>
        <w:rPr>
          <w:rStyle w:val="21"/>
          <w:rFonts w:hint="eastAsia" w:ascii="Times New Roman" w:hAnsi="Times New Roman"/>
          <w:b/>
          <w:color w:val="auto"/>
        </w:rPr>
        <w:t>应急预案</w:t>
      </w:r>
      <w:r>
        <w:tab/>
      </w:r>
      <w:r>
        <w:fldChar w:fldCharType="begin"/>
      </w:r>
      <w:r>
        <w:instrText xml:space="preserve"> PAGEREF _Toc524624632 \h </w:instrText>
      </w:r>
      <w:r>
        <w:fldChar w:fldCharType="separate"/>
      </w:r>
      <w:r>
        <w:t>136</w:t>
      </w:r>
      <w:r>
        <w:fldChar w:fldCharType="end"/>
      </w:r>
      <w:r>
        <w:fldChar w:fldCharType="end"/>
      </w:r>
    </w:p>
    <w:p>
      <w:pPr>
        <w:pStyle w:val="7"/>
        <w:tabs>
          <w:tab w:val="right" w:leader="dot" w:pos="8302"/>
        </w:tabs>
        <w:rPr>
          <w:kern w:val="2"/>
          <w:sz w:val="21"/>
        </w:rPr>
      </w:pPr>
      <w:r>
        <w:fldChar w:fldCharType="begin"/>
      </w:r>
      <w:r>
        <w:instrText xml:space="preserve"> HYPERLINK \l "_Toc524624633" </w:instrText>
      </w:r>
      <w:r>
        <w:fldChar w:fldCharType="separate"/>
      </w:r>
      <w:r>
        <w:rPr>
          <w:rStyle w:val="21"/>
          <w:rFonts w:ascii="Times New Roman" w:hAnsi="Times New Roman"/>
          <w:b/>
          <w:color w:val="auto"/>
        </w:rPr>
        <w:t xml:space="preserve">5.3.9 </w:t>
      </w:r>
      <w:r>
        <w:rPr>
          <w:rStyle w:val="21"/>
          <w:rFonts w:hint="eastAsia" w:ascii="Times New Roman" w:hAnsi="Times New Roman"/>
          <w:b/>
          <w:color w:val="auto"/>
        </w:rPr>
        <w:t>环境风险评价结论</w:t>
      </w:r>
      <w:r>
        <w:tab/>
      </w:r>
      <w:r>
        <w:fldChar w:fldCharType="begin"/>
      </w:r>
      <w:r>
        <w:instrText xml:space="preserve"> PAGEREF _Toc524624633 \h </w:instrText>
      </w:r>
      <w:r>
        <w:fldChar w:fldCharType="separate"/>
      </w:r>
      <w:r>
        <w:t>138</w:t>
      </w:r>
      <w:r>
        <w:fldChar w:fldCharType="end"/>
      </w:r>
      <w:r>
        <w:fldChar w:fldCharType="end"/>
      </w:r>
    </w:p>
    <w:p>
      <w:pPr>
        <w:pStyle w:val="14"/>
        <w:rPr>
          <w:kern w:val="2"/>
          <w:sz w:val="21"/>
        </w:rPr>
      </w:pPr>
      <w:r>
        <w:fldChar w:fldCharType="begin"/>
      </w:r>
      <w:r>
        <w:instrText xml:space="preserve"> HYPERLINK \l "_Toc524624634" </w:instrText>
      </w:r>
      <w:r>
        <w:fldChar w:fldCharType="separate"/>
      </w:r>
      <w:r>
        <w:rPr>
          <w:rStyle w:val="21"/>
          <w:color w:val="auto"/>
        </w:rPr>
        <w:t xml:space="preserve">6 </w:t>
      </w:r>
      <w:r>
        <w:rPr>
          <w:rStyle w:val="21"/>
          <w:rFonts w:hint="eastAsia"/>
          <w:color w:val="auto"/>
        </w:rPr>
        <w:t>环境保护措施及可行性论证</w:t>
      </w:r>
      <w:r>
        <w:tab/>
      </w:r>
      <w:r>
        <w:fldChar w:fldCharType="begin"/>
      </w:r>
      <w:r>
        <w:instrText xml:space="preserve"> PAGEREF _Toc524624634 \h </w:instrText>
      </w:r>
      <w:r>
        <w:fldChar w:fldCharType="separate"/>
      </w:r>
      <w:r>
        <w:t>140</w:t>
      </w:r>
      <w:r>
        <w:fldChar w:fldCharType="end"/>
      </w:r>
      <w:r>
        <w:fldChar w:fldCharType="end"/>
      </w:r>
    </w:p>
    <w:p>
      <w:pPr>
        <w:pStyle w:val="15"/>
        <w:tabs>
          <w:tab w:val="right" w:leader="dot" w:pos="8302"/>
        </w:tabs>
        <w:rPr>
          <w:kern w:val="2"/>
          <w:sz w:val="21"/>
        </w:rPr>
      </w:pPr>
      <w:r>
        <w:fldChar w:fldCharType="begin"/>
      </w:r>
      <w:r>
        <w:instrText xml:space="preserve"> HYPERLINK \l "_Toc524624635" </w:instrText>
      </w:r>
      <w:r>
        <w:fldChar w:fldCharType="separate"/>
      </w:r>
      <w:r>
        <w:rPr>
          <w:rStyle w:val="21"/>
          <w:rFonts w:ascii="Times New Roman" w:hAnsi="Times New Roman"/>
          <w:b/>
          <w:color w:val="auto"/>
        </w:rPr>
        <w:t xml:space="preserve">6.1 </w:t>
      </w:r>
      <w:r>
        <w:rPr>
          <w:rStyle w:val="21"/>
          <w:rFonts w:hint="eastAsia" w:ascii="Times New Roman" w:hAnsi="Times New Roman"/>
          <w:b/>
          <w:color w:val="auto"/>
        </w:rPr>
        <w:t>建设期环保措施分析</w:t>
      </w:r>
      <w:r>
        <w:tab/>
      </w:r>
      <w:r>
        <w:fldChar w:fldCharType="begin"/>
      </w:r>
      <w:r>
        <w:instrText xml:space="preserve"> PAGEREF _Toc524624635 \h </w:instrText>
      </w:r>
      <w:r>
        <w:fldChar w:fldCharType="separate"/>
      </w:r>
      <w:r>
        <w:t>140</w:t>
      </w:r>
      <w:r>
        <w:fldChar w:fldCharType="end"/>
      </w:r>
      <w:r>
        <w:fldChar w:fldCharType="end"/>
      </w:r>
    </w:p>
    <w:p>
      <w:pPr>
        <w:pStyle w:val="7"/>
        <w:tabs>
          <w:tab w:val="right" w:leader="dot" w:pos="8302"/>
        </w:tabs>
        <w:rPr>
          <w:kern w:val="2"/>
          <w:sz w:val="21"/>
        </w:rPr>
      </w:pPr>
      <w:r>
        <w:fldChar w:fldCharType="begin"/>
      </w:r>
      <w:r>
        <w:instrText xml:space="preserve"> HYPERLINK \l "_Toc524624636" </w:instrText>
      </w:r>
      <w:r>
        <w:fldChar w:fldCharType="separate"/>
      </w:r>
      <w:r>
        <w:rPr>
          <w:rStyle w:val="21"/>
          <w:rFonts w:ascii="Times New Roman" w:hAnsi="Times New Roman"/>
          <w:b/>
          <w:color w:val="auto"/>
        </w:rPr>
        <w:t xml:space="preserve">6.1.1 </w:t>
      </w:r>
      <w:r>
        <w:rPr>
          <w:rStyle w:val="21"/>
          <w:rFonts w:hint="eastAsia" w:ascii="Times New Roman" w:hAnsi="Times New Roman"/>
          <w:b/>
          <w:color w:val="auto"/>
        </w:rPr>
        <w:t>建设期大气污染防治措施</w:t>
      </w:r>
      <w:r>
        <w:tab/>
      </w:r>
      <w:r>
        <w:fldChar w:fldCharType="begin"/>
      </w:r>
      <w:r>
        <w:instrText xml:space="preserve"> PAGEREF _Toc524624636 \h </w:instrText>
      </w:r>
      <w:r>
        <w:fldChar w:fldCharType="separate"/>
      </w:r>
      <w:r>
        <w:t>140</w:t>
      </w:r>
      <w:r>
        <w:fldChar w:fldCharType="end"/>
      </w:r>
      <w:r>
        <w:fldChar w:fldCharType="end"/>
      </w:r>
    </w:p>
    <w:p>
      <w:pPr>
        <w:pStyle w:val="7"/>
        <w:tabs>
          <w:tab w:val="right" w:leader="dot" w:pos="8302"/>
        </w:tabs>
        <w:rPr>
          <w:kern w:val="2"/>
          <w:sz w:val="21"/>
        </w:rPr>
      </w:pPr>
      <w:r>
        <w:fldChar w:fldCharType="begin"/>
      </w:r>
      <w:r>
        <w:instrText xml:space="preserve"> HYPERLINK \l "_Toc524624637" </w:instrText>
      </w:r>
      <w:r>
        <w:fldChar w:fldCharType="separate"/>
      </w:r>
      <w:r>
        <w:rPr>
          <w:rStyle w:val="21"/>
          <w:rFonts w:ascii="Times New Roman" w:hAnsi="Times New Roman"/>
          <w:b/>
          <w:color w:val="auto"/>
        </w:rPr>
        <w:t xml:space="preserve">6.1.2 </w:t>
      </w:r>
      <w:r>
        <w:rPr>
          <w:rStyle w:val="21"/>
          <w:rFonts w:hint="eastAsia" w:ascii="Times New Roman" w:hAnsi="Times New Roman"/>
          <w:b/>
          <w:color w:val="auto"/>
        </w:rPr>
        <w:t>建设期废水治理措施</w:t>
      </w:r>
      <w:r>
        <w:tab/>
      </w:r>
      <w:r>
        <w:fldChar w:fldCharType="begin"/>
      </w:r>
      <w:r>
        <w:instrText xml:space="preserve"> PAGEREF _Toc524624637 \h </w:instrText>
      </w:r>
      <w:r>
        <w:fldChar w:fldCharType="separate"/>
      </w:r>
      <w:r>
        <w:t>141</w:t>
      </w:r>
      <w:r>
        <w:fldChar w:fldCharType="end"/>
      </w:r>
      <w:r>
        <w:fldChar w:fldCharType="end"/>
      </w:r>
    </w:p>
    <w:p>
      <w:pPr>
        <w:pStyle w:val="7"/>
        <w:tabs>
          <w:tab w:val="right" w:leader="dot" w:pos="8302"/>
        </w:tabs>
        <w:rPr>
          <w:kern w:val="2"/>
          <w:sz w:val="21"/>
        </w:rPr>
      </w:pPr>
      <w:r>
        <w:fldChar w:fldCharType="begin"/>
      </w:r>
      <w:r>
        <w:instrText xml:space="preserve"> HYPERLINK \l "_Toc524624638" </w:instrText>
      </w:r>
      <w:r>
        <w:fldChar w:fldCharType="separate"/>
      </w:r>
      <w:r>
        <w:rPr>
          <w:rStyle w:val="21"/>
          <w:rFonts w:ascii="Times New Roman" w:hAnsi="Times New Roman"/>
          <w:b/>
          <w:color w:val="auto"/>
        </w:rPr>
        <w:t xml:space="preserve">6.1.3 </w:t>
      </w:r>
      <w:r>
        <w:rPr>
          <w:rStyle w:val="21"/>
          <w:rFonts w:hint="eastAsia" w:ascii="Times New Roman" w:hAnsi="Times New Roman"/>
          <w:b/>
          <w:color w:val="auto"/>
        </w:rPr>
        <w:t>建设期地下水保护措施</w:t>
      </w:r>
      <w:r>
        <w:tab/>
      </w:r>
      <w:r>
        <w:fldChar w:fldCharType="begin"/>
      </w:r>
      <w:r>
        <w:instrText xml:space="preserve"> PAGEREF _Toc524624638 \h </w:instrText>
      </w:r>
      <w:r>
        <w:fldChar w:fldCharType="separate"/>
      </w:r>
      <w:r>
        <w:t>142</w:t>
      </w:r>
      <w:r>
        <w:fldChar w:fldCharType="end"/>
      </w:r>
      <w:r>
        <w:fldChar w:fldCharType="end"/>
      </w:r>
    </w:p>
    <w:p>
      <w:pPr>
        <w:pStyle w:val="7"/>
        <w:tabs>
          <w:tab w:val="right" w:leader="dot" w:pos="8302"/>
        </w:tabs>
        <w:rPr>
          <w:kern w:val="2"/>
          <w:sz w:val="21"/>
        </w:rPr>
      </w:pPr>
      <w:r>
        <w:fldChar w:fldCharType="begin"/>
      </w:r>
      <w:r>
        <w:instrText xml:space="preserve"> HYPERLINK \l "_Toc524624639" </w:instrText>
      </w:r>
      <w:r>
        <w:fldChar w:fldCharType="separate"/>
      </w:r>
      <w:r>
        <w:rPr>
          <w:rStyle w:val="21"/>
          <w:rFonts w:ascii="Times New Roman" w:hAnsi="Times New Roman"/>
          <w:b/>
          <w:color w:val="auto"/>
        </w:rPr>
        <w:t xml:space="preserve">6.1.4 </w:t>
      </w:r>
      <w:r>
        <w:rPr>
          <w:rStyle w:val="21"/>
          <w:rFonts w:hint="eastAsia" w:ascii="Times New Roman" w:hAnsi="Times New Roman"/>
          <w:b/>
          <w:color w:val="auto"/>
        </w:rPr>
        <w:t>建设期噪声治理措施</w:t>
      </w:r>
      <w:r>
        <w:tab/>
      </w:r>
      <w:r>
        <w:fldChar w:fldCharType="begin"/>
      </w:r>
      <w:r>
        <w:instrText xml:space="preserve"> PAGEREF _Toc524624639 \h </w:instrText>
      </w:r>
      <w:r>
        <w:fldChar w:fldCharType="separate"/>
      </w:r>
      <w:r>
        <w:t>143</w:t>
      </w:r>
      <w:r>
        <w:fldChar w:fldCharType="end"/>
      </w:r>
      <w:r>
        <w:fldChar w:fldCharType="end"/>
      </w:r>
    </w:p>
    <w:p>
      <w:pPr>
        <w:pStyle w:val="7"/>
        <w:tabs>
          <w:tab w:val="right" w:leader="dot" w:pos="8302"/>
        </w:tabs>
        <w:rPr>
          <w:kern w:val="2"/>
          <w:sz w:val="21"/>
        </w:rPr>
      </w:pPr>
      <w:r>
        <w:fldChar w:fldCharType="begin"/>
      </w:r>
      <w:r>
        <w:instrText xml:space="preserve"> HYPERLINK \l "_Toc524624640" </w:instrText>
      </w:r>
      <w:r>
        <w:fldChar w:fldCharType="separate"/>
      </w:r>
      <w:r>
        <w:rPr>
          <w:rStyle w:val="21"/>
          <w:rFonts w:ascii="Times New Roman" w:hAnsi="Times New Roman"/>
          <w:b/>
          <w:color w:val="auto"/>
        </w:rPr>
        <w:t xml:space="preserve">6.1.5 </w:t>
      </w:r>
      <w:r>
        <w:rPr>
          <w:rStyle w:val="21"/>
          <w:rFonts w:hint="eastAsia" w:ascii="Times New Roman" w:hAnsi="Times New Roman"/>
          <w:b/>
          <w:color w:val="auto"/>
        </w:rPr>
        <w:t>建设期固体废物治理措施</w:t>
      </w:r>
      <w:r>
        <w:tab/>
      </w:r>
      <w:r>
        <w:fldChar w:fldCharType="begin"/>
      </w:r>
      <w:r>
        <w:instrText xml:space="preserve"> PAGEREF _Toc524624640 \h </w:instrText>
      </w:r>
      <w:r>
        <w:fldChar w:fldCharType="separate"/>
      </w:r>
      <w:r>
        <w:t>143</w:t>
      </w:r>
      <w:r>
        <w:fldChar w:fldCharType="end"/>
      </w:r>
      <w:r>
        <w:fldChar w:fldCharType="end"/>
      </w:r>
    </w:p>
    <w:p>
      <w:pPr>
        <w:pStyle w:val="7"/>
        <w:tabs>
          <w:tab w:val="right" w:leader="dot" w:pos="8302"/>
        </w:tabs>
        <w:rPr>
          <w:kern w:val="2"/>
          <w:sz w:val="21"/>
        </w:rPr>
      </w:pPr>
      <w:r>
        <w:fldChar w:fldCharType="begin"/>
      </w:r>
      <w:r>
        <w:instrText xml:space="preserve"> HYPERLINK \l "_Toc524624641" </w:instrText>
      </w:r>
      <w:r>
        <w:fldChar w:fldCharType="separate"/>
      </w:r>
      <w:r>
        <w:rPr>
          <w:rStyle w:val="21"/>
          <w:rFonts w:ascii="Times New Roman" w:hAnsi="Times New Roman"/>
          <w:b/>
          <w:color w:val="auto"/>
        </w:rPr>
        <w:t xml:space="preserve">6.1.6 </w:t>
      </w:r>
      <w:r>
        <w:rPr>
          <w:rStyle w:val="21"/>
          <w:rFonts w:hint="eastAsia" w:ascii="Times New Roman" w:hAnsi="Times New Roman"/>
          <w:b/>
          <w:color w:val="auto"/>
        </w:rPr>
        <w:t>建设期生态保护措施</w:t>
      </w:r>
      <w:r>
        <w:tab/>
      </w:r>
      <w:r>
        <w:fldChar w:fldCharType="begin"/>
      </w:r>
      <w:r>
        <w:instrText xml:space="preserve"> PAGEREF _Toc524624641 \h </w:instrText>
      </w:r>
      <w:r>
        <w:fldChar w:fldCharType="separate"/>
      </w:r>
      <w:r>
        <w:t>144</w:t>
      </w:r>
      <w:r>
        <w:fldChar w:fldCharType="end"/>
      </w:r>
      <w:r>
        <w:fldChar w:fldCharType="end"/>
      </w:r>
    </w:p>
    <w:p>
      <w:pPr>
        <w:pStyle w:val="15"/>
        <w:tabs>
          <w:tab w:val="right" w:leader="dot" w:pos="8302"/>
        </w:tabs>
        <w:rPr>
          <w:kern w:val="2"/>
          <w:sz w:val="21"/>
        </w:rPr>
      </w:pPr>
      <w:r>
        <w:fldChar w:fldCharType="begin"/>
      </w:r>
      <w:r>
        <w:instrText xml:space="preserve"> HYPERLINK \l "_Toc524624642" </w:instrText>
      </w:r>
      <w:r>
        <w:fldChar w:fldCharType="separate"/>
      </w:r>
      <w:r>
        <w:rPr>
          <w:rStyle w:val="21"/>
          <w:rFonts w:ascii="Times New Roman" w:hAnsi="Times New Roman"/>
          <w:b/>
          <w:color w:val="auto"/>
        </w:rPr>
        <w:t xml:space="preserve">6.2 </w:t>
      </w:r>
      <w:r>
        <w:rPr>
          <w:rStyle w:val="21"/>
          <w:rFonts w:hint="eastAsia" w:ascii="Times New Roman" w:hAnsi="Times New Roman"/>
          <w:b/>
          <w:color w:val="auto"/>
        </w:rPr>
        <w:t>运营期环保措施分析</w:t>
      </w:r>
      <w:r>
        <w:tab/>
      </w:r>
      <w:r>
        <w:fldChar w:fldCharType="begin"/>
      </w:r>
      <w:r>
        <w:instrText xml:space="preserve"> PAGEREF _Toc524624642 \h </w:instrText>
      </w:r>
      <w:r>
        <w:fldChar w:fldCharType="separate"/>
      </w:r>
      <w:r>
        <w:t>145</w:t>
      </w:r>
      <w:r>
        <w:fldChar w:fldCharType="end"/>
      </w:r>
      <w:r>
        <w:fldChar w:fldCharType="end"/>
      </w:r>
    </w:p>
    <w:p>
      <w:pPr>
        <w:pStyle w:val="7"/>
        <w:tabs>
          <w:tab w:val="right" w:leader="dot" w:pos="8302"/>
        </w:tabs>
        <w:rPr>
          <w:kern w:val="2"/>
          <w:sz w:val="21"/>
        </w:rPr>
      </w:pPr>
      <w:r>
        <w:fldChar w:fldCharType="begin"/>
      </w:r>
      <w:r>
        <w:instrText xml:space="preserve"> HYPERLINK \l "_Toc524624643" </w:instrText>
      </w:r>
      <w:r>
        <w:fldChar w:fldCharType="separate"/>
      </w:r>
      <w:r>
        <w:rPr>
          <w:rStyle w:val="21"/>
          <w:rFonts w:ascii="Times New Roman" w:hAnsi="Times New Roman"/>
          <w:b/>
          <w:color w:val="auto"/>
        </w:rPr>
        <w:t xml:space="preserve">6.2.1 </w:t>
      </w:r>
      <w:r>
        <w:rPr>
          <w:rStyle w:val="21"/>
          <w:rFonts w:hint="eastAsia" w:ascii="Times New Roman" w:hAnsi="Times New Roman"/>
          <w:b/>
          <w:color w:val="auto"/>
        </w:rPr>
        <w:t>运营期大气污染防治措施</w:t>
      </w:r>
      <w:r>
        <w:tab/>
      </w:r>
      <w:r>
        <w:fldChar w:fldCharType="begin"/>
      </w:r>
      <w:r>
        <w:instrText xml:space="preserve"> PAGEREF _Toc524624643 \h </w:instrText>
      </w:r>
      <w:r>
        <w:fldChar w:fldCharType="separate"/>
      </w:r>
      <w:r>
        <w:t>145</w:t>
      </w:r>
      <w:r>
        <w:fldChar w:fldCharType="end"/>
      </w:r>
      <w:r>
        <w:fldChar w:fldCharType="end"/>
      </w:r>
    </w:p>
    <w:p>
      <w:pPr>
        <w:pStyle w:val="7"/>
        <w:tabs>
          <w:tab w:val="right" w:leader="dot" w:pos="8302"/>
        </w:tabs>
        <w:rPr>
          <w:kern w:val="2"/>
          <w:sz w:val="21"/>
        </w:rPr>
      </w:pPr>
      <w:r>
        <w:fldChar w:fldCharType="begin"/>
      </w:r>
      <w:r>
        <w:instrText xml:space="preserve"> HYPERLINK \l "_Toc524624644" </w:instrText>
      </w:r>
      <w:r>
        <w:fldChar w:fldCharType="separate"/>
      </w:r>
      <w:r>
        <w:rPr>
          <w:rStyle w:val="21"/>
          <w:rFonts w:ascii="Times New Roman" w:hAnsi="Times New Roman"/>
          <w:b/>
          <w:color w:val="auto"/>
        </w:rPr>
        <w:t xml:space="preserve">6.2.2 </w:t>
      </w:r>
      <w:r>
        <w:rPr>
          <w:rStyle w:val="21"/>
          <w:rFonts w:hint="eastAsia" w:ascii="Times New Roman" w:hAnsi="Times New Roman"/>
          <w:b/>
          <w:color w:val="auto"/>
        </w:rPr>
        <w:t>运营期地表水污染防治措施</w:t>
      </w:r>
      <w:r>
        <w:tab/>
      </w:r>
      <w:r>
        <w:fldChar w:fldCharType="begin"/>
      </w:r>
      <w:r>
        <w:instrText xml:space="preserve"> PAGEREF _Toc524624644 \h </w:instrText>
      </w:r>
      <w:r>
        <w:fldChar w:fldCharType="separate"/>
      </w:r>
      <w:r>
        <w:t>146</w:t>
      </w:r>
      <w:r>
        <w:fldChar w:fldCharType="end"/>
      </w:r>
      <w:r>
        <w:fldChar w:fldCharType="end"/>
      </w:r>
    </w:p>
    <w:p>
      <w:pPr>
        <w:pStyle w:val="7"/>
        <w:tabs>
          <w:tab w:val="right" w:leader="dot" w:pos="8302"/>
        </w:tabs>
        <w:rPr>
          <w:kern w:val="2"/>
          <w:sz w:val="21"/>
        </w:rPr>
      </w:pPr>
      <w:r>
        <w:fldChar w:fldCharType="begin"/>
      </w:r>
      <w:r>
        <w:instrText xml:space="preserve"> HYPERLINK \l "_Toc524624645" </w:instrText>
      </w:r>
      <w:r>
        <w:fldChar w:fldCharType="separate"/>
      </w:r>
      <w:r>
        <w:rPr>
          <w:rStyle w:val="21"/>
          <w:rFonts w:ascii="Times New Roman" w:hAnsi="Times New Roman"/>
          <w:b/>
          <w:color w:val="auto"/>
        </w:rPr>
        <w:t xml:space="preserve">6.2.3 </w:t>
      </w:r>
      <w:r>
        <w:rPr>
          <w:rStyle w:val="21"/>
          <w:rFonts w:hint="eastAsia" w:ascii="Times New Roman" w:hAnsi="Times New Roman"/>
          <w:b/>
          <w:color w:val="auto"/>
        </w:rPr>
        <w:t>运营期地下水污染防治措施</w:t>
      </w:r>
      <w:r>
        <w:tab/>
      </w:r>
      <w:r>
        <w:fldChar w:fldCharType="begin"/>
      </w:r>
      <w:r>
        <w:instrText xml:space="preserve"> PAGEREF _Toc524624645 \h </w:instrText>
      </w:r>
      <w:r>
        <w:fldChar w:fldCharType="separate"/>
      </w:r>
      <w:r>
        <w:t>147</w:t>
      </w:r>
      <w:r>
        <w:fldChar w:fldCharType="end"/>
      </w:r>
      <w:r>
        <w:fldChar w:fldCharType="end"/>
      </w:r>
    </w:p>
    <w:p>
      <w:pPr>
        <w:pStyle w:val="7"/>
        <w:tabs>
          <w:tab w:val="right" w:leader="dot" w:pos="8302"/>
        </w:tabs>
        <w:rPr>
          <w:kern w:val="2"/>
          <w:sz w:val="21"/>
        </w:rPr>
      </w:pPr>
      <w:r>
        <w:fldChar w:fldCharType="begin"/>
      </w:r>
      <w:r>
        <w:instrText xml:space="preserve"> HYPERLINK \l "_Toc524624646" </w:instrText>
      </w:r>
      <w:r>
        <w:fldChar w:fldCharType="separate"/>
      </w:r>
      <w:r>
        <w:rPr>
          <w:rStyle w:val="21"/>
          <w:rFonts w:ascii="Times New Roman" w:hAnsi="Times New Roman"/>
          <w:b/>
          <w:color w:val="auto"/>
        </w:rPr>
        <w:t xml:space="preserve">6.2.4 </w:t>
      </w:r>
      <w:r>
        <w:rPr>
          <w:rStyle w:val="21"/>
          <w:rFonts w:hint="eastAsia" w:ascii="Times New Roman" w:hAnsi="Times New Roman"/>
          <w:b/>
          <w:color w:val="auto"/>
        </w:rPr>
        <w:t>运营期噪声污染防治措施</w:t>
      </w:r>
      <w:r>
        <w:tab/>
      </w:r>
      <w:r>
        <w:fldChar w:fldCharType="begin"/>
      </w:r>
      <w:r>
        <w:instrText xml:space="preserve"> PAGEREF _Toc524624646 \h </w:instrText>
      </w:r>
      <w:r>
        <w:fldChar w:fldCharType="separate"/>
      </w:r>
      <w:r>
        <w:t>150</w:t>
      </w:r>
      <w:r>
        <w:fldChar w:fldCharType="end"/>
      </w:r>
      <w:r>
        <w:fldChar w:fldCharType="end"/>
      </w:r>
    </w:p>
    <w:p>
      <w:pPr>
        <w:pStyle w:val="7"/>
        <w:tabs>
          <w:tab w:val="right" w:leader="dot" w:pos="8302"/>
        </w:tabs>
        <w:rPr>
          <w:kern w:val="2"/>
          <w:sz w:val="21"/>
        </w:rPr>
      </w:pPr>
      <w:r>
        <w:fldChar w:fldCharType="begin"/>
      </w:r>
      <w:r>
        <w:instrText xml:space="preserve"> HYPERLINK \l "_Toc524624647" </w:instrText>
      </w:r>
      <w:r>
        <w:fldChar w:fldCharType="separate"/>
      </w:r>
      <w:r>
        <w:rPr>
          <w:rStyle w:val="21"/>
          <w:rFonts w:ascii="Times New Roman" w:hAnsi="Times New Roman"/>
          <w:b/>
          <w:color w:val="auto"/>
        </w:rPr>
        <w:t xml:space="preserve">6.2.5 </w:t>
      </w:r>
      <w:r>
        <w:rPr>
          <w:rStyle w:val="21"/>
          <w:rFonts w:hint="eastAsia" w:ascii="Times New Roman" w:hAnsi="Times New Roman"/>
          <w:b/>
          <w:color w:val="auto"/>
        </w:rPr>
        <w:t>运营期固体废物污染防治措施</w:t>
      </w:r>
      <w:r>
        <w:tab/>
      </w:r>
      <w:r>
        <w:fldChar w:fldCharType="begin"/>
      </w:r>
      <w:r>
        <w:instrText xml:space="preserve"> PAGEREF _Toc524624647 \h </w:instrText>
      </w:r>
      <w:r>
        <w:fldChar w:fldCharType="separate"/>
      </w:r>
      <w:r>
        <w:t>150</w:t>
      </w:r>
      <w:r>
        <w:fldChar w:fldCharType="end"/>
      </w:r>
      <w:r>
        <w:fldChar w:fldCharType="end"/>
      </w:r>
    </w:p>
    <w:p>
      <w:pPr>
        <w:pStyle w:val="7"/>
        <w:tabs>
          <w:tab w:val="right" w:leader="dot" w:pos="8302"/>
        </w:tabs>
        <w:rPr>
          <w:kern w:val="2"/>
          <w:sz w:val="21"/>
        </w:rPr>
      </w:pPr>
      <w:r>
        <w:fldChar w:fldCharType="begin"/>
      </w:r>
      <w:r>
        <w:instrText xml:space="preserve"> HYPERLINK \l "_Toc524624648" </w:instrText>
      </w:r>
      <w:r>
        <w:fldChar w:fldCharType="separate"/>
      </w:r>
      <w:r>
        <w:rPr>
          <w:rStyle w:val="21"/>
          <w:rFonts w:ascii="Times New Roman" w:hAnsi="Times New Roman"/>
          <w:b/>
          <w:color w:val="auto"/>
        </w:rPr>
        <w:t xml:space="preserve">6.2.6 </w:t>
      </w:r>
      <w:r>
        <w:rPr>
          <w:rStyle w:val="21"/>
          <w:rFonts w:hint="eastAsia" w:ascii="Times New Roman" w:hAnsi="Times New Roman"/>
          <w:b/>
          <w:color w:val="auto"/>
        </w:rPr>
        <w:t>运营期生态保护措施</w:t>
      </w:r>
      <w:r>
        <w:tab/>
      </w:r>
      <w:r>
        <w:fldChar w:fldCharType="begin"/>
      </w:r>
      <w:r>
        <w:instrText xml:space="preserve"> PAGEREF _Toc524624648 \h </w:instrText>
      </w:r>
      <w:r>
        <w:fldChar w:fldCharType="separate"/>
      </w:r>
      <w:r>
        <w:t>151</w:t>
      </w:r>
      <w:r>
        <w:fldChar w:fldCharType="end"/>
      </w:r>
      <w:r>
        <w:fldChar w:fldCharType="end"/>
      </w:r>
    </w:p>
    <w:p>
      <w:pPr>
        <w:pStyle w:val="15"/>
        <w:tabs>
          <w:tab w:val="right" w:leader="dot" w:pos="8302"/>
        </w:tabs>
        <w:rPr>
          <w:kern w:val="2"/>
          <w:sz w:val="21"/>
        </w:rPr>
      </w:pPr>
      <w:r>
        <w:fldChar w:fldCharType="begin"/>
      </w:r>
      <w:r>
        <w:instrText xml:space="preserve"> HYPERLINK \l "_Toc524624649" </w:instrText>
      </w:r>
      <w:r>
        <w:fldChar w:fldCharType="separate"/>
      </w:r>
      <w:r>
        <w:rPr>
          <w:rStyle w:val="21"/>
          <w:rFonts w:ascii="Times New Roman" w:hAnsi="Times New Roman"/>
          <w:b/>
          <w:color w:val="auto"/>
        </w:rPr>
        <w:t xml:space="preserve">6.3 </w:t>
      </w:r>
      <w:r>
        <w:rPr>
          <w:rStyle w:val="21"/>
          <w:rFonts w:hint="eastAsia" w:ascii="Times New Roman" w:hAnsi="Times New Roman"/>
          <w:b/>
          <w:color w:val="auto"/>
        </w:rPr>
        <w:t>退役期环保措施分析</w:t>
      </w:r>
      <w:r>
        <w:tab/>
      </w:r>
      <w:r>
        <w:fldChar w:fldCharType="begin"/>
      </w:r>
      <w:r>
        <w:instrText xml:space="preserve"> PAGEREF _Toc524624649 \h </w:instrText>
      </w:r>
      <w:r>
        <w:fldChar w:fldCharType="separate"/>
      </w:r>
      <w:r>
        <w:t>152</w:t>
      </w:r>
      <w:r>
        <w:fldChar w:fldCharType="end"/>
      </w:r>
      <w:r>
        <w:fldChar w:fldCharType="end"/>
      </w:r>
    </w:p>
    <w:p>
      <w:pPr>
        <w:pStyle w:val="14"/>
        <w:rPr>
          <w:kern w:val="2"/>
          <w:sz w:val="21"/>
        </w:rPr>
      </w:pPr>
      <w:r>
        <w:fldChar w:fldCharType="begin"/>
      </w:r>
      <w:r>
        <w:instrText xml:space="preserve"> HYPERLINK \l "_Toc524624650" </w:instrText>
      </w:r>
      <w:r>
        <w:fldChar w:fldCharType="separate"/>
      </w:r>
      <w:r>
        <w:rPr>
          <w:rStyle w:val="21"/>
          <w:color w:val="auto"/>
        </w:rPr>
        <w:t xml:space="preserve">7 </w:t>
      </w:r>
      <w:r>
        <w:rPr>
          <w:rStyle w:val="21"/>
          <w:rFonts w:hint="eastAsia"/>
          <w:color w:val="auto"/>
        </w:rPr>
        <w:t>环境影响经济损益分析</w:t>
      </w:r>
      <w:r>
        <w:tab/>
      </w:r>
      <w:r>
        <w:fldChar w:fldCharType="begin"/>
      </w:r>
      <w:r>
        <w:instrText xml:space="preserve"> PAGEREF _Toc524624650 \h </w:instrText>
      </w:r>
      <w:r>
        <w:fldChar w:fldCharType="separate"/>
      </w:r>
      <w:r>
        <w:t>153</w:t>
      </w:r>
      <w:r>
        <w:fldChar w:fldCharType="end"/>
      </w:r>
      <w:r>
        <w:fldChar w:fldCharType="end"/>
      </w:r>
    </w:p>
    <w:p>
      <w:pPr>
        <w:pStyle w:val="15"/>
        <w:tabs>
          <w:tab w:val="right" w:leader="dot" w:pos="8302"/>
        </w:tabs>
        <w:rPr>
          <w:kern w:val="2"/>
          <w:sz w:val="21"/>
        </w:rPr>
      </w:pPr>
      <w:r>
        <w:fldChar w:fldCharType="begin"/>
      </w:r>
      <w:r>
        <w:instrText xml:space="preserve"> HYPERLINK \l "_Toc524624651" </w:instrText>
      </w:r>
      <w:r>
        <w:fldChar w:fldCharType="separate"/>
      </w:r>
      <w:r>
        <w:rPr>
          <w:rStyle w:val="21"/>
          <w:rFonts w:ascii="Times New Roman" w:hAnsi="Times New Roman"/>
          <w:b/>
          <w:color w:val="auto"/>
        </w:rPr>
        <w:t xml:space="preserve">7.1 </w:t>
      </w:r>
      <w:r>
        <w:rPr>
          <w:rStyle w:val="21"/>
          <w:rFonts w:hint="eastAsia" w:ascii="Times New Roman" w:hAnsi="Times New Roman"/>
          <w:b/>
          <w:color w:val="auto"/>
        </w:rPr>
        <w:t>环境保护工程投资分析</w:t>
      </w:r>
      <w:r>
        <w:tab/>
      </w:r>
      <w:r>
        <w:fldChar w:fldCharType="begin"/>
      </w:r>
      <w:r>
        <w:instrText xml:space="preserve"> PAGEREF _Toc524624651 \h </w:instrText>
      </w:r>
      <w:r>
        <w:fldChar w:fldCharType="separate"/>
      </w:r>
      <w:r>
        <w:t>153</w:t>
      </w:r>
      <w:r>
        <w:fldChar w:fldCharType="end"/>
      </w:r>
      <w:r>
        <w:fldChar w:fldCharType="end"/>
      </w:r>
    </w:p>
    <w:p>
      <w:pPr>
        <w:pStyle w:val="15"/>
        <w:tabs>
          <w:tab w:val="right" w:leader="dot" w:pos="8302"/>
        </w:tabs>
        <w:rPr>
          <w:kern w:val="2"/>
          <w:sz w:val="21"/>
        </w:rPr>
      </w:pPr>
      <w:r>
        <w:fldChar w:fldCharType="begin"/>
      </w:r>
      <w:r>
        <w:instrText xml:space="preserve"> HYPERLINK \l "_Toc524624652" </w:instrText>
      </w:r>
      <w:r>
        <w:fldChar w:fldCharType="separate"/>
      </w:r>
      <w:r>
        <w:rPr>
          <w:rStyle w:val="21"/>
          <w:rFonts w:ascii="Times New Roman" w:hAnsi="Times New Roman"/>
          <w:b/>
          <w:color w:val="auto"/>
        </w:rPr>
        <w:t xml:space="preserve">7.2 </w:t>
      </w:r>
      <w:r>
        <w:rPr>
          <w:rStyle w:val="21"/>
          <w:rFonts w:hint="eastAsia" w:ascii="Times New Roman" w:hAnsi="Times New Roman"/>
          <w:b/>
          <w:color w:val="auto"/>
        </w:rPr>
        <w:t>环境经济损益分析</w:t>
      </w:r>
      <w:r>
        <w:tab/>
      </w:r>
      <w:r>
        <w:fldChar w:fldCharType="begin"/>
      </w:r>
      <w:r>
        <w:instrText xml:space="preserve"> PAGEREF _Toc524624652 \h </w:instrText>
      </w:r>
      <w:r>
        <w:fldChar w:fldCharType="separate"/>
      </w:r>
      <w:r>
        <w:t>154</w:t>
      </w:r>
      <w:r>
        <w:fldChar w:fldCharType="end"/>
      </w:r>
      <w:r>
        <w:fldChar w:fldCharType="end"/>
      </w:r>
    </w:p>
    <w:p>
      <w:pPr>
        <w:pStyle w:val="7"/>
        <w:tabs>
          <w:tab w:val="right" w:leader="dot" w:pos="8302"/>
        </w:tabs>
        <w:rPr>
          <w:kern w:val="2"/>
          <w:sz w:val="21"/>
        </w:rPr>
      </w:pPr>
      <w:r>
        <w:fldChar w:fldCharType="begin"/>
      </w:r>
      <w:r>
        <w:instrText xml:space="preserve"> HYPERLINK \l "_Toc524624653" </w:instrText>
      </w:r>
      <w:r>
        <w:fldChar w:fldCharType="separate"/>
      </w:r>
      <w:r>
        <w:rPr>
          <w:rStyle w:val="21"/>
          <w:rFonts w:ascii="Times New Roman" w:hAnsi="Times New Roman"/>
          <w:b/>
          <w:color w:val="auto"/>
        </w:rPr>
        <w:t xml:space="preserve">7.2.1 </w:t>
      </w:r>
      <w:r>
        <w:rPr>
          <w:rStyle w:val="21"/>
          <w:rFonts w:hint="eastAsia" w:ascii="Times New Roman" w:hAnsi="Times New Roman"/>
          <w:b/>
          <w:color w:val="auto"/>
        </w:rPr>
        <w:t>社会效益分析</w:t>
      </w:r>
      <w:r>
        <w:tab/>
      </w:r>
      <w:r>
        <w:fldChar w:fldCharType="begin"/>
      </w:r>
      <w:r>
        <w:instrText xml:space="preserve"> PAGEREF _Toc524624653 \h </w:instrText>
      </w:r>
      <w:r>
        <w:fldChar w:fldCharType="separate"/>
      </w:r>
      <w:r>
        <w:t>154</w:t>
      </w:r>
      <w:r>
        <w:fldChar w:fldCharType="end"/>
      </w:r>
      <w:r>
        <w:fldChar w:fldCharType="end"/>
      </w:r>
    </w:p>
    <w:p>
      <w:pPr>
        <w:pStyle w:val="7"/>
        <w:tabs>
          <w:tab w:val="right" w:leader="dot" w:pos="8302"/>
        </w:tabs>
        <w:rPr>
          <w:kern w:val="2"/>
          <w:sz w:val="21"/>
        </w:rPr>
      </w:pPr>
      <w:r>
        <w:fldChar w:fldCharType="begin"/>
      </w:r>
      <w:r>
        <w:instrText xml:space="preserve"> HYPERLINK \l "_Toc524624654" </w:instrText>
      </w:r>
      <w:r>
        <w:fldChar w:fldCharType="separate"/>
      </w:r>
      <w:r>
        <w:rPr>
          <w:rStyle w:val="21"/>
          <w:rFonts w:ascii="Times New Roman" w:hAnsi="Times New Roman"/>
          <w:b/>
          <w:color w:val="auto"/>
        </w:rPr>
        <w:t xml:space="preserve">7.2.2 </w:t>
      </w:r>
      <w:r>
        <w:rPr>
          <w:rStyle w:val="21"/>
          <w:rFonts w:hint="eastAsia" w:ascii="Times New Roman" w:hAnsi="Times New Roman"/>
          <w:b/>
          <w:color w:val="auto"/>
        </w:rPr>
        <w:t>环境效益分析</w:t>
      </w:r>
      <w:r>
        <w:tab/>
      </w:r>
      <w:r>
        <w:fldChar w:fldCharType="begin"/>
      </w:r>
      <w:r>
        <w:instrText xml:space="preserve"> PAGEREF _Toc524624654 \h </w:instrText>
      </w:r>
      <w:r>
        <w:fldChar w:fldCharType="separate"/>
      </w:r>
      <w:r>
        <w:t>155</w:t>
      </w:r>
      <w:r>
        <w:fldChar w:fldCharType="end"/>
      </w:r>
      <w:r>
        <w:fldChar w:fldCharType="end"/>
      </w:r>
    </w:p>
    <w:p>
      <w:pPr>
        <w:pStyle w:val="7"/>
        <w:tabs>
          <w:tab w:val="right" w:leader="dot" w:pos="8302"/>
        </w:tabs>
        <w:rPr>
          <w:kern w:val="2"/>
          <w:sz w:val="21"/>
        </w:rPr>
      </w:pPr>
      <w:r>
        <w:fldChar w:fldCharType="begin"/>
      </w:r>
      <w:r>
        <w:instrText xml:space="preserve"> HYPERLINK \l "_Toc524624655" </w:instrText>
      </w:r>
      <w:r>
        <w:fldChar w:fldCharType="separate"/>
      </w:r>
      <w:r>
        <w:rPr>
          <w:rStyle w:val="21"/>
          <w:rFonts w:ascii="Times New Roman" w:hAnsi="Times New Roman"/>
          <w:b/>
          <w:color w:val="auto"/>
        </w:rPr>
        <w:t xml:space="preserve">7.2.3 </w:t>
      </w:r>
      <w:r>
        <w:rPr>
          <w:rStyle w:val="21"/>
          <w:rFonts w:hint="eastAsia" w:ascii="Times New Roman" w:hAnsi="Times New Roman"/>
          <w:b/>
          <w:color w:val="auto"/>
        </w:rPr>
        <w:t>经济效益分析</w:t>
      </w:r>
      <w:r>
        <w:tab/>
      </w:r>
      <w:r>
        <w:fldChar w:fldCharType="begin"/>
      </w:r>
      <w:r>
        <w:instrText xml:space="preserve"> PAGEREF _Toc524624655 \h </w:instrText>
      </w:r>
      <w:r>
        <w:fldChar w:fldCharType="separate"/>
      </w:r>
      <w:r>
        <w:t>155</w:t>
      </w:r>
      <w:r>
        <w:fldChar w:fldCharType="end"/>
      </w:r>
      <w:r>
        <w:fldChar w:fldCharType="end"/>
      </w:r>
    </w:p>
    <w:p>
      <w:pPr>
        <w:pStyle w:val="14"/>
        <w:rPr>
          <w:kern w:val="2"/>
          <w:sz w:val="21"/>
        </w:rPr>
      </w:pPr>
      <w:r>
        <w:fldChar w:fldCharType="begin"/>
      </w:r>
      <w:r>
        <w:instrText xml:space="preserve"> HYPERLINK \l "_Toc524624656" </w:instrText>
      </w:r>
      <w:r>
        <w:fldChar w:fldCharType="separate"/>
      </w:r>
      <w:r>
        <w:rPr>
          <w:rStyle w:val="21"/>
          <w:color w:val="auto"/>
        </w:rPr>
        <w:t xml:space="preserve">8 </w:t>
      </w:r>
      <w:r>
        <w:rPr>
          <w:rStyle w:val="21"/>
          <w:rFonts w:hint="eastAsia"/>
          <w:color w:val="auto"/>
        </w:rPr>
        <w:t>环境管理与环境监测</w:t>
      </w:r>
      <w:r>
        <w:tab/>
      </w:r>
      <w:r>
        <w:fldChar w:fldCharType="begin"/>
      </w:r>
      <w:r>
        <w:instrText xml:space="preserve"> PAGEREF _Toc524624656 \h </w:instrText>
      </w:r>
      <w:r>
        <w:fldChar w:fldCharType="separate"/>
      </w:r>
      <w:r>
        <w:t>157</w:t>
      </w:r>
      <w:r>
        <w:fldChar w:fldCharType="end"/>
      </w:r>
      <w:r>
        <w:fldChar w:fldCharType="end"/>
      </w:r>
    </w:p>
    <w:p>
      <w:pPr>
        <w:pStyle w:val="15"/>
        <w:tabs>
          <w:tab w:val="right" w:leader="dot" w:pos="8302"/>
        </w:tabs>
        <w:rPr>
          <w:kern w:val="2"/>
          <w:sz w:val="21"/>
        </w:rPr>
      </w:pPr>
      <w:r>
        <w:fldChar w:fldCharType="begin"/>
      </w:r>
      <w:r>
        <w:instrText xml:space="preserve"> HYPERLINK \l "_Toc524624657" </w:instrText>
      </w:r>
      <w:r>
        <w:fldChar w:fldCharType="separate"/>
      </w:r>
      <w:r>
        <w:rPr>
          <w:rStyle w:val="21"/>
          <w:rFonts w:ascii="Times New Roman" w:hAnsi="Times New Roman"/>
          <w:b/>
          <w:color w:val="auto"/>
        </w:rPr>
        <w:t xml:space="preserve">8.1 </w:t>
      </w:r>
      <w:r>
        <w:rPr>
          <w:rStyle w:val="21"/>
          <w:rFonts w:hint="eastAsia" w:ascii="Times New Roman" w:hAnsi="Times New Roman"/>
          <w:b/>
          <w:color w:val="auto"/>
        </w:rPr>
        <w:t>环境管理体系建立与运行</w:t>
      </w:r>
      <w:r>
        <w:tab/>
      </w:r>
      <w:r>
        <w:fldChar w:fldCharType="begin"/>
      </w:r>
      <w:r>
        <w:instrText xml:space="preserve"> PAGEREF _Toc524624657 \h </w:instrText>
      </w:r>
      <w:r>
        <w:fldChar w:fldCharType="separate"/>
      </w:r>
      <w:r>
        <w:t>157</w:t>
      </w:r>
      <w:r>
        <w:fldChar w:fldCharType="end"/>
      </w:r>
      <w:r>
        <w:fldChar w:fldCharType="end"/>
      </w:r>
    </w:p>
    <w:p>
      <w:pPr>
        <w:pStyle w:val="7"/>
        <w:tabs>
          <w:tab w:val="right" w:leader="dot" w:pos="8302"/>
        </w:tabs>
        <w:rPr>
          <w:kern w:val="2"/>
          <w:sz w:val="21"/>
        </w:rPr>
      </w:pPr>
      <w:r>
        <w:fldChar w:fldCharType="begin"/>
      </w:r>
      <w:r>
        <w:instrText xml:space="preserve"> HYPERLINK \l "_Toc524624658" </w:instrText>
      </w:r>
      <w:r>
        <w:fldChar w:fldCharType="separate"/>
      </w:r>
      <w:r>
        <w:rPr>
          <w:rStyle w:val="21"/>
          <w:rFonts w:ascii="Times New Roman" w:hAnsi="Times New Roman"/>
          <w:b/>
          <w:color w:val="auto"/>
        </w:rPr>
        <w:t xml:space="preserve">8.1.1 </w:t>
      </w:r>
      <w:r>
        <w:rPr>
          <w:rStyle w:val="21"/>
          <w:rFonts w:hint="eastAsia" w:ascii="Times New Roman" w:hAnsi="Times New Roman"/>
          <w:b/>
          <w:color w:val="auto"/>
        </w:rPr>
        <w:t>环境管理现状</w:t>
      </w:r>
      <w:r>
        <w:tab/>
      </w:r>
      <w:r>
        <w:fldChar w:fldCharType="begin"/>
      </w:r>
      <w:r>
        <w:instrText xml:space="preserve"> PAGEREF _Toc524624658 \h </w:instrText>
      </w:r>
      <w:r>
        <w:fldChar w:fldCharType="separate"/>
      </w:r>
      <w:r>
        <w:t>157</w:t>
      </w:r>
      <w:r>
        <w:fldChar w:fldCharType="end"/>
      </w:r>
      <w:r>
        <w:fldChar w:fldCharType="end"/>
      </w:r>
    </w:p>
    <w:p>
      <w:pPr>
        <w:pStyle w:val="7"/>
        <w:tabs>
          <w:tab w:val="right" w:leader="dot" w:pos="8302"/>
        </w:tabs>
        <w:rPr>
          <w:kern w:val="2"/>
          <w:sz w:val="21"/>
        </w:rPr>
      </w:pPr>
      <w:r>
        <w:fldChar w:fldCharType="begin"/>
      </w:r>
      <w:r>
        <w:instrText xml:space="preserve"> HYPERLINK \l "_Toc524624659" </w:instrText>
      </w:r>
      <w:r>
        <w:fldChar w:fldCharType="separate"/>
      </w:r>
      <w:r>
        <w:rPr>
          <w:rStyle w:val="21"/>
          <w:rFonts w:ascii="Times New Roman" w:hAnsi="Times New Roman"/>
          <w:b/>
          <w:color w:val="auto"/>
        </w:rPr>
        <w:t xml:space="preserve">8.1.2 </w:t>
      </w:r>
      <w:r>
        <w:rPr>
          <w:rStyle w:val="21"/>
          <w:rFonts w:hint="eastAsia" w:ascii="Times New Roman" w:hAnsi="Times New Roman"/>
          <w:b/>
          <w:color w:val="auto"/>
        </w:rPr>
        <w:t>施工期的环境管理</w:t>
      </w:r>
      <w:r>
        <w:tab/>
      </w:r>
      <w:r>
        <w:fldChar w:fldCharType="begin"/>
      </w:r>
      <w:r>
        <w:instrText xml:space="preserve"> PAGEREF _Toc524624659 \h </w:instrText>
      </w:r>
      <w:r>
        <w:fldChar w:fldCharType="separate"/>
      </w:r>
      <w:r>
        <w:t>157</w:t>
      </w:r>
      <w:r>
        <w:fldChar w:fldCharType="end"/>
      </w:r>
      <w:r>
        <w:fldChar w:fldCharType="end"/>
      </w:r>
    </w:p>
    <w:p>
      <w:pPr>
        <w:pStyle w:val="7"/>
        <w:tabs>
          <w:tab w:val="right" w:leader="dot" w:pos="8302"/>
        </w:tabs>
        <w:rPr>
          <w:kern w:val="2"/>
          <w:sz w:val="21"/>
        </w:rPr>
      </w:pPr>
      <w:r>
        <w:fldChar w:fldCharType="begin"/>
      </w:r>
      <w:r>
        <w:instrText xml:space="preserve"> HYPERLINK \l "_Toc524624660" </w:instrText>
      </w:r>
      <w:r>
        <w:fldChar w:fldCharType="separate"/>
      </w:r>
      <w:r>
        <w:rPr>
          <w:rStyle w:val="21"/>
          <w:rFonts w:ascii="Times New Roman" w:hAnsi="Times New Roman"/>
          <w:b/>
          <w:color w:val="auto"/>
        </w:rPr>
        <w:t xml:space="preserve">8.1.3 </w:t>
      </w:r>
      <w:r>
        <w:rPr>
          <w:rStyle w:val="21"/>
          <w:rFonts w:hint="eastAsia" w:ascii="Times New Roman" w:hAnsi="Times New Roman"/>
          <w:b/>
          <w:color w:val="auto"/>
        </w:rPr>
        <w:t>施工期的环境监理</w:t>
      </w:r>
      <w:r>
        <w:tab/>
      </w:r>
      <w:r>
        <w:fldChar w:fldCharType="begin"/>
      </w:r>
      <w:r>
        <w:instrText xml:space="preserve"> PAGEREF _Toc524624660 \h </w:instrText>
      </w:r>
      <w:r>
        <w:fldChar w:fldCharType="separate"/>
      </w:r>
      <w:r>
        <w:t>158</w:t>
      </w:r>
      <w:r>
        <w:fldChar w:fldCharType="end"/>
      </w:r>
      <w:r>
        <w:fldChar w:fldCharType="end"/>
      </w:r>
    </w:p>
    <w:p>
      <w:pPr>
        <w:pStyle w:val="7"/>
        <w:tabs>
          <w:tab w:val="right" w:leader="dot" w:pos="8302"/>
        </w:tabs>
        <w:rPr>
          <w:kern w:val="2"/>
          <w:sz w:val="21"/>
        </w:rPr>
      </w:pPr>
      <w:r>
        <w:fldChar w:fldCharType="begin"/>
      </w:r>
      <w:r>
        <w:instrText xml:space="preserve"> HYPERLINK \l "_Toc524624661" </w:instrText>
      </w:r>
      <w:r>
        <w:fldChar w:fldCharType="separate"/>
      </w:r>
      <w:r>
        <w:rPr>
          <w:rStyle w:val="21"/>
          <w:rFonts w:ascii="Times New Roman" w:hAnsi="Times New Roman"/>
          <w:b/>
          <w:color w:val="auto"/>
        </w:rPr>
        <w:t xml:space="preserve">8.1.4 </w:t>
      </w:r>
      <w:r>
        <w:rPr>
          <w:rStyle w:val="21"/>
          <w:rFonts w:hint="eastAsia" w:ascii="Times New Roman" w:hAnsi="Times New Roman"/>
          <w:b/>
          <w:color w:val="auto"/>
        </w:rPr>
        <w:t>建立</w:t>
      </w:r>
      <w:r>
        <w:rPr>
          <w:rStyle w:val="21"/>
          <w:rFonts w:ascii="Times New Roman" w:hAnsi="Times New Roman"/>
          <w:b/>
          <w:color w:val="auto"/>
        </w:rPr>
        <w:t>HSE</w:t>
      </w:r>
      <w:r>
        <w:rPr>
          <w:rStyle w:val="21"/>
          <w:rFonts w:hint="eastAsia" w:ascii="Times New Roman" w:hAnsi="Times New Roman"/>
          <w:b/>
          <w:color w:val="auto"/>
        </w:rPr>
        <w:t>管理体系</w:t>
      </w:r>
      <w:r>
        <w:tab/>
      </w:r>
      <w:r>
        <w:fldChar w:fldCharType="begin"/>
      </w:r>
      <w:r>
        <w:instrText xml:space="preserve"> PAGEREF _Toc524624661 \h </w:instrText>
      </w:r>
      <w:r>
        <w:fldChar w:fldCharType="separate"/>
      </w:r>
      <w:r>
        <w:t>158</w:t>
      </w:r>
      <w:r>
        <w:fldChar w:fldCharType="end"/>
      </w:r>
      <w:r>
        <w:fldChar w:fldCharType="end"/>
      </w:r>
    </w:p>
    <w:p>
      <w:pPr>
        <w:pStyle w:val="7"/>
        <w:tabs>
          <w:tab w:val="right" w:leader="dot" w:pos="8302"/>
        </w:tabs>
        <w:rPr>
          <w:kern w:val="2"/>
          <w:sz w:val="21"/>
        </w:rPr>
      </w:pPr>
      <w:r>
        <w:fldChar w:fldCharType="begin"/>
      </w:r>
      <w:r>
        <w:instrText xml:space="preserve"> HYPERLINK \l "_Toc524624662" </w:instrText>
      </w:r>
      <w:r>
        <w:fldChar w:fldCharType="separate"/>
      </w:r>
      <w:r>
        <w:rPr>
          <w:rStyle w:val="21"/>
          <w:rFonts w:ascii="Times New Roman" w:hAnsi="Times New Roman"/>
          <w:b/>
          <w:color w:val="auto"/>
        </w:rPr>
        <w:t xml:space="preserve">8.1.5 </w:t>
      </w:r>
      <w:r>
        <w:rPr>
          <w:rStyle w:val="21"/>
          <w:rFonts w:hint="eastAsia" w:ascii="Times New Roman" w:hAnsi="Times New Roman"/>
          <w:b/>
          <w:color w:val="auto"/>
        </w:rPr>
        <w:t>环境管理实施</w:t>
      </w:r>
      <w:r>
        <w:tab/>
      </w:r>
      <w:r>
        <w:fldChar w:fldCharType="begin"/>
      </w:r>
      <w:r>
        <w:instrText xml:space="preserve"> PAGEREF _Toc524624662 \h </w:instrText>
      </w:r>
      <w:r>
        <w:fldChar w:fldCharType="separate"/>
      </w:r>
      <w:r>
        <w:t>159</w:t>
      </w:r>
      <w:r>
        <w:fldChar w:fldCharType="end"/>
      </w:r>
      <w:r>
        <w:fldChar w:fldCharType="end"/>
      </w:r>
    </w:p>
    <w:p>
      <w:pPr>
        <w:pStyle w:val="7"/>
        <w:tabs>
          <w:tab w:val="right" w:leader="dot" w:pos="8302"/>
        </w:tabs>
        <w:rPr>
          <w:kern w:val="2"/>
          <w:sz w:val="21"/>
        </w:rPr>
      </w:pPr>
      <w:r>
        <w:fldChar w:fldCharType="begin"/>
      </w:r>
      <w:r>
        <w:instrText xml:space="preserve"> HYPERLINK \l "_Toc524624663" </w:instrText>
      </w:r>
      <w:r>
        <w:fldChar w:fldCharType="separate"/>
      </w:r>
      <w:r>
        <w:rPr>
          <w:rStyle w:val="21"/>
          <w:rFonts w:ascii="Times New Roman" w:hAnsi="Times New Roman"/>
          <w:b/>
          <w:color w:val="auto"/>
        </w:rPr>
        <w:t xml:space="preserve">8.1.6 </w:t>
      </w:r>
      <w:r>
        <w:rPr>
          <w:rStyle w:val="21"/>
          <w:rFonts w:hint="eastAsia" w:ascii="Times New Roman" w:hAnsi="Times New Roman"/>
          <w:b/>
          <w:color w:val="auto"/>
        </w:rPr>
        <w:t>环境管理工作重点</w:t>
      </w:r>
      <w:r>
        <w:tab/>
      </w:r>
      <w:r>
        <w:fldChar w:fldCharType="begin"/>
      </w:r>
      <w:r>
        <w:instrText xml:space="preserve"> PAGEREF _Toc524624663 \h </w:instrText>
      </w:r>
      <w:r>
        <w:fldChar w:fldCharType="separate"/>
      </w:r>
      <w:r>
        <w:t>159</w:t>
      </w:r>
      <w:r>
        <w:fldChar w:fldCharType="end"/>
      </w:r>
      <w:r>
        <w:fldChar w:fldCharType="end"/>
      </w:r>
    </w:p>
    <w:p>
      <w:pPr>
        <w:pStyle w:val="15"/>
        <w:tabs>
          <w:tab w:val="right" w:leader="dot" w:pos="8302"/>
        </w:tabs>
        <w:rPr>
          <w:kern w:val="2"/>
          <w:sz w:val="21"/>
        </w:rPr>
      </w:pPr>
      <w:r>
        <w:fldChar w:fldCharType="begin"/>
      </w:r>
      <w:r>
        <w:instrText xml:space="preserve"> HYPERLINK \l "_Toc524624664" </w:instrText>
      </w:r>
      <w:r>
        <w:fldChar w:fldCharType="separate"/>
      </w:r>
      <w:r>
        <w:rPr>
          <w:rStyle w:val="21"/>
          <w:rFonts w:ascii="Times New Roman" w:hAnsi="Times New Roman"/>
          <w:b/>
          <w:color w:val="auto"/>
        </w:rPr>
        <w:t xml:space="preserve">8.2 </w:t>
      </w:r>
      <w:r>
        <w:rPr>
          <w:rStyle w:val="21"/>
          <w:rFonts w:hint="eastAsia" w:ascii="Times New Roman" w:hAnsi="Times New Roman"/>
          <w:b/>
          <w:color w:val="auto"/>
        </w:rPr>
        <w:t>环境监测与监控</w:t>
      </w:r>
      <w:r>
        <w:tab/>
      </w:r>
      <w:r>
        <w:fldChar w:fldCharType="begin"/>
      </w:r>
      <w:r>
        <w:instrText xml:space="preserve"> PAGEREF _Toc524624664 \h </w:instrText>
      </w:r>
      <w:r>
        <w:fldChar w:fldCharType="separate"/>
      </w:r>
      <w:r>
        <w:t>160</w:t>
      </w:r>
      <w:r>
        <w:fldChar w:fldCharType="end"/>
      </w:r>
      <w:r>
        <w:fldChar w:fldCharType="end"/>
      </w:r>
    </w:p>
    <w:p>
      <w:pPr>
        <w:pStyle w:val="7"/>
        <w:tabs>
          <w:tab w:val="right" w:leader="dot" w:pos="8302"/>
        </w:tabs>
        <w:rPr>
          <w:kern w:val="2"/>
          <w:sz w:val="21"/>
        </w:rPr>
      </w:pPr>
      <w:r>
        <w:fldChar w:fldCharType="begin"/>
      </w:r>
      <w:r>
        <w:instrText xml:space="preserve"> HYPERLINK \l "_Toc524624665" </w:instrText>
      </w:r>
      <w:r>
        <w:fldChar w:fldCharType="separate"/>
      </w:r>
      <w:r>
        <w:rPr>
          <w:rStyle w:val="21"/>
          <w:rFonts w:ascii="Times New Roman" w:hAnsi="Times New Roman"/>
          <w:b/>
          <w:color w:val="auto"/>
        </w:rPr>
        <w:t xml:space="preserve">8.2.1 </w:t>
      </w:r>
      <w:r>
        <w:rPr>
          <w:rStyle w:val="21"/>
          <w:rFonts w:hint="eastAsia" w:ascii="Times New Roman" w:hAnsi="Times New Roman"/>
          <w:b/>
          <w:color w:val="auto"/>
        </w:rPr>
        <w:t>环境监测部门</w:t>
      </w:r>
      <w:r>
        <w:tab/>
      </w:r>
      <w:r>
        <w:fldChar w:fldCharType="begin"/>
      </w:r>
      <w:r>
        <w:instrText xml:space="preserve"> PAGEREF _Toc524624665 \h </w:instrText>
      </w:r>
      <w:r>
        <w:fldChar w:fldCharType="separate"/>
      </w:r>
      <w:r>
        <w:t>160</w:t>
      </w:r>
      <w:r>
        <w:fldChar w:fldCharType="end"/>
      </w:r>
      <w:r>
        <w:fldChar w:fldCharType="end"/>
      </w:r>
    </w:p>
    <w:p>
      <w:pPr>
        <w:pStyle w:val="7"/>
        <w:tabs>
          <w:tab w:val="right" w:leader="dot" w:pos="8302"/>
        </w:tabs>
        <w:rPr>
          <w:kern w:val="2"/>
          <w:sz w:val="21"/>
        </w:rPr>
      </w:pPr>
      <w:r>
        <w:fldChar w:fldCharType="begin"/>
      </w:r>
      <w:r>
        <w:instrText xml:space="preserve"> HYPERLINK \l "_Toc524624666" </w:instrText>
      </w:r>
      <w:r>
        <w:fldChar w:fldCharType="separate"/>
      </w:r>
      <w:r>
        <w:rPr>
          <w:rStyle w:val="21"/>
          <w:rFonts w:ascii="Times New Roman" w:hAnsi="Times New Roman"/>
          <w:b/>
          <w:color w:val="auto"/>
        </w:rPr>
        <w:t xml:space="preserve">8.2.2 </w:t>
      </w:r>
      <w:r>
        <w:rPr>
          <w:rStyle w:val="21"/>
          <w:rFonts w:hint="eastAsia" w:ascii="Times New Roman" w:hAnsi="Times New Roman"/>
          <w:b/>
          <w:color w:val="auto"/>
        </w:rPr>
        <w:t>监测计划</w:t>
      </w:r>
      <w:r>
        <w:tab/>
      </w:r>
      <w:r>
        <w:fldChar w:fldCharType="begin"/>
      </w:r>
      <w:r>
        <w:instrText xml:space="preserve"> PAGEREF _Toc524624666 \h </w:instrText>
      </w:r>
      <w:r>
        <w:fldChar w:fldCharType="separate"/>
      </w:r>
      <w:r>
        <w:t>160</w:t>
      </w:r>
      <w:r>
        <w:fldChar w:fldCharType="end"/>
      </w:r>
      <w:r>
        <w:fldChar w:fldCharType="end"/>
      </w:r>
    </w:p>
    <w:p>
      <w:pPr>
        <w:pStyle w:val="7"/>
        <w:tabs>
          <w:tab w:val="right" w:leader="dot" w:pos="8302"/>
        </w:tabs>
        <w:rPr>
          <w:kern w:val="2"/>
          <w:sz w:val="21"/>
        </w:rPr>
      </w:pPr>
      <w:r>
        <w:fldChar w:fldCharType="begin"/>
      </w:r>
      <w:r>
        <w:instrText xml:space="preserve"> HYPERLINK \l "_Toc524624667" </w:instrText>
      </w:r>
      <w:r>
        <w:fldChar w:fldCharType="separate"/>
      </w:r>
      <w:r>
        <w:rPr>
          <w:rStyle w:val="21"/>
          <w:rFonts w:ascii="Times New Roman" w:hAnsi="Times New Roman"/>
          <w:b/>
          <w:color w:val="auto"/>
        </w:rPr>
        <w:t xml:space="preserve">8.2.3 </w:t>
      </w:r>
      <w:r>
        <w:rPr>
          <w:rStyle w:val="21"/>
          <w:rFonts w:hint="eastAsia" w:ascii="Times New Roman" w:hAnsi="Times New Roman"/>
          <w:b/>
          <w:color w:val="auto"/>
        </w:rPr>
        <w:t>应急监测</w:t>
      </w:r>
      <w:r>
        <w:tab/>
      </w:r>
      <w:r>
        <w:fldChar w:fldCharType="begin"/>
      </w:r>
      <w:r>
        <w:instrText xml:space="preserve"> PAGEREF _Toc524624667 \h </w:instrText>
      </w:r>
      <w:r>
        <w:fldChar w:fldCharType="separate"/>
      </w:r>
      <w:r>
        <w:t>163</w:t>
      </w:r>
      <w:r>
        <w:fldChar w:fldCharType="end"/>
      </w:r>
      <w:r>
        <w:fldChar w:fldCharType="end"/>
      </w:r>
    </w:p>
    <w:p>
      <w:pPr>
        <w:pStyle w:val="7"/>
        <w:tabs>
          <w:tab w:val="right" w:leader="dot" w:pos="8302"/>
        </w:tabs>
        <w:rPr>
          <w:kern w:val="2"/>
          <w:sz w:val="21"/>
        </w:rPr>
      </w:pPr>
      <w:r>
        <w:fldChar w:fldCharType="begin"/>
      </w:r>
      <w:r>
        <w:instrText xml:space="preserve"> HYPERLINK \l "_Toc524624668" </w:instrText>
      </w:r>
      <w:r>
        <w:fldChar w:fldCharType="separate"/>
      </w:r>
      <w:r>
        <w:rPr>
          <w:rStyle w:val="21"/>
          <w:rFonts w:ascii="Times New Roman" w:hAnsi="Times New Roman"/>
          <w:b/>
          <w:color w:val="auto"/>
        </w:rPr>
        <w:t xml:space="preserve">8.2.4 </w:t>
      </w:r>
      <w:r>
        <w:rPr>
          <w:rStyle w:val="21"/>
          <w:rFonts w:hint="eastAsia" w:ascii="Times New Roman" w:hAnsi="Times New Roman"/>
          <w:b/>
          <w:color w:val="auto"/>
        </w:rPr>
        <w:t>环境监控基本内容</w:t>
      </w:r>
      <w:r>
        <w:tab/>
      </w:r>
      <w:r>
        <w:fldChar w:fldCharType="begin"/>
      </w:r>
      <w:r>
        <w:instrText xml:space="preserve"> PAGEREF _Toc524624668 \h </w:instrText>
      </w:r>
      <w:r>
        <w:fldChar w:fldCharType="separate"/>
      </w:r>
      <w:r>
        <w:t>164</w:t>
      </w:r>
      <w:r>
        <w:fldChar w:fldCharType="end"/>
      </w:r>
      <w:r>
        <w:fldChar w:fldCharType="end"/>
      </w:r>
    </w:p>
    <w:p>
      <w:pPr>
        <w:pStyle w:val="7"/>
        <w:tabs>
          <w:tab w:val="right" w:leader="dot" w:pos="8302"/>
        </w:tabs>
        <w:rPr>
          <w:kern w:val="2"/>
          <w:sz w:val="21"/>
        </w:rPr>
      </w:pPr>
      <w:r>
        <w:fldChar w:fldCharType="begin"/>
      </w:r>
      <w:r>
        <w:instrText xml:space="preserve"> HYPERLINK \l "_Toc524624669" </w:instrText>
      </w:r>
      <w:r>
        <w:fldChar w:fldCharType="separate"/>
      </w:r>
      <w:r>
        <w:rPr>
          <w:rStyle w:val="21"/>
          <w:rFonts w:ascii="Times New Roman" w:hAnsi="Times New Roman"/>
          <w:b/>
          <w:color w:val="auto"/>
        </w:rPr>
        <w:t xml:space="preserve">8.2.5 </w:t>
      </w:r>
      <w:r>
        <w:rPr>
          <w:rStyle w:val="21"/>
          <w:rFonts w:hint="eastAsia" w:ascii="Times New Roman" w:hAnsi="Times New Roman"/>
          <w:b/>
          <w:color w:val="auto"/>
        </w:rPr>
        <w:t>环境监控建议</w:t>
      </w:r>
      <w:r>
        <w:tab/>
      </w:r>
      <w:r>
        <w:fldChar w:fldCharType="begin"/>
      </w:r>
      <w:r>
        <w:instrText xml:space="preserve"> PAGEREF _Toc524624669 \h </w:instrText>
      </w:r>
      <w:r>
        <w:fldChar w:fldCharType="separate"/>
      </w:r>
      <w:r>
        <w:t>164</w:t>
      </w:r>
      <w:r>
        <w:fldChar w:fldCharType="end"/>
      </w:r>
      <w:r>
        <w:fldChar w:fldCharType="end"/>
      </w:r>
    </w:p>
    <w:p>
      <w:pPr>
        <w:pStyle w:val="15"/>
        <w:tabs>
          <w:tab w:val="right" w:leader="dot" w:pos="8302"/>
        </w:tabs>
        <w:rPr>
          <w:kern w:val="2"/>
          <w:sz w:val="21"/>
        </w:rPr>
      </w:pPr>
      <w:r>
        <w:fldChar w:fldCharType="begin"/>
      </w:r>
      <w:r>
        <w:instrText xml:space="preserve"> HYPERLINK \l "_Toc524624670" </w:instrText>
      </w:r>
      <w:r>
        <w:fldChar w:fldCharType="separate"/>
      </w:r>
      <w:r>
        <w:rPr>
          <w:rStyle w:val="21"/>
          <w:rFonts w:ascii="Times New Roman" w:hAnsi="Times New Roman"/>
          <w:b/>
          <w:color w:val="auto"/>
        </w:rPr>
        <w:t xml:space="preserve">8.3 </w:t>
      </w:r>
      <w:r>
        <w:rPr>
          <w:rStyle w:val="21"/>
          <w:rFonts w:hint="eastAsia" w:ascii="Times New Roman" w:hAnsi="Times New Roman"/>
          <w:b/>
          <w:color w:val="auto"/>
        </w:rPr>
        <w:t>竣工验收</w:t>
      </w:r>
      <w:r>
        <w:tab/>
      </w:r>
      <w:r>
        <w:fldChar w:fldCharType="begin"/>
      </w:r>
      <w:r>
        <w:instrText xml:space="preserve"> PAGEREF _Toc524624670 \h </w:instrText>
      </w:r>
      <w:r>
        <w:fldChar w:fldCharType="separate"/>
      </w:r>
      <w:r>
        <w:t>165</w:t>
      </w:r>
      <w:r>
        <w:fldChar w:fldCharType="end"/>
      </w:r>
      <w:r>
        <w:fldChar w:fldCharType="end"/>
      </w:r>
    </w:p>
    <w:p>
      <w:pPr>
        <w:pStyle w:val="14"/>
        <w:rPr>
          <w:kern w:val="2"/>
          <w:sz w:val="21"/>
        </w:rPr>
      </w:pPr>
      <w:r>
        <w:fldChar w:fldCharType="begin"/>
      </w:r>
      <w:r>
        <w:instrText xml:space="preserve"> HYPERLINK \l "_Toc524624671" </w:instrText>
      </w:r>
      <w:r>
        <w:fldChar w:fldCharType="separate"/>
      </w:r>
      <w:r>
        <w:rPr>
          <w:rStyle w:val="21"/>
          <w:color w:val="auto"/>
        </w:rPr>
        <w:t xml:space="preserve">9 </w:t>
      </w:r>
      <w:r>
        <w:rPr>
          <w:rStyle w:val="21"/>
          <w:rFonts w:hint="eastAsia"/>
          <w:color w:val="auto"/>
        </w:rPr>
        <w:t>项目可行性分析</w:t>
      </w:r>
      <w:r>
        <w:tab/>
      </w:r>
      <w:r>
        <w:fldChar w:fldCharType="begin"/>
      </w:r>
      <w:r>
        <w:instrText xml:space="preserve"> PAGEREF _Toc524624671 \h </w:instrText>
      </w:r>
      <w:r>
        <w:fldChar w:fldCharType="separate"/>
      </w:r>
      <w:r>
        <w:t>168</w:t>
      </w:r>
      <w:r>
        <w:fldChar w:fldCharType="end"/>
      </w:r>
      <w:r>
        <w:fldChar w:fldCharType="end"/>
      </w:r>
    </w:p>
    <w:p>
      <w:pPr>
        <w:pStyle w:val="15"/>
        <w:tabs>
          <w:tab w:val="right" w:leader="dot" w:pos="8302"/>
        </w:tabs>
        <w:rPr>
          <w:kern w:val="2"/>
          <w:sz w:val="21"/>
        </w:rPr>
      </w:pPr>
      <w:r>
        <w:fldChar w:fldCharType="begin"/>
      </w:r>
      <w:r>
        <w:instrText xml:space="preserve"> HYPERLINK \l "_Toc524624672" </w:instrText>
      </w:r>
      <w:r>
        <w:fldChar w:fldCharType="separate"/>
      </w:r>
      <w:r>
        <w:rPr>
          <w:rStyle w:val="21"/>
          <w:rFonts w:ascii="Times New Roman" w:hAnsi="Times New Roman"/>
          <w:b/>
          <w:color w:val="auto"/>
        </w:rPr>
        <w:t xml:space="preserve">9.1 </w:t>
      </w:r>
      <w:r>
        <w:rPr>
          <w:rStyle w:val="21"/>
          <w:rFonts w:hint="eastAsia" w:ascii="Times New Roman" w:hAnsi="Times New Roman"/>
          <w:b/>
          <w:color w:val="auto"/>
        </w:rPr>
        <w:t>产业政策符合性分析</w:t>
      </w:r>
      <w:r>
        <w:tab/>
      </w:r>
      <w:r>
        <w:fldChar w:fldCharType="begin"/>
      </w:r>
      <w:r>
        <w:instrText xml:space="preserve"> PAGEREF _Toc524624672 \h </w:instrText>
      </w:r>
      <w:r>
        <w:fldChar w:fldCharType="separate"/>
      </w:r>
      <w:r>
        <w:t>168</w:t>
      </w:r>
      <w:r>
        <w:fldChar w:fldCharType="end"/>
      </w:r>
      <w:r>
        <w:fldChar w:fldCharType="end"/>
      </w:r>
    </w:p>
    <w:p>
      <w:pPr>
        <w:pStyle w:val="15"/>
        <w:tabs>
          <w:tab w:val="right" w:leader="dot" w:pos="8302"/>
        </w:tabs>
        <w:rPr>
          <w:kern w:val="2"/>
          <w:sz w:val="21"/>
        </w:rPr>
      </w:pPr>
      <w:r>
        <w:fldChar w:fldCharType="begin"/>
      </w:r>
      <w:r>
        <w:instrText xml:space="preserve"> HYPERLINK \l "_Toc524624673" </w:instrText>
      </w:r>
      <w:r>
        <w:fldChar w:fldCharType="separate"/>
      </w:r>
      <w:r>
        <w:rPr>
          <w:rStyle w:val="21"/>
          <w:rFonts w:ascii="Times New Roman" w:hAnsi="Times New Roman"/>
          <w:b/>
          <w:color w:val="auto"/>
        </w:rPr>
        <w:t xml:space="preserve">9.2 </w:t>
      </w:r>
      <w:r>
        <w:rPr>
          <w:rStyle w:val="21"/>
          <w:rFonts w:hint="eastAsia" w:ascii="Times New Roman" w:hAnsi="Times New Roman"/>
          <w:b/>
          <w:color w:val="auto"/>
        </w:rPr>
        <w:t>厂址合理性分析</w:t>
      </w:r>
      <w:r>
        <w:tab/>
      </w:r>
      <w:r>
        <w:fldChar w:fldCharType="begin"/>
      </w:r>
      <w:r>
        <w:instrText xml:space="preserve"> PAGEREF _Toc524624673 \h </w:instrText>
      </w:r>
      <w:r>
        <w:fldChar w:fldCharType="separate"/>
      </w:r>
      <w:r>
        <w:t>168</w:t>
      </w:r>
      <w:r>
        <w:fldChar w:fldCharType="end"/>
      </w:r>
      <w:r>
        <w:fldChar w:fldCharType="end"/>
      </w:r>
    </w:p>
    <w:p>
      <w:pPr>
        <w:pStyle w:val="15"/>
        <w:tabs>
          <w:tab w:val="right" w:leader="dot" w:pos="8302"/>
        </w:tabs>
        <w:rPr>
          <w:kern w:val="2"/>
          <w:sz w:val="21"/>
        </w:rPr>
      </w:pPr>
      <w:r>
        <w:fldChar w:fldCharType="begin"/>
      </w:r>
      <w:r>
        <w:instrText xml:space="preserve"> HYPERLINK \l "_Toc524624674" </w:instrText>
      </w:r>
      <w:r>
        <w:fldChar w:fldCharType="separate"/>
      </w:r>
      <w:r>
        <w:rPr>
          <w:rStyle w:val="21"/>
          <w:rFonts w:ascii="Times New Roman" w:hAnsi="Times New Roman"/>
          <w:b/>
          <w:color w:val="auto"/>
        </w:rPr>
        <w:t xml:space="preserve">9.3 </w:t>
      </w:r>
      <w:r>
        <w:rPr>
          <w:rStyle w:val="21"/>
          <w:rFonts w:hint="eastAsia" w:ascii="Times New Roman" w:hAnsi="Times New Roman"/>
          <w:b/>
          <w:color w:val="auto"/>
        </w:rPr>
        <w:t>污染物排放达标可行性和环境影响的可接受性分析</w:t>
      </w:r>
      <w:r>
        <w:tab/>
      </w:r>
      <w:r>
        <w:fldChar w:fldCharType="begin"/>
      </w:r>
      <w:r>
        <w:instrText xml:space="preserve"> PAGEREF _Toc524624674 \h </w:instrText>
      </w:r>
      <w:r>
        <w:fldChar w:fldCharType="separate"/>
      </w:r>
      <w:r>
        <w:t>168</w:t>
      </w:r>
      <w:r>
        <w:fldChar w:fldCharType="end"/>
      </w:r>
      <w:r>
        <w:fldChar w:fldCharType="end"/>
      </w:r>
    </w:p>
    <w:p>
      <w:pPr>
        <w:pStyle w:val="14"/>
        <w:rPr>
          <w:kern w:val="2"/>
          <w:sz w:val="21"/>
        </w:rPr>
      </w:pPr>
      <w:r>
        <w:fldChar w:fldCharType="begin"/>
      </w:r>
      <w:r>
        <w:instrText xml:space="preserve"> HYPERLINK \l "_Toc524624675" </w:instrText>
      </w:r>
      <w:r>
        <w:fldChar w:fldCharType="separate"/>
      </w:r>
      <w:r>
        <w:rPr>
          <w:rStyle w:val="21"/>
          <w:color w:val="auto"/>
        </w:rPr>
        <w:t xml:space="preserve">10 </w:t>
      </w:r>
      <w:r>
        <w:rPr>
          <w:rStyle w:val="21"/>
          <w:rFonts w:hint="eastAsia"/>
          <w:color w:val="auto"/>
        </w:rPr>
        <w:t>结论与建议</w:t>
      </w:r>
      <w:r>
        <w:tab/>
      </w:r>
      <w:r>
        <w:fldChar w:fldCharType="begin"/>
      </w:r>
      <w:r>
        <w:instrText xml:space="preserve"> PAGEREF _Toc524624675 \h </w:instrText>
      </w:r>
      <w:r>
        <w:fldChar w:fldCharType="separate"/>
      </w:r>
      <w:r>
        <w:t>169</w:t>
      </w:r>
      <w:r>
        <w:fldChar w:fldCharType="end"/>
      </w:r>
      <w:r>
        <w:fldChar w:fldCharType="end"/>
      </w:r>
    </w:p>
    <w:p>
      <w:pPr>
        <w:pStyle w:val="15"/>
        <w:tabs>
          <w:tab w:val="right" w:leader="dot" w:pos="8302"/>
        </w:tabs>
        <w:rPr>
          <w:kern w:val="2"/>
          <w:sz w:val="21"/>
        </w:rPr>
      </w:pPr>
      <w:r>
        <w:fldChar w:fldCharType="begin"/>
      </w:r>
      <w:r>
        <w:instrText xml:space="preserve"> HYPERLINK \l "_Toc524624676" </w:instrText>
      </w:r>
      <w:r>
        <w:fldChar w:fldCharType="separate"/>
      </w:r>
      <w:r>
        <w:rPr>
          <w:rStyle w:val="21"/>
          <w:rFonts w:ascii="Times New Roman" w:hAnsi="Times New Roman"/>
          <w:b/>
          <w:color w:val="auto"/>
        </w:rPr>
        <w:t xml:space="preserve">10.1 </w:t>
      </w:r>
      <w:r>
        <w:rPr>
          <w:rStyle w:val="21"/>
          <w:rFonts w:hint="eastAsia" w:ascii="Times New Roman" w:hAnsi="Times New Roman"/>
          <w:b/>
          <w:color w:val="auto"/>
        </w:rPr>
        <w:t>项目概况</w:t>
      </w:r>
      <w:r>
        <w:tab/>
      </w:r>
      <w:r>
        <w:fldChar w:fldCharType="begin"/>
      </w:r>
      <w:r>
        <w:instrText xml:space="preserve"> PAGEREF _Toc524624676 \h </w:instrText>
      </w:r>
      <w:r>
        <w:fldChar w:fldCharType="separate"/>
      </w:r>
      <w:r>
        <w:t>169</w:t>
      </w:r>
      <w:r>
        <w:fldChar w:fldCharType="end"/>
      </w:r>
      <w:r>
        <w:fldChar w:fldCharType="end"/>
      </w:r>
    </w:p>
    <w:p>
      <w:pPr>
        <w:pStyle w:val="15"/>
        <w:tabs>
          <w:tab w:val="right" w:leader="dot" w:pos="8302"/>
        </w:tabs>
        <w:rPr>
          <w:kern w:val="2"/>
          <w:sz w:val="21"/>
        </w:rPr>
      </w:pPr>
      <w:r>
        <w:fldChar w:fldCharType="begin"/>
      </w:r>
      <w:r>
        <w:instrText xml:space="preserve"> HYPERLINK \l "_Toc524624677" </w:instrText>
      </w:r>
      <w:r>
        <w:fldChar w:fldCharType="separate"/>
      </w:r>
      <w:r>
        <w:rPr>
          <w:rStyle w:val="21"/>
          <w:rFonts w:ascii="Times New Roman" w:hAnsi="Times New Roman"/>
          <w:b/>
          <w:color w:val="auto"/>
        </w:rPr>
        <w:t xml:space="preserve">10.2 </w:t>
      </w:r>
      <w:r>
        <w:rPr>
          <w:rStyle w:val="21"/>
          <w:rFonts w:hint="eastAsia" w:ascii="Times New Roman" w:hAnsi="Times New Roman"/>
          <w:b/>
          <w:color w:val="auto"/>
        </w:rPr>
        <w:t>区域环境质量现状</w:t>
      </w:r>
      <w:r>
        <w:tab/>
      </w:r>
      <w:r>
        <w:fldChar w:fldCharType="begin"/>
      </w:r>
      <w:r>
        <w:instrText xml:space="preserve"> PAGEREF _Toc524624677 \h </w:instrText>
      </w:r>
      <w:r>
        <w:fldChar w:fldCharType="separate"/>
      </w:r>
      <w:r>
        <w:t>169</w:t>
      </w:r>
      <w:r>
        <w:fldChar w:fldCharType="end"/>
      </w:r>
      <w:r>
        <w:fldChar w:fldCharType="end"/>
      </w:r>
    </w:p>
    <w:p>
      <w:pPr>
        <w:pStyle w:val="15"/>
        <w:tabs>
          <w:tab w:val="right" w:leader="dot" w:pos="8302"/>
        </w:tabs>
        <w:rPr>
          <w:kern w:val="2"/>
          <w:sz w:val="21"/>
        </w:rPr>
      </w:pPr>
      <w:r>
        <w:fldChar w:fldCharType="begin"/>
      </w:r>
      <w:r>
        <w:instrText xml:space="preserve"> HYPERLINK \l "_Toc524624678" </w:instrText>
      </w:r>
      <w:r>
        <w:fldChar w:fldCharType="separate"/>
      </w:r>
      <w:r>
        <w:rPr>
          <w:rStyle w:val="21"/>
          <w:rFonts w:ascii="Times New Roman" w:hAnsi="Times New Roman"/>
          <w:b/>
          <w:color w:val="auto"/>
        </w:rPr>
        <w:t xml:space="preserve">10.3 </w:t>
      </w:r>
      <w:r>
        <w:rPr>
          <w:rStyle w:val="21"/>
          <w:rFonts w:hint="eastAsia" w:ascii="Times New Roman" w:hAnsi="Times New Roman"/>
          <w:b/>
          <w:color w:val="auto"/>
        </w:rPr>
        <w:t>环境影响预测结论</w:t>
      </w:r>
      <w:r>
        <w:tab/>
      </w:r>
      <w:r>
        <w:fldChar w:fldCharType="begin"/>
      </w:r>
      <w:r>
        <w:instrText xml:space="preserve"> PAGEREF _Toc524624678 \h </w:instrText>
      </w:r>
      <w:r>
        <w:fldChar w:fldCharType="separate"/>
      </w:r>
      <w:r>
        <w:t>170</w:t>
      </w:r>
      <w:r>
        <w:fldChar w:fldCharType="end"/>
      </w:r>
      <w:r>
        <w:fldChar w:fldCharType="end"/>
      </w:r>
    </w:p>
    <w:p>
      <w:pPr>
        <w:pStyle w:val="7"/>
        <w:tabs>
          <w:tab w:val="right" w:leader="dot" w:pos="8302"/>
        </w:tabs>
        <w:rPr>
          <w:kern w:val="2"/>
          <w:sz w:val="21"/>
        </w:rPr>
      </w:pPr>
      <w:r>
        <w:fldChar w:fldCharType="begin"/>
      </w:r>
      <w:r>
        <w:instrText xml:space="preserve"> HYPERLINK \l "_Toc524624679" </w:instrText>
      </w:r>
      <w:r>
        <w:fldChar w:fldCharType="separate"/>
      </w:r>
      <w:r>
        <w:rPr>
          <w:rStyle w:val="21"/>
          <w:rFonts w:ascii="Times New Roman" w:hAnsi="Times New Roman"/>
          <w:b/>
          <w:color w:val="auto"/>
        </w:rPr>
        <w:t xml:space="preserve">10.3.1 </w:t>
      </w:r>
      <w:r>
        <w:rPr>
          <w:rStyle w:val="21"/>
          <w:rFonts w:hint="eastAsia" w:ascii="Times New Roman" w:hAnsi="Times New Roman"/>
          <w:b/>
          <w:color w:val="auto"/>
        </w:rPr>
        <w:t>大气环境影响分析结论</w:t>
      </w:r>
      <w:r>
        <w:tab/>
      </w:r>
      <w:r>
        <w:fldChar w:fldCharType="begin"/>
      </w:r>
      <w:r>
        <w:instrText xml:space="preserve"> PAGEREF _Toc524624679 \h </w:instrText>
      </w:r>
      <w:r>
        <w:fldChar w:fldCharType="separate"/>
      </w:r>
      <w:r>
        <w:t>171</w:t>
      </w:r>
      <w:r>
        <w:fldChar w:fldCharType="end"/>
      </w:r>
      <w:r>
        <w:fldChar w:fldCharType="end"/>
      </w:r>
    </w:p>
    <w:p>
      <w:pPr>
        <w:pStyle w:val="7"/>
        <w:tabs>
          <w:tab w:val="right" w:leader="dot" w:pos="8302"/>
        </w:tabs>
        <w:rPr>
          <w:kern w:val="2"/>
          <w:sz w:val="21"/>
        </w:rPr>
      </w:pPr>
      <w:r>
        <w:fldChar w:fldCharType="begin"/>
      </w:r>
      <w:r>
        <w:instrText xml:space="preserve"> HYPERLINK \l "_Toc524624680" </w:instrText>
      </w:r>
      <w:r>
        <w:fldChar w:fldCharType="separate"/>
      </w:r>
      <w:r>
        <w:rPr>
          <w:rStyle w:val="21"/>
          <w:rFonts w:ascii="Times New Roman" w:hAnsi="Times New Roman"/>
          <w:b/>
          <w:color w:val="auto"/>
        </w:rPr>
        <w:t xml:space="preserve">10.3.2 </w:t>
      </w:r>
      <w:r>
        <w:rPr>
          <w:rStyle w:val="21"/>
          <w:rFonts w:hint="eastAsia" w:ascii="Times New Roman" w:hAnsi="Times New Roman"/>
          <w:b/>
          <w:color w:val="auto"/>
        </w:rPr>
        <w:t>水环境影响分析结论</w:t>
      </w:r>
      <w:r>
        <w:tab/>
      </w:r>
      <w:r>
        <w:fldChar w:fldCharType="begin"/>
      </w:r>
      <w:r>
        <w:instrText xml:space="preserve"> PAGEREF _Toc524624680 \h </w:instrText>
      </w:r>
      <w:r>
        <w:fldChar w:fldCharType="separate"/>
      </w:r>
      <w:r>
        <w:t>171</w:t>
      </w:r>
      <w:r>
        <w:fldChar w:fldCharType="end"/>
      </w:r>
      <w:r>
        <w:fldChar w:fldCharType="end"/>
      </w:r>
    </w:p>
    <w:p>
      <w:pPr>
        <w:pStyle w:val="7"/>
        <w:tabs>
          <w:tab w:val="right" w:leader="dot" w:pos="8302"/>
        </w:tabs>
        <w:rPr>
          <w:kern w:val="2"/>
          <w:sz w:val="21"/>
        </w:rPr>
      </w:pPr>
      <w:r>
        <w:fldChar w:fldCharType="begin"/>
      </w:r>
      <w:r>
        <w:instrText xml:space="preserve"> HYPERLINK \l "_Toc524624681" </w:instrText>
      </w:r>
      <w:r>
        <w:fldChar w:fldCharType="separate"/>
      </w:r>
      <w:r>
        <w:rPr>
          <w:rStyle w:val="21"/>
          <w:rFonts w:ascii="Times New Roman" w:hAnsi="Times New Roman"/>
          <w:b/>
          <w:color w:val="auto"/>
        </w:rPr>
        <w:t xml:space="preserve">10.3.4 </w:t>
      </w:r>
      <w:r>
        <w:rPr>
          <w:rStyle w:val="21"/>
          <w:rFonts w:hint="eastAsia" w:ascii="Times New Roman" w:hAnsi="Times New Roman"/>
          <w:b/>
          <w:color w:val="auto"/>
        </w:rPr>
        <w:t>地下水环境影响分析结论</w:t>
      </w:r>
      <w:r>
        <w:tab/>
      </w:r>
      <w:r>
        <w:fldChar w:fldCharType="begin"/>
      </w:r>
      <w:r>
        <w:instrText xml:space="preserve"> PAGEREF _Toc524624681 \h </w:instrText>
      </w:r>
      <w:r>
        <w:fldChar w:fldCharType="separate"/>
      </w:r>
      <w:r>
        <w:t>171</w:t>
      </w:r>
      <w:r>
        <w:fldChar w:fldCharType="end"/>
      </w:r>
      <w:r>
        <w:fldChar w:fldCharType="end"/>
      </w:r>
    </w:p>
    <w:p>
      <w:pPr>
        <w:pStyle w:val="7"/>
        <w:tabs>
          <w:tab w:val="right" w:leader="dot" w:pos="8302"/>
        </w:tabs>
        <w:rPr>
          <w:kern w:val="2"/>
          <w:sz w:val="21"/>
        </w:rPr>
      </w:pPr>
      <w:r>
        <w:fldChar w:fldCharType="begin"/>
      </w:r>
      <w:r>
        <w:instrText xml:space="preserve"> HYPERLINK \l "_Toc524624682" </w:instrText>
      </w:r>
      <w:r>
        <w:fldChar w:fldCharType="separate"/>
      </w:r>
      <w:r>
        <w:rPr>
          <w:rStyle w:val="21"/>
          <w:rFonts w:ascii="Times New Roman" w:hAnsi="Times New Roman"/>
          <w:b/>
          <w:color w:val="auto"/>
        </w:rPr>
        <w:t xml:space="preserve">10.3.5 </w:t>
      </w:r>
      <w:r>
        <w:rPr>
          <w:rStyle w:val="21"/>
          <w:rFonts w:hint="eastAsia" w:ascii="Times New Roman" w:hAnsi="Times New Roman"/>
          <w:b/>
          <w:color w:val="auto"/>
        </w:rPr>
        <w:t>声环境影响分析结论</w:t>
      </w:r>
      <w:r>
        <w:tab/>
      </w:r>
      <w:r>
        <w:fldChar w:fldCharType="begin"/>
      </w:r>
      <w:r>
        <w:instrText xml:space="preserve"> PAGEREF _Toc524624682 \h </w:instrText>
      </w:r>
      <w:r>
        <w:fldChar w:fldCharType="separate"/>
      </w:r>
      <w:r>
        <w:t>172</w:t>
      </w:r>
      <w:r>
        <w:fldChar w:fldCharType="end"/>
      </w:r>
      <w:r>
        <w:fldChar w:fldCharType="end"/>
      </w:r>
    </w:p>
    <w:p>
      <w:pPr>
        <w:pStyle w:val="7"/>
        <w:tabs>
          <w:tab w:val="right" w:leader="dot" w:pos="8302"/>
        </w:tabs>
        <w:rPr>
          <w:kern w:val="2"/>
          <w:sz w:val="21"/>
        </w:rPr>
      </w:pPr>
      <w:r>
        <w:fldChar w:fldCharType="begin"/>
      </w:r>
      <w:r>
        <w:instrText xml:space="preserve"> HYPERLINK \l "_Toc524624683" </w:instrText>
      </w:r>
      <w:r>
        <w:fldChar w:fldCharType="separate"/>
      </w:r>
      <w:r>
        <w:rPr>
          <w:rStyle w:val="21"/>
          <w:rFonts w:ascii="Times New Roman" w:hAnsi="Times New Roman"/>
          <w:b/>
          <w:color w:val="auto"/>
        </w:rPr>
        <w:t xml:space="preserve">10.3.6 </w:t>
      </w:r>
      <w:r>
        <w:rPr>
          <w:rStyle w:val="21"/>
          <w:rFonts w:hint="eastAsia" w:ascii="Times New Roman" w:hAnsi="Times New Roman"/>
          <w:b/>
          <w:color w:val="auto"/>
        </w:rPr>
        <w:t>固体废物影响分析结论</w:t>
      </w:r>
      <w:r>
        <w:tab/>
      </w:r>
      <w:r>
        <w:fldChar w:fldCharType="begin"/>
      </w:r>
      <w:r>
        <w:instrText xml:space="preserve"> PAGEREF _Toc524624683 \h </w:instrText>
      </w:r>
      <w:r>
        <w:fldChar w:fldCharType="separate"/>
      </w:r>
      <w:r>
        <w:t>172</w:t>
      </w:r>
      <w:r>
        <w:fldChar w:fldCharType="end"/>
      </w:r>
      <w:r>
        <w:fldChar w:fldCharType="end"/>
      </w:r>
    </w:p>
    <w:p>
      <w:pPr>
        <w:pStyle w:val="7"/>
        <w:tabs>
          <w:tab w:val="right" w:leader="dot" w:pos="8302"/>
        </w:tabs>
        <w:rPr>
          <w:kern w:val="2"/>
          <w:sz w:val="21"/>
        </w:rPr>
      </w:pPr>
      <w:r>
        <w:fldChar w:fldCharType="begin"/>
      </w:r>
      <w:r>
        <w:instrText xml:space="preserve"> HYPERLINK \l "_Toc524624684" </w:instrText>
      </w:r>
      <w:r>
        <w:fldChar w:fldCharType="separate"/>
      </w:r>
      <w:r>
        <w:rPr>
          <w:rStyle w:val="21"/>
          <w:rFonts w:ascii="Times New Roman" w:hAnsi="Times New Roman"/>
          <w:b/>
          <w:color w:val="auto"/>
        </w:rPr>
        <w:t xml:space="preserve">10.3.7 </w:t>
      </w:r>
      <w:r>
        <w:rPr>
          <w:rStyle w:val="21"/>
          <w:rFonts w:hint="eastAsia" w:ascii="Times New Roman" w:hAnsi="Times New Roman"/>
          <w:b/>
          <w:color w:val="auto"/>
        </w:rPr>
        <w:t>生态环境影响分析结论</w:t>
      </w:r>
      <w:r>
        <w:tab/>
      </w:r>
      <w:r>
        <w:fldChar w:fldCharType="begin"/>
      </w:r>
      <w:r>
        <w:instrText xml:space="preserve"> PAGEREF _Toc524624684 \h </w:instrText>
      </w:r>
      <w:r>
        <w:fldChar w:fldCharType="separate"/>
      </w:r>
      <w:r>
        <w:t>172</w:t>
      </w:r>
      <w:r>
        <w:fldChar w:fldCharType="end"/>
      </w:r>
      <w:r>
        <w:fldChar w:fldCharType="end"/>
      </w:r>
    </w:p>
    <w:p>
      <w:pPr>
        <w:pStyle w:val="7"/>
        <w:tabs>
          <w:tab w:val="right" w:leader="dot" w:pos="8302"/>
        </w:tabs>
        <w:rPr>
          <w:kern w:val="2"/>
          <w:sz w:val="21"/>
        </w:rPr>
      </w:pPr>
      <w:r>
        <w:fldChar w:fldCharType="begin"/>
      </w:r>
      <w:r>
        <w:instrText xml:space="preserve"> HYPERLINK \l "_Toc524624685" </w:instrText>
      </w:r>
      <w:r>
        <w:fldChar w:fldCharType="separate"/>
      </w:r>
      <w:r>
        <w:rPr>
          <w:rStyle w:val="21"/>
          <w:rFonts w:ascii="Times New Roman" w:hAnsi="Times New Roman"/>
          <w:b/>
          <w:color w:val="auto"/>
        </w:rPr>
        <w:t xml:space="preserve">10.3.8 </w:t>
      </w:r>
      <w:r>
        <w:rPr>
          <w:rStyle w:val="21"/>
          <w:rFonts w:hint="eastAsia" w:ascii="Times New Roman" w:hAnsi="Times New Roman"/>
          <w:b/>
          <w:color w:val="auto"/>
        </w:rPr>
        <w:t>环境风险结论</w:t>
      </w:r>
      <w:r>
        <w:tab/>
      </w:r>
      <w:r>
        <w:fldChar w:fldCharType="begin"/>
      </w:r>
      <w:r>
        <w:instrText xml:space="preserve"> PAGEREF _Toc524624685 \h </w:instrText>
      </w:r>
      <w:r>
        <w:fldChar w:fldCharType="separate"/>
      </w:r>
      <w:r>
        <w:t>172</w:t>
      </w:r>
      <w:r>
        <w:fldChar w:fldCharType="end"/>
      </w:r>
      <w:r>
        <w:fldChar w:fldCharType="end"/>
      </w:r>
    </w:p>
    <w:p>
      <w:pPr>
        <w:pStyle w:val="15"/>
        <w:tabs>
          <w:tab w:val="right" w:leader="dot" w:pos="8302"/>
        </w:tabs>
        <w:rPr>
          <w:kern w:val="2"/>
          <w:sz w:val="21"/>
        </w:rPr>
      </w:pPr>
      <w:r>
        <w:fldChar w:fldCharType="begin"/>
      </w:r>
      <w:r>
        <w:instrText xml:space="preserve"> HYPERLINK \l "_Toc524624686" </w:instrText>
      </w:r>
      <w:r>
        <w:fldChar w:fldCharType="separate"/>
      </w:r>
      <w:r>
        <w:rPr>
          <w:rStyle w:val="21"/>
          <w:rFonts w:ascii="Times New Roman" w:hAnsi="Times New Roman"/>
          <w:b/>
          <w:color w:val="auto"/>
        </w:rPr>
        <w:t xml:space="preserve">10.4 </w:t>
      </w:r>
      <w:r>
        <w:rPr>
          <w:rStyle w:val="21"/>
          <w:rFonts w:hint="eastAsia" w:ascii="Times New Roman" w:hAnsi="Times New Roman"/>
          <w:b/>
          <w:color w:val="auto"/>
        </w:rPr>
        <w:t>公众参与</w:t>
      </w:r>
      <w:r>
        <w:tab/>
      </w:r>
      <w:r>
        <w:fldChar w:fldCharType="begin"/>
      </w:r>
      <w:r>
        <w:instrText xml:space="preserve"> PAGEREF _Toc524624686 \h </w:instrText>
      </w:r>
      <w:r>
        <w:fldChar w:fldCharType="separate"/>
      </w:r>
      <w:r>
        <w:t>173</w:t>
      </w:r>
      <w:r>
        <w:fldChar w:fldCharType="end"/>
      </w:r>
      <w:r>
        <w:fldChar w:fldCharType="end"/>
      </w:r>
    </w:p>
    <w:p>
      <w:pPr>
        <w:pStyle w:val="15"/>
        <w:tabs>
          <w:tab w:val="right" w:leader="dot" w:pos="8302"/>
        </w:tabs>
        <w:rPr>
          <w:kern w:val="2"/>
          <w:sz w:val="21"/>
        </w:rPr>
      </w:pPr>
      <w:r>
        <w:fldChar w:fldCharType="begin"/>
      </w:r>
      <w:r>
        <w:instrText xml:space="preserve"> HYPERLINK \l "_Toc524624687" </w:instrText>
      </w:r>
      <w:r>
        <w:fldChar w:fldCharType="separate"/>
      </w:r>
      <w:r>
        <w:rPr>
          <w:rStyle w:val="21"/>
          <w:rFonts w:ascii="Times New Roman" w:hAnsi="Times New Roman"/>
          <w:b/>
          <w:color w:val="auto"/>
        </w:rPr>
        <w:t xml:space="preserve">10.5 </w:t>
      </w:r>
      <w:r>
        <w:rPr>
          <w:rStyle w:val="21"/>
          <w:rFonts w:hint="eastAsia" w:ascii="Times New Roman" w:hAnsi="Times New Roman"/>
          <w:b/>
          <w:color w:val="auto"/>
        </w:rPr>
        <w:t>选址合理性分析</w:t>
      </w:r>
      <w:r>
        <w:tab/>
      </w:r>
      <w:r>
        <w:fldChar w:fldCharType="begin"/>
      </w:r>
      <w:r>
        <w:instrText xml:space="preserve"> PAGEREF _Toc524624687 \h </w:instrText>
      </w:r>
      <w:r>
        <w:fldChar w:fldCharType="separate"/>
      </w:r>
      <w:r>
        <w:t>173</w:t>
      </w:r>
      <w:r>
        <w:fldChar w:fldCharType="end"/>
      </w:r>
      <w:r>
        <w:fldChar w:fldCharType="end"/>
      </w:r>
    </w:p>
    <w:p>
      <w:pPr>
        <w:pStyle w:val="15"/>
        <w:tabs>
          <w:tab w:val="right" w:leader="dot" w:pos="8302"/>
        </w:tabs>
        <w:rPr>
          <w:kern w:val="2"/>
          <w:sz w:val="21"/>
        </w:rPr>
      </w:pPr>
      <w:r>
        <w:fldChar w:fldCharType="begin"/>
      </w:r>
      <w:r>
        <w:instrText xml:space="preserve"> HYPERLINK \l "_Toc524624688" </w:instrText>
      </w:r>
      <w:r>
        <w:fldChar w:fldCharType="separate"/>
      </w:r>
      <w:r>
        <w:rPr>
          <w:rStyle w:val="21"/>
          <w:rFonts w:ascii="Times New Roman" w:hAnsi="Times New Roman"/>
          <w:b/>
          <w:color w:val="auto"/>
        </w:rPr>
        <w:t xml:space="preserve">10.6 </w:t>
      </w:r>
      <w:r>
        <w:rPr>
          <w:rStyle w:val="21"/>
          <w:rFonts w:hint="eastAsia" w:ascii="Times New Roman" w:hAnsi="Times New Roman"/>
          <w:b/>
          <w:color w:val="auto"/>
        </w:rPr>
        <w:t>综合评价结论</w:t>
      </w:r>
      <w:r>
        <w:tab/>
      </w:r>
      <w:r>
        <w:fldChar w:fldCharType="begin"/>
      </w:r>
      <w:r>
        <w:instrText xml:space="preserve"> PAGEREF _Toc524624688 \h </w:instrText>
      </w:r>
      <w:r>
        <w:fldChar w:fldCharType="separate"/>
      </w:r>
      <w:r>
        <w:t>173</w:t>
      </w:r>
      <w:r>
        <w:fldChar w:fldCharType="end"/>
      </w:r>
      <w:r>
        <w:fldChar w:fldCharType="end"/>
      </w:r>
    </w:p>
    <w:p>
      <w:pPr>
        <w:pStyle w:val="15"/>
        <w:tabs>
          <w:tab w:val="right" w:leader="dot" w:pos="8302"/>
        </w:tabs>
        <w:rPr>
          <w:rStyle w:val="21"/>
          <w:rFonts w:ascii="Times New Roman" w:hAnsi="Times New Roman"/>
          <w:b/>
          <w:color w:val="auto"/>
        </w:rPr>
      </w:pPr>
      <w:r>
        <w:fldChar w:fldCharType="begin"/>
      </w:r>
      <w:r>
        <w:instrText xml:space="preserve"> HYPERLINK \l "_Toc524624689" </w:instrText>
      </w:r>
      <w:r>
        <w:fldChar w:fldCharType="separate"/>
      </w:r>
      <w:r>
        <w:rPr>
          <w:rStyle w:val="21"/>
          <w:rFonts w:ascii="Times New Roman" w:hAnsi="Times New Roman"/>
          <w:b/>
          <w:color w:val="auto"/>
        </w:rPr>
        <w:t xml:space="preserve">10.7 </w:t>
      </w:r>
      <w:r>
        <w:rPr>
          <w:rStyle w:val="21"/>
          <w:rFonts w:hint="eastAsia" w:ascii="Times New Roman" w:hAnsi="Times New Roman"/>
          <w:b/>
          <w:color w:val="auto"/>
        </w:rPr>
        <w:t>建议</w:t>
      </w:r>
      <w:r>
        <w:rPr>
          <w:rStyle w:val="21"/>
          <w:rFonts w:ascii="Times New Roman" w:hAnsi="Times New Roman"/>
          <w:b/>
          <w:color w:val="auto"/>
        </w:rPr>
        <w:tab/>
      </w:r>
      <w:r>
        <w:rPr>
          <w:rStyle w:val="21"/>
          <w:rFonts w:ascii="Times New Roman" w:hAnsi="Times New Roman"/>
          <w:b/>
          <w:color w:val="auto"/>
        </w:rPr>
        <w:fldChar w:fldCharType="begin"/>
      </w:r>
      <w:r>
        <w:rPr>
          <w:rStyle w:val="21"/>
          <w:rFonts w:ascii="Times New Roman" w:hAnsi="Times New Roman"/>
          <w:b/>
          <w:color w:val="auto"/>
        </w:rPr>
        <w:instrText xml:space="preserve"> PAGEREF _Toc524624689 \h </w:instrText>
      </w:r>
      <w:r>
        <w:rPr>
          <w:rStyle w:val="21"/>
          <w:rFonts w:ascii="Times New Roman" w:hAnsi="Times New Roman"/>
          <w:b/>
          <w:color w:val="auto"/>
        </w:rPr>
        <w:fldChar w:fldCharType="separate"/>
      </w:r>
      <w:r>
        <w:rPr>
          <w:rStyle w:val="21"/>
          <w:rFonts w:ascii="Times New Roman" w:hAnsi="Times New Roman"/>
          <w:b/>
          <w:color w:val="auto"/>
        </w:rPr>
        <w:t>173</w:t>
      </w:r>
      <w:r>
        <w:rPr>
          <w:rStyle w:val="21"/>
          <w:rFonts w:ascii="Times New Roman" w:hAnsi="Times New Roman"/>
          <w:b/>
          <w:color w:val="auto"/>
        </w:rPr>
        <w:fldChar w:fldCharType="end"/>
      </w:r>
      <w:r>
        <w:rPr>
          <w:rStyle w:val="21"/>
          <w:rFonts w:ascii="Times New Roman" w:hAnsi="Times New Roman"/>
          <w:b/>
          <w:color w:val="auto"/>
        </w:rPr>
        <w:fldChar w:fldCharType="end"/>
      </w:r>
    </w:p>
    <w:p>
      <w:pPr>
        <w:ind w:firstLine="138" w:firstLineChars="49"/>
        <w:jc w:val="center"/>
        <w:rPr>
          <w:rFonts w:asciiTheme="majorHAnsi" w:hAnsiTheme="majorHAnsi" w:eastAsiaTheme="majorEastAsia" w:cstheme="majorBidi"/>
          <w:b/>
          <w:bCs/>
          <w:kern w:val="0"/>
          <w:sz w:val="28"/>
          <w:szCs w:val="28"/>
          <w:lang w:val="zh-CN"/>
        </w:rPr>
      </w:pPr>
      <w:r>
        <w:rPr>
          <w:rFonts w:asciiTheme="majorHAnsi" w:hAnsiTheme="majorHAnsi" w:eastAsiaTheme="majorEastAsia" w:cstheme="majorBidi"/>
          <w:b/>
          <w:bCs/>
          <w:kern w:val="0"/>
          <w:sz w:val="28"/>
          <w:szCs w:val="28"/>
          <w:lang w:val="zh-CN"/>
        </w:rPr>
        <w:fldChar w:fldCharType="end"/>
      </w:r>
    </w:p>
    <w:p>
      <w:pPr>
        <w:widowControl/>
        <w:ind w:firstLine="0" w:firstLineChars="0"/>
        <w:rPr>
          <w:rFonts w:asciiTheme="majorHAnsi" w:hAnsiTheme="majorHAnsi" w:eastAsiaTheme="majorEastAsia" w:cstheme="majorBidi"/>
          <w:b/>
          <w:bCs/>
          <w:kern w:val="0"/>
          <w:sz w:val="28"/>
          <w:szCs w:val="28"/>
          <w:lang w:val="zh-CN"/>
        </w:rPr>
      </w:pPr>
      <w:r>
        <w:rPr>
          <w:rFonts w:hint="eastAsia" w:asciiTheme="majorHAnsi" w:hAnsiTheme="majorHAnsi" w:eastAsiaTheme="majorEastAsia" w:cstheme="majorBidi"/>
          <w:b/>
          <w:bCs/>
          <w:kern w:val="0"/>
          <w:sz w:val="28"/>
          <w:szCs w:val="28"/>
          <w:lang w:val="zh-CN"/>
        </w:rPr>
        <w:t>附件：</w:t>
      </w:r>
    </w:p>
    <w:p>
      <w:pPr>
        <w:widowControl/>
        <w:ind w:firstLine="0" w:firstLineChars="0"/>
        <w:rPr>
          <w:rFonts w:ascii="Times New Roman" w:hAnsi="Times New Roman" w:eastAsiaTheme="majorEastAsia"/>
          <w:bCs/>
          <w:kern w:val="0"/>
          <w:szCs w:val="24"/>
          <w:lang w:val="zh-CN"/>
        </w:rPr>
      </w:pPr>
      <w:r>
        <w:rPr>
          <w:rFonts w:ascii="Times New Roman" w:hAnsi="Times New Roman" w:eastAsiaTheme="majorEastAsia"/>
          <w:bCs/>
          <w:kern w:val="0"/>
          <w:szCs w:val="24"/>
          <w:lang w:val="zh-CN"/>
        </w:rPr>
        <w:t>附件1：委托书</w:t>
      </w:r>
    </w:p>
    <w:p>
      <w:pPr>
        <w:widowControl/>
        <w:ind w:firstLine="0" w:firstLineChars="0"/>
        <w:rPr>
          <w:rFonts w:ascii="Times New Roman" w:hAnsi="Times New Roman" w:eastAsiaTheme="majorEastAsia"/>
          <w:bCs/>
          <w:kern w:val="0"/>
          <w:szCs w:val="24"/>
          <w:lang w:val="zh-CN"/>
        </w:rPr>
      </w:pPr>
      <w:r>
        <w:rPr>
          <w:rFonts w:ascii="Times New Roman" w:hAnsi="Times New Roman" w:eastAsiaTheme="majorEastAsia"/>
          <w:bCs/>
          <w:kern w:val="0"/>
          <w:szCs w:val="24"/>
          <w:lang w:val="zh-CN"/>
        </w:rPr>
        <w:t>附件2：</w:t>
      </w:r>
      <w:r>
        <w:rPr>
          <w:rFonts w:hint="eastAsia" w:ascii="Times New Roman" w:hAnsi="Times New Roman" w:eastAsiaTheme="majorEastAsia"/>
          <w:bCs/>
          <w:kern w:val="0"/>
          <w:szCs w:val="24"/>
          <w:lang w:val="zh-CN"/>
        </w:rPr>
        <w:t>备案文件</w:t>
      </w:r>
    </w:p>
    <w:p>
      <w:pPr>
        <w:widowControl/>
        <w:ind w:firstLine="0" w:firstLineChars="0"/>
        <w:rPr>
          <w:rFonts w:ascii="Times New Roman" w:hAnsi="Times New Roman" w:eastAsiaTheme="majorEastAsia"/>
          <w:bCs/>
          <w:kern w:val="0"/>
          <w:szCs w:val="24"/>
          <w:lang w:val="zh-CN"/>
        </w:rPr>
      </w:pPr>
      <w:r>
        <w:rPr>
          <w:rFonts w:hint="eastAsia" w:ascii="Times New Roman" w:hAnsi="Times New Roman" w:eastAsiaTheme="majorEastAsia"/>
          <w:bCs/>
          <w:kern w:val="0"/>
          <w:szCs w:val="24"/>
          <w:lang w:val="zh-CN"/>
        </w:rPr>
        <w:t>附件3：勘探证</w:t>
      </w:r>
    </w:p>
    <w:p>
      <w:pPr>
        <w:widowControl/>
        <w:ind w:firstLine="0" w:firstLineChars="0"/>
        <w:rPr>
          <w:rFonts w:ascii="Times New Roman" w:hAnsi="Times New Roman" w:eastAsiaTheme="majorEastAsia"/>
          <w:bCs/>
          <w:kern w:val="0"/>
          <w:szCs w:val="24"/>
          <w:lang w:val="zh-CN"/>
        </w:rPr>
      </w:pPr>
      <w:r>
        <w:rPr>
          <w:rFonts w:hint="eastAsia" w:ascii="Times New Roman" w:hAnsi="Times New Roman" w:eastAsiaTheme="majorEastAsia"/>
          <w:bCs/>
          <w:kern w:val="0"/>
          <w:szCs w:val="24"/>
          <w:lang w:val="zh-CN"/>
        </w:rPr>
        <w:t>附件4：《临兴先导试验项目环境影响报告表》批复</w:t>
      </w:r>
    </w:p>
    <w:p>
      <w:pPr>
        <w:widowControl/>
        <w:ind w:firstLine="0" w:firstLineChars="0"/>
        <w:rPr>
          <w:rFonts w:ascii="Times New Roman" w:hAnsi="Times New Roman" w:eastAsiaTheme="majorEastAsia"/>
          <w:bCs/>
          <w:kern w:val="0"/>
          <w:szCs w:val="24"/>
          <w:lang w:val="zh-CN"/>
        </w:rPr>
      </w:pPr>
      <w:r>
        <w:rPr>
          <w:rFonts w:hint="eastAsia" w:ascii="Times New Roman" w:hAnsi="Times New Roman" w:eastAsiaTheme="majorEastAsia"/>
          <w:bCs/>
          <w:kern w:val="0"/>
          <w:szCs w:val="24"/>
          <w:lang w:val="zh-CN"/>
        </w:rPr>
        <w:t>附件5：大气、地表水、噪声环境质量现状监测报告</w:t>
      </w:r>
    </w:p>
    <w:p>
      <w:pPr>
        <w:widowControl/>
        <w:ind w:firstLine="0" w:firstLineChars="0"/>
        <w:rPr>
          <w:rFonts w:ascii="Times New Roman" w:hAnsi="Times New Roman" w:eastAsiaTheme="majorEastAsia"/>
          <w:bCs/>
          <w:kern w:val="0"/>
          <w:szCs w:val="24"/>
          <w:lang w:val="zh-CN"/>
        </w:rPr>
      </w:pPr>
      <w:r>
        <w:rPr>
          <w:rFonts w:hint="eastAsia" w:ascii="Times New Roman" w:hAnsi="Times New Roman" w:eastAsiaTheme="majorEastAsia"/>
          <w:bCs/>
          <w:kern w:val="0"/>
          <w:szCs w:val="24"/>
          <w:lang w:val="zh-CN"/>
        </w:rPr>
        <w:t>附件6：地下水环境质量现状监测报告</w:t>
      </w:r>
    </w:p>
    <w:p>
      <w:pPr>
        <w:widowControl/>
        <w:ind w:firstLine="0" w:firstLineChars="0"/>
        <w:rPr>
          <w:rFonts w:ascii="Times New Roman" w:hAnsi="Times New Roman" w:eastAsia="黑体"/>
          <w:spacing w:val="40"/>
          <w:szCs w:val="24"/>
        </w:rPr>
      </w:pPr>
      <w:r>
        <w:rPr>
          <w:rFonts w:hint="eastAsia" w:ascii="Times New Roman" w:hAnsi="Times New Roman" w:eastAsiaTheme="majorEastAsia"/>
          <w:bCs/>
          <w:kern w:val="0"/>
          <w:szCs w:val="24"/>
          <w:lang w:val="zh-CN"/>
        </w:rPr>
        <w:t>附件7：危废企业资质</w:t>
      </w:r>
    </w:p>
    <w:p>
      <w:pPr>
        <w:widowControl/>
        <w:spacing w:line="240" w:lineRule="atLeast"/>
        <w:ind w:firstLine="643"/>
        <w:rPr>
          <w:rFonts w:ascii="Times New Roman" w:hAnsi="Times New Roman"/>
          <w:b/>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cols w:space="425" w:num="1"/>
          <w:docGrid w:type="lines" w:linePitch="312" w:charSpace="0"/>
        </w:sectPr>
      </w:pPr>
      <w:r>
        <w:rPr>
          <w:rFonts w:ascii="Times New Roman" w:hAnsi="Times New Roman"/>
          <w:b/>
          <w:sz w:val="32"/>
          <w:szCs w:val="32"/>
        </w:rPr>
        <w:br w:type="page"/>
      </w:r>
    </w:p>
    <w:p>
      <w:pPr>
        <w:spacing w:before="156" w:beforeLines="50" w:after="156" w:afterLines="50"/>
        <w:ind w:firstLine="0" w:firstLineChars="0"/>
        <w:outlineLvl w:val="0"/>
        <w:rPr>
          <w:rFonts w:ascii="Times New Roman" w:hAnsi="Times New Roman"/>
          <w:b/>
          <w:sz w:val="32"/>
          <w:szCs w:val="32"/>
        </w:rPr>
      </w:pPr>
      <w:bookmarkStart w:id="2" w:name="_Toc524624537"/>
      <w:r>
        <w:rPr>
          <w:rFonts w:ascii="Times New Roman" w:hAnsi="Times New Roman"/>
          <w:b/>
          <w:sz w:val="32"/>
          <w:szCs w:val="32"/>
        </w:rPr>
        <w:t xml:space="preserve">1 </w:t>
      </w:r>
      <w:r>
        <w:rPr>
          <w:rFonts w:hint="eastAsia" w:ascii="Times New Roman" w:hAnsi="Times New Roman"/>
          <w:b/>
          <w:sz w:val="32"/>
          <w:szCs w:val="32"/>
        </w:rPr>
        <w:t>概述</w:t>
      </w:r>
      <w:bookmarkEnd w:id="2"/>
    </w:p>
    <w:p>
      <w:pPr>
        <w:spacing w:before="156" w:beforeLines="50" w:after="156" w:afterLines="50"/>
        <w:ind w:firstLine="0" w:firstLineChars="0"/>
        <w:outlineLvl w:val="1"/>
        <w:rPr>
          <w:rFonts w:ascii="Times New Roman" w:hAnsi="Times New Roman"/>
          <w:b/>
          <w:sz w:val="30"/>
          <w:szCs w:val="30"/>
        </w:rPr>
      </w:pPr>
      <w:bookmarkStart w:id="3" w:name="_Toc524624538"/>
      <w:r>
        <w:rPr>
          <w:rFonts w:ascii="Times New Roman" w:hAnsi="Times New Roman"/>
          <w:b/>
          <w:sz w:val="30"/>
          <w:szCs w:val="30"/>
        </w:rPr>
        <w:t>1.1 项目背景</w:t>
      </w:r>
      <w:bookmarkEnd w:id="3"/>
    </w:p>
    <w:p>
      <w:pPr>
        <w:snapToGrid w:val="0"/>
        <w:ind w:firstLine="480"/>
        <w:rPr>
          <w:rFonts w:ascii="Times New Roman" w:hAnsi="Times New Roman"/>
          <w:szCs w:val="24"/>
        </w:rPr>
      </w:pPr>
      <w:r>
        <w:rPr>
          <w:rFonts w:hint="eastAsia" w:ascii="Times New Roman"/>
          <w:szCs w:val="24"/>
        </w:rPr>
        <w:t>煤成气是含煤岩系中有机质在成煤过程中所生成的天然气，可运移到非煤系储层（如砂岩、砾岩、灰岩）中，在适当的地质条件下亦可形成工业性气藏，为勘探、开发主要对象。煤成气亦是一种高热值、无污染的新能源，可用于发电燃料、工业燃料、化工原料和居民生活燃料，如能综合利用将会起到增加洁净能源供应，保护环境等多重效益，有重要的社会、经济和环境意义。</w:t>
      </w:r>
    </w:p>
    <w:p>
      <w:pPr>
        <w:snapToGrid w:val="0"/>
        <w:ind w:firstLine="480"/>
        <w:rPr>
          <w:rFonts w:ascii="Times New Roman" w:hAnsi="Times New Roman"/>
          <w:szCs w:val="24"/>
        </w:rPr>
      </w:pPr>
      <w:r>
        <w:rPr>
          <w:rFonts w:ascii="Times New Roman"/>
          <w:szCs w:val="24"/>
        </w:rPr>
        <w:t>临兴区块位于鄂尔多斯盆地东缘北部，行政区划属于山西省吕梁市的临县和兴县，矿权面积</w:t>
      </w:r>
      <w:r>
        <w:rPr>
          <w:rFonts w:ascii="Times New Roman" w:hAnsi="Times New Roman"/>
          <w:szCs w:val="24"/>
        </w:rPr>
        <w:t>2530.091km</w:t>
      </w:r>
      <w:r>
        <w:rPr>
          <w:rFonts w:ascii="Times New Roman" w:hAnsi="Times New Roman"/>
          <w:szCs w:val="24"/>
          <w:vertAlign w:val="superscript"/>
        </w:rPr>
        <w:t>2</w:t>
      </w:r>
      <w:r>
        <w:rPr>
          <w:rFonts w:ascii="Times New Roman"/>
          <w:szCs w:val="24"/>
        </w:rPr>
        <w:t>，其中</w:t>
      </w:r>
      <w:r>
        <w:rPr>
          <w:rFonts w:ascii="Times New Roman" w:hAnsi="Times New Roman"/>
          <w:szCs w:val="24"/>
        </w:rPr>
        <w:t>746.293km</w:t>
      </w:r>
      <w:r>
        <w:rPr>
          <w:rFonts w:ascii="Times New Roman" w:hAnsi="Times New Roman"/>
          <w:szCs w:val="24"/>
          <w:vertAlign w:val="superscript"/>
        </w:rPr>
        <w:t>2</w:t>
      </w:r>
      <w:r>
        <w:rPr>
          <w:rFonts w:ascii="Times New Roman"/>
          <w:szCs w:val="24"/>
        </w:rPr>
        <w:t>为中联煤层气有限责任公司自营区块。自营区块也横跨临县和兴县，区块内全部为煤成气。临兴区块所在区域烃源岩条件优越，地层、砂体由北、东北部向西南方向展布，砂体连续性较好，具有较大的开发潜力。</w:t>
      </w:r>
    </w:p>
    <w:p>
      <w:pPr>
        <w:snapToGrid w:val="0"/>
        <w:ind w:firstLine="480"/>
        <w:rPr>
          <w:rFonts w:ascii="Times New Roman" w:hAnsi="Times New Roman"/>
          <w:szCs w:val="24"/>
        </w:rPr>
      </w:pPr>
      <w:r>
        <w:rPr>
          <w:rFonts w:ascii="Times New Roman"/>
          <w:szCs w:val="24"/>
        </w:rPr>
        <w:t>为响应山西省委、省政府提出的</w:t>
      </w:r>
      <w:r>
        <w:rPr>
          <w:rFonts w:ascii="Times New Roman" w:hAnsi="Times New Roman"/>
          <w:szCs w:val="24"/>
        </w:rPr>
        <w:t>“</w:t>
      </w:r>
      <w:r>
        <w:rPr>
          <w:rFonts w:ascii="Times New Roman"/>
          <w:szCs w:val="24"/>
        </w:rPr>
        <w:t>气化山西</w:t>
      </w:r>
      <w:r>
        <w:rPr>
          <w:rFonts w:ascii="Times New Roman" w:hAnsi="Times New Roman"/>
          <w:szCs w:val="24"/>
        </w:rPr>
        <w:t>”</w:t>
      </w:r>
      <w:r>
        <w:rPr>
          <w:rFonts w:ascii="Times New Roman"/>
          <w:szCs w:val="24"/>
        </w:rPr>
        <w:t>战略任务，中联煤层气有限责任公司在临县和兴县交界处的临兴区块内布设了煤成气勘探井，经过对探井的试气，效果较好，中联煤层气有限责任公司（具体实施单位为临兴</w:t>
      </w:r>
      <w:r>
        <w:rPr>
          <w:rFonts w:ascii="Times New Roman" w:hAnsi="Times New Roman"/>
          <w:szCs w:val="24"/>
        </w:rPr>
        <w:t>-</w:t>
      </w:r>
      <w:r>
        <w:rPr>
          <w:rFonts w:ascii="Times New Roman"/>
          <w:szCs w:val="24"/>
        </w:rPr>
        <w:t>神府项目指挥部）在临兴自营区块内设立先导试验区建设临兴区块先导试验项目。先导试验区占地面积</w:t>
      </w:r>
      <w:r>
        <w:rPr>
          <w:rFonts w:ascii="Times New Roman" w:hAnsi="Times New Roman"/>
          <w:szCs w:val="24"/>
        </w:rPr>
        <w:t>20.53km</w:t>
      </w:r>
      <w:r>
        <w:rPr>
          <w:rFonts w:ascii="Times New Roman" w:hAnsi="Times New Roman"/>
          <w:szCs w:val="24"/>
          <w:vertAlign w:val="superscript"/>
        </w:rPr>
        <w:t>2</w:t>
      </w:r>
      <w:r>
        <w:rPr>
          <w:rFonts w:ascii="Times New Roman"/>
          <w:szCs w:val="24"/>
        </w:rPr>
        <w:t>，位于山西省兴县赵家坪乡，煤成气最终经集输干线运输至兴县华盛燃气有限公司的康宁中心处理厂。先导试验</w:t>
      </w:r>
      <w:r>
        <w:rPr>
          <w:rFonts w:hint="eastAsia" w:ascii="Times New Roman"/>
          <w:szCs w:val="24"/>
        </w:rPr>
        <w:t>区与临兴区块位置关系见图1-1。</w:t>
      </w:r>
    </w:p>
    <w:p>
      <w:pPr>
        <w:snapToGrid w:val="0"/>
        <w:ind w:firstLine="480"/>
        <w:rPr>
          <w:rFonts w:ascii="Times New Roman" w:hAnsi="Times New Roman"/>
          <w:szCs w:val="24"/>
        </w:rPr>
      </w:pPr>
      <w:r>
        <w:rPr>
          <w:rFonts w:ascii="Times New Roman" w:hAnsi="Times New Roman"/>
          <w:szCs w:val="24"/>
        </w:rPr>
        <w:t>201</w:t>
      </w:r>
      <w:r>
        <w:rPr>
          <w:rFonts w:hint="eastAsia" w:ascii="Times New Roman" w:hAnsi="Times New Roman"/>
          <w:szCs w:val="24"/>
        </w:rPr>
        <w:t>5</w:t>
      </w:r>
      <w:r>
        <w:rPr>
          <w:rFonts w:ascii="Times New Roman"/>
          <w:szCs w:val="24"/>
        </w:rPr>
        <w:t>年中联煤层气有限责任公司委托煤炭科学技术研究院有限公司编制完成了《临兴区块先导试验项目环境影响报告表》；</w:t>
      </w:r>
      <w:r>
        <w:rPr>
          <w:rFonts w:ascii="Times New Roman" w:hAnsi="Times New Roman"/>
          <w:szCs w:val="24"/>
        </w:rPr>
        <w:t>2016</w:t>
      </w:r>
      <w:r>
        <w:rPr>
          <w:rFonts w:ascii="Times New Roman"/>
          <w:szCs w:val="24"/>
        </w:rPr>
        <w:t>年</w:t>
      </w:r>
      <w:r>
        <w:rPr>
          <w:rFonts w:ascii="Times New Roman" w:hAnsi="Times New Roman"/>
          <w:szCs w:val="24"/>
        </w:rPr>
        <w:t>3</w:t>
      </w:r>
      <w:r>
        <w:rPr>
          <w:rFonts w:ascii="Times New Roman"/>
          <w:szCs w:val="24"/>
        </w:rPr>
        <w:t>月</w:t>
      </w:r>
      <w:r>
        <w:rPr>
          <w:rFonts w:ascii="Times New Roman" w:hAnsi="Times New Roman"/>
          <w:szCs w:val="24"/>
        </w:rPr>
        <w:t>16</w:t>
      </w:r>
      <w:r>
        <w:rPr>
          <w:rFonts w:ascii="Times New Roman"/>
          <w:szCs w:val="24"/>
        </w:rPr>
        <w:t>日吕梁市环境保护局以吕环行审</w:t>
      </w:r>
      <w:r>
        <w:rPr>
          <w:rFonts w:ascii="Times New Roman" w:hAnsi="Times New Roman"/>
          <w:szCs w:val="24"/>
        </w:rPr>
        <w:t>[2016]17</w:t>
      </w:r>
      <w:r>
        <w:rPr>
          <w:rFonts w:ascii="Times New Roman"/>
          <w:szCs w:val="24"/>
        </w:rPr>
        <w:t>号出具了</w:t>
      </w:r>
      <w:r>
        <w:rPr>
          <w:rFonts w:ascii="Times New Roman" w:hAnsi="Times New Roman"/>
          <w:szCs w:val="24"/>
        </w:rPr>
        <w:t>“</w:t>
      </w:r>
      <w:r>
        <w:rPr>
          <w:rFonts w:ascii="Times New Roman"/>
          <w:szCs w:val="24"/>
        </w:rPr>
        <w:t>关于中联煤层气有限责任公司临兴区块先导试验项目环境影响报告表的批复</w:t>
      </w:r>
      <w:r>
        <w:rPr>
          <w:rFonts w:ascii="Times New Roman" w:hAnsi="Times New Roman"/>
          <w:szCs w:val="24"/>
        </w:rPr>
        <w:t>”</w:t>
      </w:r>
      <w:r>
        <w:rPr>
          <w:rFonts w:ascii="Times New Roman"/>
          <w:szCs w:val="24"/>
        </w:rPr>
        <w:t>。</w:t>
      </w:r>
    </w:p>
    <w:p>
      <w:pPr>
        <w:snapToGrid w:val="0"/>
        <w:ind w:firstLine="480"/>
        <w:rPr>
          <w:rFonts w:ascii="Times New Roman" w:hAnsi="Times New Roman"/>
          <w:szCs w:val="24"/>
        </w:rPr>
      </w:pPr>
      <w:r>
        <w:rPr>
          <w:rFonts w:ascii="Times New Roman"/>
          <w:szCs w:val="24"/>
        </w:rPr>
        <w:t>临兴区块先导试验项目已建设开发井场</w:t>
      </w:r>
      <w:r>
        <w:rPr>
          <w:rFonts w:ascii="Times New Roman" w:hAnsi="Times New Roman"/>
          <w:szCs w:val="24"/>
        </w:rPr>
        <w:t>6</w:t>
      </w:r>
      <w:r>
        <w:rPr>
          <w:rFonts w:ascii="Times New Roman"/>
          <w:szCs w:val="24"/>
        </w:rPr>
        <w:t>座，煤成气井</w:t>
      </w:r>
      <w:r>
        <w:rPr>
          <w:rFonts w:ascii="Times New Roman" w:hAnsi="Times New Roman"/>
          <w:szCs w:val="24"/>
        </w:rPr>
        <w:t>25</w:t>
      </w:r>
      <w:r>
        <w:rPr>
          <w:rFonts w:ascii="Times New Roman"/>
          <w:szCs w:val="24"/>
        </w:rPr>
        <w:t>口，临时集气站</w:t>
      </w:r>
      <w:r>
        <w:rPr>
          <w:rFonts w:ascii="Times New Roman" w:hAnsi="Times New Roman"/>
          <w:szCs w:val="24"/>
        </w:rPr>
        <w:t>1</w:t>
      </w:r>
      <w:r>
        <w:rPr>
          <w:rFonts w:ascii="Times New Roman"/>
          <w:szCs w:val="24"/>
        </w:rPr>
        <w:t>座，井场到集气站输气管线长</w:t>
      </w:r>
      <w:r>
        <w:rPr>
          <w:rFonts w:hint="eastAsia" w:ascii="Times New Roman" w:hAnsi="Times New Roman"/>
          <w:szCs w:val="24"/>
        </w:rPr>
        <w:t>13.5</w:t>
      </w:r>
      <w:r>
        <w:rPr>
          <w:rFonts w:ascii="Times New Roman" w:hAnsi="Times New Roman"/>
          <w:szCs w:val="24"/>
        </w:rPr>
        <w:t>km</w:t>
      </w:r>
      <w:r>
        <w:rPr>
          <w:rFonts w:ascii="Times New Roman"/>
          <w:szCs w:val="24"/>
        </w:rPr>
        <w:t>，集气站到兴县华盛燃气有限公司集输干线</w:t>
      </w:r>
      <w:r>
        <w:rPr>
          <w:rFonts w:hint="eastAsia" w:ascii="Times New Roman"/>
          <w:szCs w:val="24"/>
        </w:rPr>
        <w:t>24.3</w:t>
      </w:r>
      <w:r>
        <w:rPr>
          <w:rFonts w:ascii="Times New Roman" w:hAnsi="Times New Roman"/>
          <w:szCs w:val="24"/>
        </w:rPr>
        <w:t>km</w:t>
      </w:r>
      <w:r>
        <w:rPr>
          <w:rFonts w:ascii="Times New Roman"/>
          <w:szCs w:val="24"/>
        </w:rPr>
        <w:t>，年产煤成气</w:t>
      </w:r>
      <w:r>
        <w:rPr>
          <w:rFonts w:ascii="Times New Roman" w:hAnsi="Times New Roman"/>
          <w:szCs w:val="24"/>
        </w:rPr>
        <w:t>6040.74</w:t>
      </w:r>
      <w:r>
        <w:rPr>
          <w:rFonts w:ascii="Times New Roman"/>
          <w:szCs w:val="24"/>
        </w:rPr>
        <w:t>万</w:t>
      </w:r>
      <w:r>
        <w:rPr>
          <w:rFonts w:ascii="Times New Roman" w:hAnsi="Times New Roman"/>
          <w:szCs w:val="24"/>
        </w:rPr>
        <w:t>m</w:t>
      </w:r>
      <w:r>
        <w:rPr>
          <w:rFonts w:ascii="Times New Roman" w:hAnsi="Times New Roman"/>
          <w:szCs w:val="24"/>
          <w:vertAlign w:val="superscript"/>
        </w:rPr>
        <w:t>3</w:t>
      </w:r>
      <w:r>
        <w:rPr>
          <w:rFonts w:ascii="Times New Roman"/>
          <w:szCs w:val="24"/>
        </w:rPr>
        <w:t>。</w:t>
      </w:r>
    </w:p>
    <w:p>
      <w:pPr>
        <w:snapToGrid w:val="0"/>
        <w:ind w:firstLine="480"/>
        <w:rPr>
          <w:rFonts w:ascii="Times New Roman"/>
          <w:szCs w:val="24"/>
        </w:rPr>
      </w:pPr>
      <w:r>
        <w:rPr>
          <w:rFonts w:ascii="Times New Roman"/>
          <w:szCs w:val="24"/>
        </w:rPr>
        <w:t>中联煤层气有限责任公司将在现有生产规模基础上，以滚动开发的方式进行扩建，</w:t>
      </w:r>
      <w:r>
        <w:rPr>
          <w:rFonts w:hint="eastAsia" w:ascii="Times New Roman"/>
          <w:szCs w:val="24"/>
        </w:rPr>
        <w:t>扩建项目</w:t>
      </w:r>
      <w:r>
        <w:rPr>
          <w:rFonts w:ascii="Times New Roman"/>
          <w:szCs w:val="24"/>
        </w:rPr>
        <w:t>新增开发井场</w:t>
      </w:r>
      <w:r>
        <w:rPr>
          <w:rFonts w:ascii="Times New Roman" w:hAnsi="Times New Roman"/>
          <w:szCs w:val="24"/>
        </w:rPr>
        <w:t>1</w:t>
      </w:r>
      <w:r>
        <w:rPr>
          <w:rFonts w:ascii="Times New Roman"/>
          <w:szCs w:val="24"/>
        </w:rPr>
        <w:t>座，煤成气井</w:t>
      </w:r>
      <w:r>
        <w:rPr>
          <w:rFonts w:ascii="Times New Roman" w:hAnsi="Times New Roman"/>
          <w:szCs w:val="24"/>
        </w:rPr>
        <w:t>6</w:t>
      </w:r>
      <w:r>
        <w:rPr>
          <w:rFonts w:ascii="Times New Roman"/>
          <w:szCs w:val="24"/>
        </w:rPr>
        <w:t>口，新建</w:t>
      </w:r>
      <w:r>
        <w:rPr>
          <w:rFonts w:hint="eastAsia" w:ascii="Times New Roman"/>
          <w:szCs w:val="24"/>
        </w:rPr>
        <w:t>处理规模为3亿m</w:t>
      </w:r>
      <w:r>
        <w:rPr>
          <w:rFonts w:hint="eastAsia" w:ascii="Times New Roman"/>
          <w:szCs w:val="24"/>
          <w:vertAlign w:val="superscript"/>
        </w:rPr>
        <w:t>3</w:t>
      </w:r>
      <w:r>
        <w:rPr>
          <w:rFonts w:hint="eastAsia" w:ascii="Times New Roman"/>
          <w:szCs w:val="24"/>
        </w:rPr>
        <w:t>/a</w:t>
      </w:r>
      <w:r>
        <w:rPr>
          <w:rFonts w:ascii="Times New Roman"/>
          <w:szCs w:val="24"/>
        </w:rPr>
        <w:t>集气站一座，新建输气管线长</w:t>
      </w:r>
      <w:r>
        <w:rPr>
          <w:rFonts w:hint="eastAsia" w:ascii="Times New Roman"/>
          <w:szCs w:val="24"/>
        </w:rPr>
        <w:t>2</w:t>
      </w:r>
      <w:r>
        <w:rPr>
          <w:rFonts w:ascii="Times New Roman" w:hAnsi="Times New Roman"/>
          <w:szCs w:val="24"/>
        </w:rPr>
        <w:t>km</w:t>
      </w:r>
      <w:r>
        <w:rPr>
          <w:rFonts w:ascii="Times New Roman"/>
          <w:szCs w:val="24"/>
        </w:rPr>
        <w:t>，年产煤成气</w:t>
      </w:r>
      <w:r>
        <w:rPr>
          <w:rFonts w:ascii="Times New Roman" w:hAnsi="Times New Roman"/>
          <w:szCs w:val="24"/>
        </w:rPr>
        <w:t>1.6</w:t>
      </w:r>
      <w:r>
        <w:rPr>
          <w:rFonts w:ascii="Times New Roman"/>
          <w:szCs w:val="24"/>
        </w:rPr>
        <w:t>亿</w:t>
      </w:r>
      <w:r>
        <w:rPr>
          <w:rFonts w:ascii="Times New Roman" w:hAnsi="Times New Roman"/>
          <w:szCs w:val="24"/>
        </w:rPr>
        <w:t>m</w:t>
      </w:r>
      <w:r>
        <w:rPr>
          <w:rFonts w:ascii="Times New Roman" w:hAnsi="Times New Roman"/>
          <w:szCs w:val="24"/>
          <w:vertAlign w:val="superscript"/>
        </w:rPr>
        <w:t>3</w:t>
      </w:r>
      <w:r>
        <w:rPr>
          <w:rFonts w:ascii="Times New Roman"/>
          <w:szCs w:val="24"/>
        </w:rPr>
        <w:t>。</w:t>
      </w:r>
    </w:p>
    <w:p>
      <w:pPr>
        <w:spacing w:before="156" w:beforeLines="50" w:after="156" w:afterLines="50"/>
        <w:ind w:firstLine="0" w:firstLineChars="0"/>
        <w:outlineLvl w:val="1"/>
        <w:rPr>
          <w:rFonts w:ascii="Times New Roman" w:hAnsi="Times New Roman"/>
          <w:b/>
          <w:sz w:val="30"/>
          <w:szCs w:val="30"/>
        </w:rPr>
      </w:pPr>
      <w:bookmarkStart w:id="4" w:name="_Toc524624539"/>
      <w:r>
        <w:rPr>
          <w:rFonts w:hint="eastAsia" w:ascii="Times New Roman" w:hAnsi="Times New Roman"/>
          <w:b/>
          <w:sz w:val="30"/>
          <w:szCs w:val="30"/>
        </w:rPr>
        <w:t>1.2 环境影响评价过程</w:t>
      </w:r>
      <w:bookmarkEnd w:id="4"/>
    </w:p>
    <w:p>
      <w:pPr>
        <w:snapToGrid w:val="0"/>
        <w:ind w:firstLine="480"/>
        <w:rPr>
          <w:rFonts w:ascii="Times New Roman"/>
          <w:szCs w:val="24"/>
        </w:rPr>
      </w:pPr>
      <w:r>
        <w:rPr>
          <w:rFonts w:hint="eastAsia" w:ascii="Times New Roman"/>
          <w:szCs w:val="24"/>
        </w:rPr>
        <w:t>针对本项目主要环境影响因素，环评工作进行中首先在做好工程分析及环境质量现状调查的基础上，在大气环境影响分析、地下水环境影响分析、生态环境影响分析等部分结合项目工程和运营特点进行了较充分的分析及论述，并就影响分析结果提出了切实可行及具体的环境影响减缓措施。评价工作程序见图1.2-1。</w:t>
      </w:r>
    </w:p>
    <w:p>
      <w:pPr>
        <w:snapToGrid w:val="0"/>
        <w:ind w:firstLine="0" w:firstLineChars="0"/>
        <w:jc w:val="center"/>
        <w:rPr>
          <w:rFonts w:ascii="Times New Roman"/>
          <w:szCs w:val="24"/>
        </w:rPr>
      </w:pPr>
      <w:r>
        <w:rPr>
          <w:rFonts w:hint="eastAsia" w:ascii="Times New Roman"/>
          <w:szCs w:val="24"/>
        </w:rPr>
        <w:drawing>
          <wp:inline distT="0" distB="0" distL="0" distR="0">
            <wp:extent cx="5458460" cy="6486525"/>
            <wp:effectExtent l="38100" t="19050" r="27359" b="28575"/>
            <wp:docPr id="2"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18"/>
                    <pic:cNvPicPr>
                      <a:picLocks noChangeAspect="1" noChangeArrowheads="1"/>
                    </pic:cNvPicPr>
                  </pic:nvPicPr>
                  <pic:blipFill>
                    <a:blip r:embed="rId37" cstate="print"/>
                    <a:srcRect l="7048" t="3371" r="17645" b="1933"/>
                    <a:stretch>
                      <a:fillRect/>
                    </a:stretch>
                  </pic:blipFill>
                  <pic:spPr>
                    <a:xfrm>
                      <a:off x="0" y="0"/>
                      <a:ext cx="5459041" cy="6486525"/>
                    </a:xfrm>
                    <a:prstGeom prst="rect">
                      <a:avLst/>
                    </a:prstGeom>
                    <a:noFill/>
                    <a:ln w="9525" cap="rnd">
                      <a:solidFill>
                        <a:srgbClr val="000000"/>
                      </a:solidFill>
                      <a:prstDash val="sysDot"/>
                      <a:miter lim="800000"/>
                      <a:headEnd/>
                      <a:tailEnd/>
                    </a:ln>
                  </pic:spPr>
                </pic:pic>
              </a:graphicData>
            </a:graphic>
          </wp:inline>
        </w:drawing>
      </w:r>
    </w:p>
    <w:p>
      <w:pPr>
        <w:snapToGrid w:val="0"/>
        <w:spacing w:after="156" w:afterLines="50" w:line="240" w:lineRule="auto"/>
        <w:ind w:firstLine="0" w:firstLineChars="0"/>
        <w:jc w:val="center"/>
        <w:rPr>
          <w:rFonts w:ascii="Times New Roman"/>
          <w:b/>
          <w:sz w:val="21"/>
        </w:rPr>
      </w:pPr>
      <w:r>
        <w:rPr>
          <w:rFonts w:hint="eastAsia" w:ascii="Times New Roman"/>
          <w:b/>
          <w:sz w:val="21"/>
        </w:rPr>
        <w:t>图1.2-1 环境影响评价工作程序</w:t>
      </w:r>
    </w:p>
    <w:p>
      <w:pPr>
        <w:spacing w:before="156" w:beforeLines="50" w:after="156" w:afterLines="50"/>
        <w:ind w:firstLine="0" w:firstLineChars="0"/>
        <w:outlineLvl w:val="1"/>
        <w:rPr>
          <w:rFonts w:ascii="Times New Roman" w:hAnsi="Times New Roman"/>
          <w:b/>
          <w:sz w:val="30"/>
          <w:szCs w:val="30"/>
        </w:rPr>
      </w:pPr>
      <w:bookmarkStart w:id="5" w:name="_Toc524624540"/>
      <w:r>
        <w:rPr>
          <w:rFonts w:hint="eastAsia" w:ascii="Times New Roman" w:hAnsi="Times New Roman"/>
          <w:b/>
          <w:sz w:val="30"/>
          <w:szCs w:val="30"/>
        </w:rPr>
        <w:t>1.3 分析判定情况</w:t>
      </w:r>
      <w:bookmarkEnd w:id="5"/>
    </w:p>
    <w:p>
      <w:pPr>
        <w:snapToGrid w:val="0"/>
        <w:ind w:firstLine="480"/>
        <w:rPr>
          <w:rFonts w:ascii="Times New Roman" w:hAnsi="Times New Roman"/>
          <w:szCs w:val="24"/>
        </w:rPr>
      </w:pPr>
      <w:r>
        <w:rPr>
          <w:rFonts w:ascii="Times New Roman"/>
          <w:szCs w:val="24"/>
        </w:rPr>
        <w:t>根据《中华人民共和国环境保护法》、《中华人</w:t>
      </w:r>
      <w:r>
        <w:rPr>
          <w:rFonts w:hint="eastAsia" w:ascii="Times New Roman"/>
          <w:szCs w:val="24"/>
        </w:rPr>
        <w:t>民</w:t>
      </w:r>
      <w:r>
        <w:rPr>
          <w:rFonts w:ascii="Times New Roman"/>
          <w:szCs w:val="24"/>
        </w:rPr>
        <w:t>共和国环境影响评价法》和《建设项目环境影响评价分类管理名录》的有关规定，本项目应进行环境影响评价，编制</w:t>
      </w:r>
      <w:r>
        <w:rPr>
          <w:rFonts w:hint="eastAsia" w:ascii="Times New Roman"/>
          <w:szCs w:val="24"/>
        </w:rPr>
        <w:t>“</w:t>
      </w:r>
      <w:r>
        <w:rPr>
          <w:rFonts w:ascii="Times New Roman"/>
          <w:szCs w:val="24"/>
        </w:rPr>
        <w:t>环境影响报告书</w:t>
      </w:r>
      <w:r>
        <w:rPr>
          <w:rFonts w:hint="eastAsia" w:ascii="Times New Roman"/>
          <w:szCs w:val="24"/>
        </w:rPr>
        <w:t>”</w:t>
      </w:r>
      <w:r>
        <w:rPr>
          <w:rFonts w:ascii="Times New Roman"/>
          <w:szCs w:val="24"/>
        </w:rPr>
        <w:t>。中联煤层气有限责任公司于</w:t>
      </w:r>
      <w:r>
        <w:rPr>
          <w:rFonts w:ascii="Times New Roman" w:hAnsi="Times New Roman"/>
          <w:szCs w:val="24"/>
        </w:rPr>
        <w:t>201</w:t>
      </w:r>
      <w:r>
        <w:rPr>
          <w:rFonts w:hint="eastAsia" w:ascii="Times New Roman" w:hAnsi="Times New Roman"/>
          <w:szCs w:val="24"/>
        </w:rPr>
        <w:t>6</w:t>
      </w:r>
      <w:r>
        <w:rPr>
          <w:rFonts w:ascii="Times New Roman"/>
          <w:szCs w:val="24"/>
        </w:rPr>
        <w:t>年</w:t>
      </w:r>
      <w:r>
        <w:rPr>
          <w:rFonts w:ascii="Times New Roman" w:hAnsi="Times New Roman"/>
          <w:szCs w:val="24"/>
        </w:rPr>
        <w:t>10</w:t>
      </w:r>
      <w:r>
        <w:rPr>
          <w:rFonts w:ascii="Times New Roman"/>
          <w:szCs w:val="24"/>
        </w:rPr>
        <w:t>月</w:t>
      </w:r>
      <w:r>
        <w:rPr>
          <w:rFonts w:ascii="Times New Roman" w:hAnsi="Times New Roman"/>
          <w:szCs w:val="24"/>
        </w:rPr>
        <w:t>16</w:t>
      </w:r>
      <w:r>
        <w:rPr>
          <w:rFonts w:ascii="Times New Roman"/>
          <w:szCs w:val="24"/>
        </w:rPr>
        <w:t>日委托我单位（煤炭科学技术研究院有限公司）承担该项目环境影响评价工作。</w:t>
      </w:r>
    </w:p>
    <w:p>
      <w:pPr>
        <w:tabs>
          <w:tab w:val="left" w:pos="5670"/>
        </w:tabs>
        <w:snapToGrid w:val="0"/>
        <w:ind w:firstLine="480"/>
        <w:rPr>
          <w:rFonts w:ascii="Times New Roman"/>
          <w:szCs w:val="24"/>
        </w:rPr>
      </w:pPr>
      <w:r>
        <w:rPr>
          <w:rFonts w:ascii="Times New Roman"/>
          <w:szCs w:val="24"/>
        </w:rPr>
        <w:t>接受委托后，项目负责人对项目的勘探开发设计方案、采气及地面工程建设方案进行了详细分析，并组织项目组人员多次深入现场进行踏勘，对污染源、工程特征、环境影响环节等进行核实，在此基础上进行了详细的工程分析、资料整理、数据处理、模型建立、参数选取，对各环境要素进行了分析和预测，针对环境问题提出了环境保护措施对策。</w:t>
      </w:r>
    </w:p>
    <w:p>
      <w:pPr>
        <w:tabs>
          <w:tab w:val="left" w:pos="5670"/>
        </w:tabs>
        <w:snapToGrid w:val="0"/>
        <w:ind w:firstLine="480"/>
        <w:rPr>
          <w:rFonts w:ascii="Times New Roman"/>
          <w:szCs w:val="24"/>
        </w:rPr>
      </w:pPr>
      <w:r>
        <w:rPr>
          <w:rFonts w:hint="eastAsia" w:ascii="Times New Roman"/>
          <w:szCs w:val="24"/>
        </w:rPr>
        <w:t>评价小组依据现状数据和有关资料，结合项目特点，经过深入的调查、分析和预测，并在充分的公众参与调查的基础上，根据环境影响评价有关技术导则、规范，</w:t>
      </w:r>
      <w:r>
        <w:rPr>
          <w:rFonts w:ascii="Times New Roman"/>
          <w:szCs w:val="24"/>
        </w:rPr>
        <w:t>编制完成了《</w:t>
      </w:r>
      <w:r>
        <w:rPr>
          <w:rFonts w:hint="eastAsia" w:ascii="Times New Roman"/>
          <w:szCs w:val="24"/>
        </w:rPr>
        <w:t>临兴区块先导试验项目扩建工程</w:t>
      </w:r>
      <w:r>
        <w:rPr>
          <w:rFonts w:ascii="Times New Roman"/>
          <w:szCs w:val="24"/>
        </w:rPr>
        <w:t>环境影响报告书》（送审本），</w:t>
      </w:r>
      <w:r>
        <w:rPr>
          <w:rFonts w:hint="eastAsia" w:ascii="Times New Roman"/>
          <w:szCs w:val="24"/>
        </w:rPr>
        <w:t>现将评价成果提交建设单位，呈报吕梁市环境保护局，报请审批。</w:t>
      </w:r>
    </w:p>
    <w:p>
      <w:pPr>
        <w:snapToGrid w:val="0"/>
        <w:ind w:firstLine="480"/>
        <w:rPr>
          <w:rFonts w:ascii="Times New Roman"/>
          <w:szCs w:val="24"/>
        </w:rPr>
      </w:pPr>
      <w:r>
        <w:rPr>
          <w:rFonts w:hint="eastAsia" w:ascii="Times New Roman"/>
          <w:szCs w:val="24"/>
        </w:rPr>
        <w:t>现场勘查时，本扩建项目未动工建设。</w:t>
      </w:r>
    </w:p>
    <w:p>
      <w:pPr>
        <w:spacing w:before="156" w:beforeLines="50" w:after="156" w:afterLines="50"/>
        <w:ind w:firstLine="0" w:firstLineChars="0"/>
        <w:outlineLvl w:val="1"/>
        <w:rPr>
          <w:rFonts w:ascii="Times New Roman" w:hAnsi="Times New Roman"/>
          <w:b/>
          <w:sz w:val="30"/>
          <w:szCs w:val="30"/>
        </w:rPr>
      </w:pPr>
      <w:bookmarkStart w:id="6" w:name="_Toc524624541"/>
      <w:r>
        <w:rPr>
          <w:rFonts w:hint="eastAsia" w:ascii="Times New Roman" w:hAnsi="Times New Roman"/>
          <w:b/>
          <w:sz w:val="30"/>
          <w:szCs w:val="30"/>
        </w:rPr>
        <w:t>1.4 “三线一单”符合性分析</w:t>
      </w:r>
      <w:bookmarkEnd w:id="6"/>
    </w:p>
    <w:p>
      <w:pPr>
        <w:ind w:firstLine="480"/>
        <w:rPr>
          <w:rFonts w:ascii="Times New Roman"/>
          <w:szCs w:val="24"/>
        </w:rPr>
      </w:pPr>
      <w:r>
        <w:rPr>
          <w:rFonts w:hint="eastAsia" w:ascii="Times New Roman"/>
          <w:szCs w:val="24"/>
        </w:rPr>
        <w:t>本扩建项目建成后，其他环境保护要求如下：</w:t>
      </w:r>
    </w:p>
    <w:p>
      <w:pPr>
        <w:ind w:firstLine="480"/>
        <w:rPr>
          <w:rFonts w:ascii="Times New Roman"/>
          <w:szCs w:val="24"/>
        </w:rPr>
      </w:pPr>
      <w:r>
        <w:rPr>
          <w:rFonts w:hint="eastAsia" w:ascii="Times New Roman"/>
          <w:szCs w:val="24"/>
        </w:rPr>
        <w:t>（1）生态保护红线</w:t>
      </w:r>
    </w:p>
    <w:p>
      <w:pPr>
        <w:ind w:firstLine="480"/>
        <w:rPr>
          <w:rFonts w:ascii="Times New Roman"/>
          <w:szCs w:val="24"/>
        </w:rPr>
      </w:pPr>
      <w:r>
        <w:rPr>
          <w:rFonts w:hint="eastAsia" w:ascii="Times New Roman"/>
          <w:szCs w:val="24"/>
        </w:rPr>
        <w:t>根据《</w:t>
      </w:r>
      <w:r>
        <w:rPr>
          <w:rFonts w:ascii="Times New Roman"/>
          <w:szCs w:val="24"/>
        </w:rPr>
        <w:t>中华人民共和国环境保护法</w:t>
      </w:r>
      <w:r>
        <w:rPr>
          <w:rFonts w:hint="eastAsia" w:ascii="Times New Roman"/>
          <w:szCs w:val="24"/>
        </w:rPr>
        <w:t>》规定，应在事关国家和区域生态安全的重点生态功能、生态环境敏感区和脆弱区以及其他重要的生态区域内，规定生态保护红线，实施严格保护。生态红线规定依据只要包括《全国主体功能区规划》《全国生态脆弱区保护规划纲要》《全国海洋功能区划》《中国生物多样性保护战略与行动计划》《吕梁市生态功能区划》、《兴县生态功能区划》等国家文件和地方相关空间规划。</w:t>
      </w:r>
    </w:p>
    <w:p>
      <w:pPr>
        <w:ind w:firstLine="480"/>
        <w:rPr>
          <w:rFonts w:ascii="Times New Roman"/>
          <w:szCs w:val="24"/>
        </w:rPr>
      </w:pPr>
      <w:r>
        <w:rPr>
          <w:rFonts w:hint="eastAsia" w:ascii="Times New Roman"/>
          <w:szCs w:val="24"/>
        </w:rPr>
        <w:t>山西省生态保护红线尚未划定完成，山西省为内陆省份，根据《生态保护红线划定技术指南》，山西省生态保护红线可能涉及的区域主要包括水源涵养区、水土保持区、防风固沙区、生物多样性维护区等陆地重要生态功能区，水土流失敏感区、土地沙化敏感区、石漠化敏感区、高寒生态脆弱区、干旱、半干旱生态脆弱区等陆地生态环境敏感区和脆弱区，国家级自然保护区、世界文化自然遗产、国家级风景名胜区、国家森林公园和国家地质公园等禁止开发区。</w:t>
      </w:r>
    </w:p>
    <w:p>
      <w:pPr>
        <w:ind w:firstLine="480"/>
        <w:rPr>
          <w:rFonts w:ascii="Times New Roman"/>
          <w:szCs w:val="24"/>
        </w:rPr>
      </w:pPr>
      <w:r>
        <w:rPr>
          <w:rFonts w:hint="eastAsia" w:ascii="Times New Roman"/>
          <w:szCs w:val="24"/>
        </w:rPr>
        <w:t>根据《全国主体功能区规划》、《兴县生态功能区划》、《兴县生态经济区划》等国家和地方文件，本项目选址不在重点生态功能区、生态环境敏感区和脆弱区、禁止开发区等生态保护红线划定保护的区域内，不违背生态保护红线保护要求。</w:t>
      </w:r>
    </w:p>
    <w:p>
      <w:pPr>
        <w:ind w:firstLine="480"/>
        <w:rPr>
          <w:rFonts w:ascii="Times New Roman"/>
          <w:szCs w:val="24"/>
        </w:rPr>
      </w:pPr>
      <w:r>
        <w:rPr>
          <w:rFonts w:hint="eastAsia" w:ascii="Times New Roman"/>
          <w:szCs w:val="24"/>
        </w:rPr>
        <w:t>（2）环境质量底线</w:t>
      </w:r>
    </w:p>
    <w:p>
      <w:pPr>
        <w:ind w:firstLine="480"/>
        <w:rPr>
          <w:rFonts w:ascii="Times New Roman"/>
          <w:szCs w:val="24"/>
        </w:rPr>
      </w:pPr>
      <w:r>
        <w:rPr>
          <w:rFonts w:hint="eastAsia" w:ascii="Times New Roman"/>
          <w:szCs w:val="24"/>
        </w:rPr>
        <w:t>建设单位委托内蒙古航峰检测技术有限公司于201</w:t>
      </w:r>
      <w:r>
        <w:rPr>
          <w:rFonts w:ascii="Times New Roman"/>
          <w:szCs w:val="24"/>
        </w:rPr>
        <w:t>8</w:t>
      </w:r>
      <w:r>
        <w:rPr>
          <w:rFonts w:hint="eastAsia" w:ascii="Times New Roman"/>
          <w:szCs w:val="24"/>
        </w:rPr>
        <w:t>年</w:t>
      </w:r>
      <w:r>
        <w:rPr>
          <w:rFonts w:ascii="Times New Roman"/>
          <w:szCs w:val="24"/>
        </w:rPr>
        <w:t>12</w:t>
      </w:r>
      <w:r>
        <w:rPr>
          <w:rFonts w:hint="eastAsia" w:ascii="Times New Roman"/>
          <w:szCs w:val="24"/>
        </w:rPr>
        <w:t>月</w:t>
      </w:r>
      <w:r>
        <w:rPr>
          <w:rFonts w:ascii="Times New Roman"/>
          <w:szCs w:val="24"/>
        </w:rPr>
        <w:t>3</w:t>
      </w:r>
      <w:r>
        <w:rPr>
          <w:rFonts w:hint="eastAsia" w:ascii="Times New Roman"/>
          <w:szCs w:val="24"/>
        </w:rPr>
        <w:t>日至1</w:t>
      </w:r>
      <w:r>
        <w:rPr>
          <w:rFonts w:ascii="Times New Roman"/>
          <w:szCs w:val="24"/>
        </w:rPr>
        <w:t>2</w:t>
      </w:r>
      <w:r>
        <w:rPr>
          <w:rFonts w:hint="eastAsia" w:ascii="Times New Roman"/>
          <w:szCs w:val="24"/>
        </w:rPr>
        <w:t>月</w:t>
      </w:r>
      <w:r>
        <w:rPr>
          <w:rFonts w:ascii="Times New Roman"/>
          <w:szCs w:val="24"/>
        </w:rPr>
        <w:t>9</w:t>
      </w:r>
      <w:r>
        <w:rPr>
          <w:rFonts w:hint="eastAsia" w:ascii="Times New Roman"/>
          <w:szCs w:val="24"/>
        </w:rPr>
        <w:t>日对区域进行了环境质量现状监测，委托山西省地质工程勘察院于2017年6月28至6月30日对区域地下水水位和水质进行了监测。由监测结果可知，区域大气、地表水、噪声均有一定的环境容量，区域环境质量较好；区域地下水在</w:t>
      </w:r>
      <w:r>
        <w:rPr>
          <w:rFonts w:hint="eastAsia" w:ascii="Times New Roman" w:hAnsi="Times New Roman"/>
          <w:szCs w:val="24"/>
        </w:rPr>
        <w:t>佐子坪村1#水井和后赵家坪村3#水井</w:t>
      </w:r>
      <w:r>
        <w:rPr>
          <w:rFonts w:hint="eastAsia" w:ascii="Times New Roman"/>
          <w:szCs w:val="24"/>
        </w:rPr>
        <w:t>出现个别指标超标，这主要是由于区域砂岩裂隙水本底值高和民用生活污染源引起的。</w:t>
      </w:r>
    </w:p>
    <w:p>
      <w:pPr>
        <w:ind w:firstLine="480"/>
        <w:rPr>
          <w:rFonts w:ascii="Times New Roman"/>
          <w:szCs w:val="24"/>
        </w:rPr>
      </w:pPr>
      <w:r>
        <w:rPr>
          <w:rFonts w:hint="eastAsia" w:ascii="Times New Roman"/>
          <w:szCs w:val="24"/>
        </w:rPr>
        <w:t>本项目在认真贯彻执行国家环保法律、法规，严格落实环评规定的各项环保措施，加强环境管理的情况下，排放的大气污染物、水污染物、固体废物等对周边环境影响较小，本项目建设不会改变区域环境质量功能，因此，本项目建设不会超出环境质量底线，使区域环境质量降低。</w:t>
      </w:r>
    </w:p>
    <w:p>
      <w:pPr>
        <w:ind w:firstLine="480"/>
        <w:rPr>
          <w:rFonts w:ascii="Times New Roman"/>
          <w:szCs w:val="24"/>
        </w:rPr>
      </w:pPr>
      <w:r>
        <w:rPr>
          <w:rFonts w:hint="eastAsia" w:ascii="Times New Roman"/>
          <w:szCs w:val="24"/>
        </w:rPr>
        <w:t>（3）资源利用上线</w:t>
      </w:r>
    </w:p>
    <w:p>
      <w:pPr>
        <w:ind w:firstLine="480"/>
        <w:rPr>
          <w:rFonts w:ascii="Times New Roman"/>
          <w:szCs w:val="24"/>
        </w:rPr>
      </w:pPr>
      <w:r>
        <w:rPr>
          <w:rFonts w:hint="eastAsia" w:ascii="Times New Roman"/>
          <w:szCs w:val="24"/>
        </w:rPr>
        <w:t>根据工程分析，开采过程消耗的能源主要为燃气锅炉燃烧的自产煤成气和生产生活用电，燃气锅炉仅在冬季使用，在采取节能措施后可做到节约电能的要求，项目使用新鲜水量较少，废水在处理达标的情况下，全部回用。本项目为地下开采，永久占地面积小，对土地资源的破坏小；在采取相应的环境保护措施后，煤成气开采对环境空气、水资源和土地资源的影响均较小。因此本项目的建设不违背资源利用上线的要求。</w:t>
      </w:r>
    </w:p>
    <w:p>
      <w:pPr>
        <w:ind w:firstLine="480"/>
        <w:rPr>
          <w:rFonts w:ascii="Times New Roman"/>
          <w:szCs w:val="24"/>
        </w:rPr>
      </w:pPr>
      <w:r>
        <w:rPr>
          <w:rFonts w:hint="eastAsia" w:ascii="Times New Roman"/>
          <w:szCs w:val="24"/>
        </w:rPr>
        <w:t>（4）环境准入负面清单</w:t>
      </w:r>
    </w:p>
    <w:p>
      <w:pPr>
        <w:ind w:firstLine="480"/>
        <w:rPr>
          <w:rFonts w:ascii="Times New Roman"/>
          <w:szCs w:val="24"/>
        </w:rPr>
      </w:pPr>
      <w:r>
        <w:rPr>
          <w:rFonts w:hint="eastAsia" w:ascii="Times New Roman"/>
          <w:szCs w:val="24"/>
        </w:rPr>
        <w:t>环境准入负面清单是基于生态保护红线、环境质量底线和资源利用上线，以保护清单的方式列出的禁止、限制等差别化环境准入条件和要求。根据要求，在《全国生态功能区划》国家重点生态红能区以及工业园区范围内需编制环境准入负面清单。</w:t>
      </w:r>
    </w:p>
    <w:p>
      <w:pPr>
        <w:ind w:firstLine="480"/>
        <w:rPr>
          <w:rFonts w:ascii="Times New Roman"/>
          <w:szCs w:val="24"/>
        </w:rPr>
      </w:pPr>
      <w:r>
        <w:rPr>
          <w:rFonts w:hint="eastAsia" w:ascii="Times New Roman"/>
          <w:szCs w:val="24"/>
        </w:rPr>
        <w:t>本项目选址不在《全国生态功能区划》国家重点生态功能区范围内，也不在工业园区范围内；根据《兴县生态功能区划》，</w:t>
      </w:r>
      <w:r>
        <w:rPr>
          <w:rFonts w:ascii="Times New Roman"/>
        </w:rPr>
        <w:t>本项目位于</w:t>
      </w:r>
      <w:r>
        <w:rPr>
          <w:rFonts w:hint="eastAsia" w:ascii="Times New Roman"/>
        </w:rPr>
        <w:t>“</w:t>
      </w:r>
      <w:r>
        <w:rPr>
          <w:rFonts w:ascii="Times New Roman" w:hAnsi="宋体"/>
        </w:rPr>
        <w:t>Ⅱ</w:t>
      </w:r>
      <w:r>
        <w:rPr>
          <w:rFonts w:ascii="Times New Roman" w:hAnsi="Times New Roman"/>
        </w:rPr>
        <w:t>A</w:t>
      </w:r>
      <w:r>
        <w:rPr>
          <w:rFonts w:ascii="Times New Roman" w:hAnsi="宋体"/>
        </w:rPr>
        <w:t>兴县西南部低山丘陵土壤保持生态功能小区</w:t>
      </w:r>
      <w:r>
        <w:rPr>
          <w:rFonts w:hint="eastAsia" w:ascii="Times New Roman"/>
        </w:rPr>
        <w:t>”</w:t>
      </w:r>
      <w:r>
        <w:rPr>
          <w:rFonts w:ascii="Times New Roman" w:hAnsi="宋体"/>
        </w:rPr>
        <w:t>。</w:t>
      </w:r>
      <w:r>
        <w:rPr>
          <w:rFonts w:hint="eastAsia" w:ascii="Times New Roman"/>
          <w:szCs w:val="24"/>
        </w:rPr>
        <w:t>根据《兴县生态经济区划》，</w:t>
      </w:r>
      <w:r>
        <w:rPr>
          <w:rFonts w:ascii="Times New Roman"/>
        </w:rPr>
        <w:t>本项目部分位于</w:t>
      </w:r>
      <w:r>
        <w:rPr>
          <w:rFonts w:hint="eastAsia" w:ascii="Times New Roman"/>
        </w:rPr>
        <w:t>“</w:t>
      </w:r>
      <w:r>
        <w:rPr>
          <w:rFonts w:ascii="Times New Roman" w:hAnsi="宋体"/>
        </w:rPr>
        <w:t>Ⅳ</w:t>
      </w:r>
      <w:r>
        <w:rPr>
          <w:rFonts w:ascii="Times New Roman" w:hAnsi="Times New Roman"/>
        </w:rPr>
        <w:t>B-1</w:t>
      </w:r>
      <w:r>
        <w:rPr>
          <w:rFonts w:ascii="Times New Roman"/>
        </w:rPr>
        <w:t>兴县西南部高效农牧业生产及农副产品加工生态经济区</w:t>
      </w:r>
      <w:r>
        <w:rPr>
          <w:rFonts w:hint="eastAsia" w:ascii="Times New Roman"/>
        </w:rPr>
        <w:t>”</w:t>
      </w:r>
      <w:r>
        <w:rPr>
          <w:rFonts w:ascii="Times New Roman"/>
        </w:rPr>
        <w:t>，少部分位于</w:t>
      </w:r>
      <w:r>
        <w:rPr>
          <w:rFonts w:hint="eastAsia" w:ascii="Times New Roman"/>
        </w:rPr>
        <w:t>“</w:t>
      </w:r>
      <w:r>
        <w:rPr>
          <w:rFonts w:ascii="Times New Roman" w:hAnsi="宋体"/>
        </w:rPr>
        <w:t>Ⅱ</w:t>
      </w:r>
      <w:r>
        <w:rPr>
          <w:rFonts w:ascii="Times New Roman" w:hAnsi="Times New Roman"/>
        </w:rPr>
        <w:t>B-1</w:t>
      </w:r>
      <w:r>
        <w:rPr>
          <w:rFonts w:ascii="Times New Roman"/>
        </w:rPr>
        <w:t>兴县西南部高效农副产品发展生态经济区</w:t>
      </w:r>
      <w:r>
        <w:rPr>
          <w:rFonts w:hint="eastAsia" w:ascii="Times New Roman"/>
        </w:rPr>
        <w:t>”</w:t>
      </w:r>
      <w:r>
        <w:rPr>
          <w:rFonts w:ascii="Times New Roman"/>
        </w:rPr>
        <w:t>。</w:t>
      </w:r>
    </w:p>
    <w:p>
      <w:pPr>
        <w:ind w:firstLine="480"/>
        <w:rPr>
          <w:rFonts w:ascii="Times New Roman"/>
          <w:szCs w:val="24"/>
        </w:rPr>
      </w:pPr>
      <w:r>
        <w:rPr>
          <w:rFonts w:hint="eastAsia" w:ascii="Times New Roman"/>
          <w:szCs w:val="24"/>
        </w:rPr>
        <w:t>本项目为煤成气勘探开发项目，根据《产业结构调整指导目录（2011年本）（2013年修订）》，本项目属于鼓励类项目。</w:t>
      </w:r>
    </w:p>
    <w:p>
      <w:pPr>
        <w:ind w:firstLine="480"/>
        <w:rPr>
          <w:rFonts w:ascii="Times New Roman"/>
          <w:szCs w:val="24"/>
        </w:rPr>
      </w:pPr>
      <w:r>
        <w:rPr>
          <w:rFonts w:hint="eastAsia" w:ascii="Times New Roman"/>
          <w:szCs w:val="24"/>
        </w:rPr>
        <w:t>因此，本项目的建设不违背环境准入负面清单要求。</w:t>
      </w:r>
    </w:p>
    <w:p>
      <w:pPr>
        <w:spacing w:before="156" w:beforeLines="50" w:after="156" w:afterLines="50"/>
        <w:ind w:firstLine="0" w:firstLineChars="0"/>
        <w:outlineLvl w:val="1"/>
        <w:rPr>
          <w:rFonts w:ascii="Times New Roman" w:hAnsi="Times New Roman"/>
          <w:b/>
          <w:sz w:val="30"/>
          <w:szCs w:val="30"/>
        </w:rPr>
      </w:pPr>
      <w:bookmarkStart w:id="7" w:name="_Toc524624542"/>
      <w:r>
        <w:rPr>
          <w:rFonts w:hint="eastAsia" w:ascii="Times New Roman" w:hAnsi="Times New Roman"/>
          <w:b/>
          <w:sz w:val="30"/>
          <w:szCs w:val="30"/>
        </w:rPr>
        <w:t>1.5关注的环境问题及主要环境影响</w:t>
      </w:r>
      <w:bookmarkEnd w:id="7"/>
    </w:p>
    <w:p>
      <w:pPr>
        <w:ind w:firstLine="480"/>
        <w:rPr>
          <w:rFonts w:ascii="Times New Roman"/>
          <w:szCs w:val="24"/>
        </w:rPr>
      </w:pPr>
      <w:r>
        <w:rPr>
          <w:rFonts w:hint="eastAsia" w:ascii="Times New Roman"/>
          <w:szCs w:val="24"/>
        </w:rPr>
        <w:t>（1）施工期对植被的破坏、对土壤的污染、水土流失；对地表水和地下水的污染、对环境空气的污染、废弃泥浆和废岩屑的影响、噪声的影响等；</w:t>
      </w:r>
    </w:p>
    <w:p>
      <w:pPr>
        <w:ind w:firstLine="480"/>
        <w:rPr>
          <w:rFonts w:ascii="Times New Roman"/>
          <w:szCs w:val="24"/>
        </w:rPr>
      </w:pPr>
      <w:r>
        <w:rPr>
          <w:rFonts w:hint="eastAsia" w:ascii="Times New Roman"/>
          <w:szCs w:val="24"/>
        </w:rPr>
        <w:t>（2）项目开发对水环境、声环境和生态环境影响；</w:t>
      </w:r>
    </w:p>
    <w:p>
      <w:pPr>
        <w:ind w:firstLine="480"/>
        <w:rPr>
          <w:rFonts w:ascii="Times New Roman"/>
          <w:szCs w:val="24"/>
        </w:rPr>
      </w:pPr>
      <w:r>
        <w:rPr>
          <w:rFonts w:hint="eastAsia" w:ascii="Times New Roman"/>
          <w:szCs w:val="24"/>
        </w:rPr>
        <w:t>（3）项目存在的环境风险及有关的其他环境问题。</w:t>
      </w:r>
    </w:p>
    <w:p>
      <w:pPr>
        <w:spacing w:before="156" w:beforeLines="50" w:after="156" w:afterLines="50"/>
        <w:ind w:firstLine="0" w:firstLineChars="0"/>
        <w:outlineLvl w:val="1"/>
        <w:rPr>
          <w:rFonts w:ascii="Times New Roman" w:hAnsi="Times New Roman"/>
          <w:b/>
          <w:sz w:val="30"/>
          <w:szCs w:val="30"/>
        </w:rPr>
      </w:pPr>
      <w:bookmarkStart w:id="8" w:name="_Toc524624543"/>
      <w:r>
        <w:rPr>
          <w:rFonts w:hint="eastAsia" w:ascii="Times New Roman" w:hAnsi="Times New Roman"/>
          <w:b/>
          <w:sz w:val="30"/>
          <w:szCs w:val="30"/>
        </w:rPr>
        <w:t>1.6 主要结论</w:t>
      </w:r>
      <w:bookmarkEnd w:id="8"/>
    </w:p>
    <w:p>
      <w:pPr>
        <w:ind w:firstLine="480"/>
        <w:rPr>
          <w:rFonts w:ascii="Times New Roman"/>
          <w:szCs w:val="24"/>
        </w:rPr>
      </w:pPr>
      <w:r>
        <w:rPr>
          <w:rFonts w:hint="eastAsia" w:ascii="Times New Roman"/>
          <w:szCs w:val="24"/>
        </w:rPr>
        <w:t>中联煤层气有限责任公司临兴区块先导试验项目扩建工程的建设符合国家产业政策，符合兴县及吕梁市相关总体规划的要求，满足相关清洁生产行业的基本要求，各污染物均能做到达标排放，在切实落实本报告书中提出的各项管理措施和环保措施的前提条件下，可做到达标排放的要求，环境风险水平可以接受，有利于促进地方经济的发展。从环境保护角度讲，本项目的建设是可行的。</w:t>
      </w:r>
    </w:p>
    <w:p>
      <w:pPr>
        <w:ind w:firstLine="480"/>
        <w:rPr>
          <w:rFonts w:ascii="Times New Roman"/>
          <w:szCs w:val="24"/>
        </w:rPr>
      </w:pPr>
    </w:p>
    <w:p>
      <w:pPr>
        <w:ind w:firstLine="480"/>
        <w:rPr>
          <w:rFonts w:ascii="Times New Roman" w:hAnsi="Times New Roman"/>
          <w:szCs w:val="24"/>
        </w:rPr>
      </w:pPr>
    </w:p>
    <w:p>
      <w:pPr>
        <w:widowControl/>
        <w:spacing w:line="240" w:lineRule="atLeast"/>
        <w:ind w:firstLine="602"/>
        <w:rPr>
          <w:rFonts w:ascii="Times New Roman" w:hAnsi="Times New Roman"/>
          <w:b/>
          <w:sz w:val="30"/>
          <w:szCs w:val="30"/>
        </w:rPr>
      </w:pPr>
      <w:r>
        <w:rPr>
          <w:rFonts w:ascii="Times New Roman" w:hAnsi="Times New Roman"/>
          <w:b/>
          <w:sz w:val="30"/>
          <w:szCs w:val="30"/>
        </w:rPr>
        <w:br w:type="page"/>
      </w:r>
    </w:p>
    <w:p>
      <w:pPr>
        <w:spacing w:before="156" w:beforeLines="50" w:after="156" w:afterLines="50"/>
        <w:ind w:firstLine="0" w:firstLineChars="0"/>
        <w:outlineLvl w:val="0"/>
        <w:rPr>
          <w:rFonts w:ascii="Times New Roman" w:hAnsi="Times New Roman"/>
          <w:b/>
          <w:sz w:val="32"/>
          <w:szCs w:val="32"/>
        </w:rPr>
      </w:pPr>
      <w:bookmarkStart w:id="9" w:name="_Toc524624544"/>
      <w:r>
        <w:rPr>
          <w:rFonts w:hint="eastAsia" w:ascii="Times New Roman" w:hAnsi="Times New Roman"/>
          <w:b/>
          <w:sz w:val="32"/>
          <w:szCs w:val="32"/>
        </w:rPr>
        <w:t>2 总则</w:t>
      </w:r>
      <w:bookmarkEnd w:id="9"/>
    </w:p>
    <w:p>
      <w:pPr>
        <w:spacing w:before="156" w:beforeLines="50" w:after="156" w:afterLines="50"/>
        <w:ind w:firstLine="0" w:firstLineChars="0"/>
        <w:outlineLvl w:val="1"/>
        <w:rPr>
          <w:rFonts w:ascii="Times New Roman" w:hAnsi="Times New Roman"/>
          <w:b/>
          <w:sz w:val="30"/>
          <w:szCs w:val="30"/>
        </w:rPr>
      </w:pPr>
      <w:bookmarkStart w:id="10" w:name="_Toc524624545"/>
      <w:r>
        <w:rPr>
          <w:rFonts w:hint="eastAsia" w:ascii="Times New Roman" w:hAnsi="Times New Roman"/>
          <w:b/>
          <w:sz w:val="30"/>
          <w:szCs w:val="30"/>
        </w:rPr>
        <w:t>2.1</w:t>
      </w:r>
      <w:r>
        <w:rPr>
          <w:rFonts w:ascii="Times New Roman" w:hAnsi="Times New Roman"/>
          <w:b/>
          <w:sz w:val="30"/>
          <w:szCs w:val="30"/>
        </w:rPr>
        <w:t>编制依据</w:t>
      </w:r>
      <w:bookmarkEnd w:id="10"/>
    </w:p>
    <w:p>
      <w:pPr>
        <w:ind w:firstLine="0" w:firstLineChars="0"/>
        <w:outlineLvl w:val="2"/>
        <w:rPr>
          <w:rFonts w:ascii="Times New Roman" w:hAnsi="Times New Roman"/>
          <w:b/>
          <w:sz w:val="28"/>
          <w:szCs w:val="28"/>
        </w:rPr>
      </w:pPr>
      <w:bookmarkStart w:id="11" w:name="_Toc524624546"/>
      <w:r>
        <w:rPr>
          <w:rFonts w:hint="eastAsia" w:ascii="Times New Roman" w:hAnsi="Times New Roman"/>
          <w:b/>
          <w:sz w:val="28"/>
          <w:szCs w:val="28"/>
        </w:rPr>
        <w:t>2.1</w:t>
      </w:r>
      <w:r>
        <w:rPr>
          <w:rFonts w:ascii="Times New Roman" w:hAnsi="Times New Roman"/>
          <w:b/>
          <w:sz w:val="28"/>
          <w:szCs w:val="28"/>
        </w:rPr>
        <w:t xml:space="preserve">.1 </w:t>
      </w:r>
      <w:r>
        <w:rPr>
          <w:rFonts w:hint="eastAsia" w:ascii="Times New Roman"/>
          <w:b/>
          <w:sz w:val="28"/>
          <w:szCs w:val="28"/>
        </w:rPr>
        <w:t>项目</w:t>
      </w:r>
      <w:r>
        <w:rPr>
          <w:rFonts w:ascii="Times New Roman"/>
          <w:b/>
          <w:sz w:val="28"/>
          <w:szCs w:val="28"/>
        </w:rPr>
        <w:t>依据</w:t>
      </w:r>
      <w:bookmarkEnd w:id="11"/>
    </w:p>
    <w:p>
      <w:pPr>
        <w:ind w:firstLine="480"/>
        <w:rPr>
          <w:rFonts w:ascii="Times New Roman" w:hAnsi="Times New Roman"/>
          <w:szCs w:val="24"/>
        </w:rPr>
      </w:pPr>
      <w:r>
        <w:rPr>
          <w:rFonts w:ascii="Times New Roman"/>
          <w:szCs w:val="24"/>
        </w:rPr>
        <w:t>（</w:t>
      </w:r>
      <w:r>
        <w:rPr>
          <w:rFonts w:ascii="Times New Roman" w:hAnsi="Times New Roman"/>
          <w:szCs w:val="24"/>
        </w:rPr>
        <w:t>1</w:t>
      </w:r>
      <w:r>
        <w:rPr>
          <w:rFonts w:ascii="Times New Roman"/>
          <w:szCs w:val="24"/>
        </w:rPr>
        <w:t>）临兴区块先导试验项目扩建工程环境影响评价委托书，</w:t>
      </w:r>
      <w:r>
        <w:rPr>
          <w:rFonts w:ascii="Times New Roman" w:hAnsi="Times New Roman"/>
          <w:szCs w:val="24"/>
        </w:rPr>
        <w:t>201</w:t>
      </w:r>
      <w:r>
        <w:rPr>
          <w:rFonts w:hint="eastAsia" w:ascii="Times New Roman" w:hAnsi="Times New Roman"/>
          <w:szCs w:val="24"/>
        </w:rPr>
        <w:t>6</w:t>
      </w:r>
      <w:r>
        <w:rPr>
          <w:rFonts w:ascii="Times New Roman"/>
          <w:szCs w:val="24"/>
        </w:rPr>
        <w:t>年</w:t>
      </w:r>
      <w:r>
        <w:rPr>
          <w:rFonts w:ascii="Times New Roman" w:hAnsi="Times New Roman"/>
          <w:szCs w:val="24"/>
        </w:rPr>
        <w:t>10</w:t>
      </w:r>
      <w:r>
        <w:rPr>
          <w:rFonts w:ascii="Times New Roman"/>
          <w:szCs w:val="24"/>
        </w:rPr>
        <w:t>月</w:t>
      </w:r>
      <w:r>
        <w:rPr>
          <w:rFonts w:ascii="Times New Roman" w:hAnsi="Times New Roman"/>
          <w:szCs w:val="24"/>
        </w:rPr>
        <w:t>16</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2</w:t>
      </w:r>
      <w:r>
        <w:rPr>
          <w:rFonts w:ascii="Times New Roman"/>
          <w:szCs w:val="24"/>
        </w:rPr>
        <w:t>）中海油</w:t>
      </w:r>
      <w:r>
        <w:rPr>
          <w:rFonts w:ascii="Times New Roman" w:hAnsi="Times New Roman"/>
          <w:szCs w:val="24"/>
        </w:rPr>
        <w:t>2016</w:t>
      </w:r>
      <w:r>
        <w:rPr>
          <w:rFonts w:ascii="Times New Roman"/>
          <w:szCs w:val="24"/>
        </w:rPr>
        <w:t>年国内自营开发油气田区块产能建设项目总体开发方案备案（国能备油气</w:t>
      </w:r>
      <w:r>
        <w:rPr>
          <w:rFonts w:ascii="Times New Roman" w:hAnsi="Times New Roman"/>
          <w:szCs w:val="24"/>
        </w:rPr>
        <w:t>[2016]</w:t>
      </w:r>
      <w:r>
        <w:rPr>
          <w:rFonts w:ascii="Times New Roman"/>
          <w:szCs w:val="24"/>
        </w:rPr>
        <w:t>），国家能源局，</w:t>
      </w:r>
      <w:r>
        <w:rPr>
          <w:rFonts w:ascii="Times New Roman" w:hAnsi="Times New Roman"/>
          <w:szCs w:val="24"/>
        </w:rPr>
        <w:t>2016</w:t>
      </w:r>
      <w:r>
        <w:rPr>
          <w:rFonts w:ascii="Times New Roman"/>
          <w:szCs w:val="24"/>
        </w:rPr>
        <w:t>年</w:t>
      </w:r>
      <w:r>
        <w:rPr>
          <w:rFonts w:ascii="Times New Roman" w:hAnsi="Times New Roman"/>
          <w:szCs w:val="24"/>
        </w:rPr>
        <w:t>5</w:t>
      </w:r>
      <w:r>
        <w:rPr>
          <w:rFonts w:ascii="Times New Roman"/>
          <w:szCs w:val="24"/>
        </w:rPr>
        <w:t>月</w:t>
      </w:r>
      <w:r>
        <w:rPr>
          <w:rFonts w:ascii="Times New Roman" w:hAnsi="Times New Roman"/>
          <w:szCs w:val="24"/>
        </w:rPr>
        <w:t>14</w:t>
      </w:r>
      <w:r>
        <w:rPr>
          <w:rFonts w:ascii="Times New Roman"/>
          <w:szCs w:val="24"/>
        </w:rPr>
        <w:t>日；</w:t>
      </w:r>
    </w:p>
    <w:p>
      <w:pPr>
        <w:ind w:firstLine="480"/>
        <w:rPr>
          <w:rFonts w:ascii="Times New Roman" w:hAnsi="Times New Roman"/>
        </w:rPr>
      </w:pPr>
      <w:r>
        <w:rPr>
          <w:rFonts w:ascii="Times New Roman"/>
          <w:szCs w:val="24"/>
        </w:rPr>
        <w:t>（</w:t>
      </w:r>
      <w:r>
        <w:rPr>
          <w:rFonts w:ascii="Times New Roman" w:hAnsi="Times New Roman"/>
          <w:szCs w:val="24"/>
        </w:rPr>
        <w:t>3</w:t>
      </w:r>
      <w:r>
        <w:rPr>
          <w:rFonts w:ascii="Times New Roman"/>
          <w:szCs w:val="24"/>
        </w:rPr>
        <w:t>）</w:t>
      </w:r>
      <w:r>
        <w:rPr>
          <w:rFonts w:ascii="Times New Roman"/>
        </w:rPr>
        <w:t>中</w:t>
      </w:r>
      <w:r>
        <w:rPr>
          <w:rFonts w:hint="eastAsia" w:ascii="Times New Roman"/>
          <w:lang w:val="en-US" w:eastAsia="zh-CN"/>
        </w:rPr>
        <w:t>华</w:t>
      </w:r>
      <w:r>
        <w:rPr>
          <w:rFonts w:ascii="Times New Roman"/>
        </w:rPr>
        <w:t>人民共和国国土资源部探矿权证，</w:t>
      </w:r>
      <w:r>
        <w:rPr>
          <w:rFonts w:ascii="Times New Roman" w:hAnsi="Times New Roman"/>
        </w:rPr>
        <w:t>201</w:t>
      </w:r>
      <w:r>
        <w:rPr>
          <w:rFonts w:hint="eastAsia" w:ascii="Times New Roman" w:hAnsi="Times New Roman"/>
        </w:rPr>
        <w:t>6</w:t>
      </w:r>
      <w:r>
        <w:rPr>
          <w:rFonts w:ascii="Times New Roman"/>
        </w:rPr>
        <w:t>年</w:t>
      </w:r>
      <w:r>
        <w:rPr>
          <w:rFonts w:ascii="Times New Roman" w:hAnsi="Times New Roman"/>
        </w:rPr>
        <w:t>12</w:t>
      </w:r>
      <w:r>
        <w:rPr>
          <w:rFonts w:ascii="Times New Roman"/>
        </w:rPr>
        <w:t>月</w:t>
      </w:r>
      <w:r>
        <w:rPr>
          <w:rFonts w:hint="eastAsia" w:ascii="Times New Roman" w:hAnsi="Times New Roman"/>
        </w:rPr>
        <w:t>12</w:t>
      </w:r>
      <w:r>
        <w:rPr>
          <w:rFonts w:ascii="Times New Roman"/>
        </w:rPr>
        <w:t>日。</w:t>
      </w:r>
    </w:p>
    <w:p>
      <w:pPr>
        <w:ind w:firstLine="0" w:firstLineChars="0"/>
        <w:outlineLvl w:val="2"/>
        <w:rPr>
          <w:rFonts w:ascii="Times New Roman" w:hAnsi="Times New Roman"/>
          <w:b/>
          <w:sz w:val="28"/>
          <w:szCs w:val="28"/>
        </w:rPr>
      </w:pPr>
      <w:bookmarkStart w:id="12" w:name="_Toc524624547"/>
      <w:r>
        <w:rPr>
          <w:rFonts w:hint="eastAsia" w:ascii="Times New Roman" w:hAnsi="Times New Roman"/>
          <w:b/>
          <w:sz w:val="28"/>
          <w:szCs w:val="28"/>
        </w:rPr>
        <w:t>2.1</w:t>
      </w:r>
      <w:r>
        <w:rPr>
          <w:rFonts w:ascii="Times New Roman" w:hAnsi="Times New Roman"/>
          <w:b/>
          <w:sz w:val="28"/>
          <w:szCs w:val="28"/>
        </w:rPr>
        <w:t>.2 国家法律法规</w:t>
      </w:r>
      <w:r>
        <w:rPr>
          <w:rFonts w:hint="eastAsia" w:ascii="Times New Roman" w:hAnsi="Times New Roman"/>
          <w:b/>
          <w:sz w:val="28"/>
          <w:szCs w:val="28"/>
        </w:rPr>
        <w:t>及政策依据</w:t>
      </w:r>
      <w:bookmarkEnd w:id="12"/>
    </w:p>
    <w:p>
      <w:pPr>
        <w:ind w:firstLine="480"/>
        <w:rPr>
          <w:rFonts w:ascii="Times New Roman" w:hAnsi="Times New Roman"/>
          <w:szCs w:val="24"/>
        </w:rPr>
      </w:pPr>
      <w:r>
        <w:rPr>
          <w:rFonts w:ascii="Times New Roman"/>
          <w:szCs w:val="24"/>
        </w:rPr>
        <w:t>（</w:t>
      </w:r>
      <w:r>
        <w:rPr>
          <w:rFonts w:ascii="Times New Roman" w:hAnsi="Times New Roman"/>
          <w:szCs w:val="24"/>
        </w:rPr>
        <w:t>1</w:t>
      </w:r>
      <w:r>
        <w:rPr>
          <w:rFonts w:ascii="Times New Roman"/>
          <w:szCs w:val="24"/>
        </w:rPr>
        <w:t>）《中华人民共和国环境保护法》（</w:t>
      </w:r>
      <w:r>
        <w:rPr>
          <w:rFonts w:ascii="Times New Roman" w:hAnsi="Times New Roman"/>
          <w:szCs w:val="24"/>
        </w:rPr>
        <w:t>2015</w:t>
      </w:r>
      <w:r>
        <w:rPr>
          <w:rFonts w:ascii="Times New Roman"/>
          <w:szCs w:val="24"/>
        </w:rPr>
        <w:t>年</w:t>
      </w:r>
      <w:r>
        <w:rPr>
          <w:rFonts w:ascii="Times New Roman" w:hAnsi="Times New Roman"/>
          <w:szCs w:val="24"/>
        </w:rPr>
        <w:t>1</w:t>
      </w:r>
      <w:r>
        <w:rPr>
          <w:rFonts w:ascii="Times New Roman"/>
          <w:szCs w:val="24"/>
        </w:rPr>
        <w:t>月</w:t>
      </w:r>
      <w:r>
        <w:rPr>
          <w:rFonts w:ascii="Times New Roman" w:hAnsi="Times New Roman"/>
          <w:szCs w:val="24"/>
        </w:rPr>
        <w:t>1</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2</w:t>
      </w:r>
      <w:r>
        <w:rPr>
          <w:rFonts w:ascii="Times New Roman"/>
          <w:szCs w:val="24"/>
        </w:rPr>
        <w:t>）《中华人民共和国环境影响评价法》（</w:t>
      </w:r>
      <w:r>
        <w:rPr>
          <w:rFonts w:ascii="Times New Roman" w:hAnsi="Times New Roman"/>
          <w:szCs w:val="24"/>
        </w:rPr>
        <w:t>2016</w:t>
      </w:r>
      <w:r>
        <w:rPr>
          <w:rFonts w:ascii="Times New Roman"/>
          <w:szCs w:val="24"/>
        </w:rPr>
        <w:t>年</w:t>
      </w:r>
      <w:r>
        <w:rPr>
          <w:rFonts w:ascii="Times New Roman" w:hAnsi="Times New Roman"/>
          <w:szCs w:val="24"/>
        </w:rPr>
        <w:t>9</w:t>
      </w:r>
      <w:r>
        <w:rPr>
          <w:rFonts w:ascii="Times New Roman"/>
          <w:szCs w:val="24"/>
        </w:rPr>
        <w:t>月</w:t>
      </w:r>
      <w:r>
        <w:rPr>
          <w:rFonts w:ascii="Times New Roman" w:hAnsi="Times New Roman"/>
          <w:szCs w:val="24"/>
        </w:rPr>
        <w:t>1</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3</w:t>
      </w:r>
      <w:r>
        <w:rPr>
          <w:rFonts w:ascii="Times New Roman"/>
          <w:szCs w:val="24"/>
        </w:rPr>
        <w:t>）《中华人民共和国大气污染防治法》（</w:t>
      </w:r>
      <w:r>
        <w:rPr>
          <w:rFonts w:ascii="Times New Roman" w:hAnsi="Times New Roman"/>
          <w:szCs w:val="24"/>
        </w:rPr>
        <w:t>2018</w:t>
      </w:r>
      <w:r>
        <w:rPr>
          <w:rFonts w:ascii="Times New Roman"/>
          <w:szCs w:val="24"/>
        </w:rPr>
        <w:t>年修订）；</w:t>
      </w:r>
    </w:p>
    <w:p>
      <w:pPr>
        <w:ind w:firstLine="480"/>
        <w:rPr>
          <w:rFonts w:ascii="Times New Roman" w:hAnsi="Times New Roman"/>
          <w:szCs w:val="24"/>
        </w:rPr>
      </w:pPr>
      <w:r>
        <w:rPr>
          <w:rFonts w:ascii="Times New Roman"/>
          <w:szCs w:val="24"/>
        </w:rPr>
        <w:t>（</w:t>
      </w:r>
      <w:r>
        <w:rPr>
          <w:rFonts w:ascii="Times New Roman" w:hAnsi="Times New Roman"/>
          <w:szCs w:val="24"/>
        </w:rPr>
        <w:t>4</w:t>
      </w:r>
      <w:r>
        <w:rPr>
          <w:rFonts w:ascii="Times New Roman"/>
          <w:szCs w:val="24"/>
        </w:rPr>
        <w:t>）《中华人民共和国水污染防治法》（</w:t>
      </w:r>
      <w:r>
        <w:rPr>
          <w:rFonts w:ascii="Times New Roman" w:hAnsi="Times New Roman"/>
          <w:szCs w:val="24"/>
        </w:rPr>
        <w:t>2017</w:t>
      </w:r>
      <w:r>
        <w:rPr>
          <w:rFonts w:ascii="Times New Roman"/>
          <w:szCs w:val="24"/>
        </w:rPr>
        <w:t>年修订）；</w:t>
      </w:r>
    </w:p>
    <w:p>
      <w:pPr>
        <w:ind w:firstLine="480"/>
        <w:rPr>
          <w:rFonts w:ascii="Times New Roman" w:hAnsi="Times New Roman"/>
          <w:szCs w:val="24"/>
        </w:rPr>
      </w:pPr>
      <w:r>
        <w:rPr>
          <w:rFonts w:ascii="Times New Roman"/>
          <w:szCs w:val="24"/>
        </w:rPr>
        <w:t>（</w:t>
      </w:r>
      <w:r>
        <w:rPr>
          <w:rFonts w:ascii="Times New Roman" w:hAnsi="Times New Roman"/>
          <w:szCs w:val="24"/>
        </w:rPr>
        <w:t>5</w:t>
      </w:r>
      <w:r>
        <w:rPr>
          <w:rFonts w:ascii="Times New Roman"/>
          <w:szCs w:val="24"/>
        </w:rPr>
        <w:t>）《中华人民共和国固体废物污染环境防治法》（</w:t>
      </w:r>
      <w:r>
        <w:rPr>
          <w:rFonts w:ascii="Times New Roman" w:hAnsi="Times New Roman"/>
          <w:szCs w:val="24"/>
        </w:rPr>
        <w:t>2016</w:t>
      </w:r>
      <w:r>
        <w:rPr>
          <w:rFonts w:ascii="Times New Roman"/>
          <w:szCs w:val="24"/>
        </w:rPr>
        <w:t>年修订）；</w:t>
      </w:r>
    </w:p>
    <w:p>
      <w:pPr>
        <w:ind w:firstLine="480"/>
        <w:rPr>
          <w:rFonts w:ascii="Times New Roman" w:hAnsi="Times New Roman"/>
          <w:szCs w:val="24"/>
        </w:rPr>
      </w:pPr>
      <w:r>
        <w:rPr>
          <w:rFonts w:ascii="Times New Roman"/>
          <w:szCs w:val="24"/>
        </w:rPr>
        <w:t>（</w:t>
      </w:r>
      <w:r>
        <w:rPr>
          <w:rFonts w:ascii="Times New Roman" w:hAnsi="Times New Roman"/>
          <w:szCs w:val="24"/>
        </w:rPr>
        <w:t>6</w:t>
      </w:r>
      <w:r>
        <w:rPr>
          <w:rFonts w:ascii="Times New Roman"/>
          <w:szCs w:val="24"/>
        </w:rPr>
        <w:t>）《中华人民共和国环境噪声污染防治法》（</w:t>
      </w:r>
      <w:r>
        <w:rPr>
          <w:rFonts w:ascii="Times New Roman" w:hAnsi="Times New Roman"/>
          <w:szCs w:val="24"/>
        </w:rPr>
        <w:t>1996</w:t>
      </w:r>
      <w:r>
        <w:rPr>
          <w:rFonts w:ascii="Times New Roman"/>
          <w:szCs w:val="24"/>
        </w:rPr>
        <w:t>年</w:t>
      </w:r>
      <w:r>
        <w:rPr>
          <w:rFonts w:ascii="Times New Roman" w:hAnsi="Times New Roman"/>
          <w:szCs w:val="24"/>
        </w:rPr>
        <w:t>10</w:t>
      </w:r>
      <w:r>
        <w:rPr>
          <w:rFonts w:ascii="Times New Roman"/>
          <w:szCs w:val="24"/>
        </w:rPr>
        <w:t>月</w:t>
      </w:r>
      <w:r>
        <w:rPr>
          <w:rFonts w:ascii="Times New Roman" w:hAnsi="Times New Roman"/>
          <w:szCs w:val="24"/>
        </w:rPr>
        <w:t>29</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7</w:t>
      </w:r>
      <w:r>
        <w:rPr>
          <w:rFonts w:ascii="Times New Roman"/>
          <w:szCs w:val="24"/>
        </w:rPr>
        <w:t>）《中华人民共和国水土保持法》（</w:t>
      </w:r>
      <w:r>
        <w:rPr>
          <w:rFonts w:ascii="Times New Roman" w:hAnsi="Times New Roman"/>
          <w:szCs w:val="24"/>
        </w:rPr>
        <w:t>2011</w:t>
      </w:r>
      <w:r>
        <w:rPr>
          <w:rFonts w:ascii="Times New Roman"/>
          <w:szCs w:val="24"/>
        </w:rPr>
        <w:t>年</w:t>
      </w:r>
      <w:r>
        <w:rPr>
          <w:rFonts w:ascii="Times New Roman" w:hAnsi="Times New Roman"/>
          <w:szCs w:val="24"/>
        </w:rPr>
        <w:t>3</w:t>
      </w:r>
      <w:r>
        <w:rPr>
          <w:rFonts w:ascii="Times New Roman"/>
          <w:szCs w:val="24"/>
        </w:rPr>
        <w:t>月</w:t>
      </w:r>
      <w:r>
        <w:rPr>
          <w:rFonts w:ascii="Times New Roman" w:hAnsi="Times New Roman"/>
          <w:szCs w:val="24"/>
        </w:rPr>
        <w:t>1</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8</w:t>
      </w:r>
      <w:r>
        <w:rPr>
          <w:rFonts w:ascii="Times New Roman"/>
          <w:szCs w:val="24"/>
        </w:rPr>
        <w:t>）《中华人民共和国清洁生产促进法》（</w:t>
      </w:r>
      <w:r>
        <w:rPr>
          <w:rFonts w:ascii="Times New Roman" w:hAnsi="Times New Roman"/>
          <w:szCs w:val="24"/>
        </w:rPr>
        <w:t>2012</w:t>
      </w:r>
      <w:r>
        <w:rPr>
          <w:rFonts w:ascii="Times New Roman"/>
          <w:szCs w:val="24"/>
        </w:rPr>
        <w:t>年</w:t>
      </w:r>
      <w:r>
        <w:rPr>
          <w:rFonts w:ascii="Times New Roman" w:hAnsi="Times New Roman"/>
          <w:szCs w:val="24"/>
        </w:rPr>
        <w:t>7</w:t>
      </w:r>
      <w:r>
        <w:rPr>
          <w:rFonts w:ascii="Times New Roman"/>
          <w:szCs w:val="24"/>
        </w:rPr>
        <w:t>月</w:t>
      </w:r>
      <w:r>
        <w:rPr>
          <w:rFonts w:ascii="Times New Roman" w:hAnsi="Times New Roman"/>
          <w:szCs w:val="24"/>
        </w:rPr>
        <w:t>1</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9</w:t>
      </w:r>
      <w:r>
        <w:rPr>
          <w:rFonts w:ascii="Times New Roman"/>
          <w:szCs w:val="24"/>
        </w:rPr>
        <w:t>）</w:t>
      </w:r>
      <w:r>
        <w:rPr>
          <w:rFonts w:hint="eastAsia" w:ascii="Times New Roman"/>
          <w:szCs w:val="24"/>
        </w:rPr>
        <w:t>建设项目环境保护管理条例（2017年修订）；</w:t>
      </w:r>
    </w:p>
    <w:p>
      <w:pPr>
        <w:ind w:firstLine="480"/>
        <w:rPr>
          <w:rFonts w:ascii="Times New Roman" w:hAnsi="Times New Roman"/>
          <w:szCs w:val="24"/>
        </w:rPr>
      </w:pPr>
      <w:r>
        <w:rPr>
          <w:rFonts w:ascii="Times New Roman"/>
          <w:szCs w:val="24"/>
        </w:rPr>
        <w:t>（</w:t>
      </w:r>
      <w:r>
        <w:rPr>
          <w:rFonts w:ascii="Times New Roman" w:hAnsi="Times New Roman"/>
          <w:szCs w:val="24"/>
        </w:rPr>
        <w:t>9</w:t>
      </w:r>
      <w:r>
        <w:rPr>
          <w:rFonts w:ascii="Times New Roman"/>
          <w:szCs w:val="24"/>
        </w:rPr>
        <w:t>）</w:t>
      </w:r>
      <w:r>
        <w:rPr>
          <w:rFonts w:hint="eastAsia" w:ascii="Times New Roman" w:hAnsi="Times New Roman"/>
        </w:rPr>
        <w:t>《建设项目环境影响评价分类管理名录》2018年4月28日修改单（部令 第1号）</w:t>
      </w:r>
      <w:r>
        <w:rPr>
          <w:rFonts w:ascii="Times New Roman"/>
          <w:szCs w:val="24"/>
        </w:rPr>
        <w:t>；</w:t>
      </w:r>
    </w:p>
    <w:p>
      <w:pPr>
        <w:ind w:firstLine="480"/>
        <w:rPr>
          <w:rFonts w:ascii="Times New Roman" w:hAnsi="Times New Roman"/>
          <w:szCs w:val="24"/>
        </w:rPr>
      </w:pPr>
      <w:r>
        <w:rPr>
          <w:rFonts w:ascii="Times New Roman"/>
          <w:szCs w:val="24"/>
        </w:rPr>
        <w:t>（</w:t>
      </w:r>
      <w:r>
        <w:rPr>
          <w:rFonts w:ascii="Times New Roman" w:hAnsi="Times New Roman"/>
          <w:szCs w:val="24"/>
        </w:rPr>
        <w:t>10</w:t>
      </w:r>
      <w:r>
        <w:rPr>
          <w:rFonts w:ascii="Times New Roman"/>
          <w:szCs w:val="24"/>
        </w:rPr>
        <w:t>）</w:t>
      </w:r>
      <w:r>
        <w:rPr>
          <w:rFonts w:ascii="Times New Roman" w:hAnsi="Times New Roman"/>
        </w:rPr>
        <w:t>环保部关于印发《建设项目环境影响评价政府信息公开指南（试行）》的通知（环办[2013]103号）；</w:t>
      </w:r>
      <w:r>
        <w:rPr>
          <w:rFonts w:ascii="Times New Roman"/>
          <w:szCs w:val="24"/>
        </w:rPr>
        <w:t>；</w:t>
      </w:r>
    </w:p>
    <w:p>
      <w:pPr>
        <w:ind w:firstLine="480"/>
        <w:rPr>
          <w:rFonts w:ascii="Times New Roman" w:hAnsi="Times New Roman"/>
          <w:szCs w:val="24"/>
        </w:rPr>
      </w:pPr>
      <w:r>
        <w:rPr>
          <w:rFonts w:ascii="Times New Roman"/>
          <w:szCs w:val="24"/>
        </w:rPr>
        <w:t>（</w:t>
      </w:r>
      <w:r>
        <w:rPr>
          <w:rFonts w:ascii="Times New Roman" w:hAnsi="Times New Roman"/>
          <w:szCs w:val="24"/>
        </w:rPr>
        <w:t>11</w:t>
      </w:r>
      <w:r>
        <w:rPr>
          <w:rFonts w:ascii="Times New Roman"/>
          <w:szCs w:val="24"/>
        </w:rPr>
        <w:t>）</w:t>
      </w:r>
      <w:r>
        <w:rPr>
          <w:rFonts w:ascii="Times New Roman" w:hAnsi="Times New Roman"/>
        </w:rPr>
        <w:t>《国家危险废物名录》</w:t>
      </w:r>
      <w:r>
        <w:rPr>
          <w:rFonts w:hint="eastAsia" w:ascii="Times New Roman" w:hAnsi="Times New Roman"/>
        </w:rPr>
        <w:t>（</w:t>
      </w:r>
      <w:r>
        <w:rPr>
          <w:rFonts w:ascii="Times New Roman" w:hAnsi="Times New Roman"/>
        </w:rPr>
        <w:t>2016年8月1日起施行</w:t>
      </w:r>
      <w:r>
        <w:rPr>
          <w:rFonts w:hint="eastAsia" w:ascii="Times New Roman" w:hAnsi="Times New Roman"/>
        </w:rPr>
        <w:t>）</w:t>
      </w:r>
      <w:r>
        <w:rPr>
          <w:rFonts w:ascii="Times New Roman"/>
          <w:szCs w:val="24"/>
        </w:rPr>
        <w:t>；</w:t>
      </w:r>
    </w:p>
    <w:p>
      <w:pPr>
        <w:ind w:firstLine="480"/>
        <w:rPr>
          <w:rFonts w:ascii="Times New Roman" w:hAnsi="Times New Roman"/>
          <w:szCs w:val="24"/>
        </w:rPr>
      </w:pPr>
      <w:r>
        <w:rPr>
          <w:rFonts w:ascii="Times New Roman"/>
          <w:szCs w:val="24"/>
        </w:rPr>
        <w:t>（</w:t>
      </w:r>
      <w:r>
        <w:rPr>
          <w:rFonts w:ascii="Times New Roman" w:hAnsi="Times New Roman"/>
          <w:szCs w:val="24"/>
        </w:rPr>
        <w:t>12</w:t>
      </w:r>
      <w:r>
        <w:rPr>
          <w:rFonts w:ascii="Times New Roman"/>
          <w:szCs w:val="24"/>
        </w:rPr>
        <w:t>）《土地复垦条例》（</w:t>
      </w:r>
      <w:r>
        <w:rPr>
          <w:rFonts w:ascii="Times New Roman" w:hAnsi="Times New Roman"/>
          <w:szCs w:val="24"/>
        </w:rPr>
        <w:t>2011</w:t>
      </w:r>
      <w:r>
        <w:rPr>
          <w:rFonts w:ascii="Times New Roman"/>
          <w:szCs w:val="24"/>
        </w:rPr>
        <w:t>年</w:t>
      </w:r>
      <w:r>
        <w:rPr>
          <w:rFonts w:ascii="Times New Roman" w:hAnsi="Times New Roman"/>
          <w:szCs w:val="24"/>
        </w:rPr>
        <w:t>3</w:t>
      </w:r>
      <w:r>
        <w:rPr>
          <w:rFonts w:ascii="Times New Roman"/>
          <w:szCs w:val="24"/>
        </w:rPr>
        <w:t>月</w:t>
      </w:r>
      <w:r>
        <w:rPr>
          <w:rFonts w:ascii="Times New Roman" w:hAnsi="Times New Roman"/>
          <w:szCs w:val="24"/>
        </w:rPr>
        <w:t>5</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13</w:t>
      </w:r>
      <w:r>
        <w:rPr>
          <w:rFonts w:ascii="Times New Roman"/>
          <w:szCs w:val="24"/>
        </w:rPr>
        <w:t>）</w:t>
      </w:r>
      <w:r>
        <w:rPr>
          <w:rFonts w:hint="eastAsia" w:ascii="Times New Roman"/>
          <w:szCs w:val="24"/>
        </w:rPr>
        <w:t>《中华人民共和国野生动物保护法》2009年8月27日</w:t>
      </w:r>
      <w:r>
        <w:rPr>
          <w:rFonts w:ascii="Times New Roman"/>
          <w:szCs w:val="24"/>
        </w:rPr>
        <w:t>；</w:t>
      </w:r>
    </w:p>
    <w:p>
      <w:pPr>
        <w:ind w:firstLine="480"/>
        <w:rPr>
          <w:rFonts w:ascii="Times New Roman" w:hAnsi="Times New Roman"/>
          <w:szCs w:val="24"/>
        </w:rPr>
      </w:pPr>
      <w:r>
        <w:rPr>
          <w:rFonts w:ascii="Times New Roman"/>
          <w:szCs w:val="24"/>
        </w:rPr>
        <w:t>（</w:t>
      </w:r>
      <w:r>
        <w:rPr>
          <w:rFonts w:ascii="Times New Roman" w:hAnsi="Times New Roman"/>
          <w:szCs w:val="24"/>
        </w:rPr>
        <w:t>14</w:t>
      </w:r>
      <w:r>
        <w:rPr>
          <w:rFonts w:ascii="Times New Roman"/>
          <w:szCs w:val="24"/>
        </w:rPr>
        <w:t>）《中华人民共和国野生动物保护法》（</w:t>
      </w:r>
      <w:r>
        <w:rPr>
          <w:rFonts w:ascii="Times New Roman" w:hAnsi="Times New Roman"/>
          <w:szCs w:val="24"/>
        </w:rPr>
        <w:t>1992</w:t>
      </w:r>
      <w:r>
        <w:rPr>
          <w:rFonts w:ascii="Times New Roman"/>
          <w:szCs w:val="24"/>
        </w:rPr>
        <w:t>年</w:t>
      </w:r>
      <w:r>
        <w:rPr>
          <w:rFonts w:ascii="Times New Roman" w:hAnsi="Times New Roman"/>
          <w:szCs w:val="24"/>
        </w:rPr>
        <w:t>3</w:t>
      </w:r>
      <w:r>
        <w:rPr>
          <w:rFonts w:ascii="Times New Roman"/>
          <w:szCs w:val="24"/>
        </w:rPr>
        <w:t>月</w:t>
      </w:r>
      <w:r>
        <w:rPr>
          <w:rFonts w:ascii="Times New Roman" w:hAnsi="Times New Roman"/>
          <w:szCs w:val="24"/>
        </w:rPr>
        <w:t>1</w:t>
      </w:r>
      <w:r>
        <w:rPr>
          <w:rFonts w:ascii="Times New Roman"/>
          <w:szCs w:val="24"/>
        </w:rPr>
        <w:t>日）；</w:t>
      </w:r>
    </w:p>
    <w:p>
      <w:pPr>
        <w:ind w:firstLine="480"/>
        <w:rPr>
          <w:rFonts w:ascii="Times New Roman" w:hAnsi="Times New Roman"/>
          <w:szCs w:val="24"/>
        </w:rPr>
      </w:pPr>
      <w:r>
        <w:rPr>
          <w:rFonts w:ascii="Times New Roman"/>
          <w:szCs w:val="24"/>
        </w:rPr>
        <w:t>（</w:t>
      </w:r>
      <w:r>
        <w:rPr>
          <w:rFonts w:ascii="Times New Roman" w:hAnsi="Times New Roman"/>
          <w:szCs w:val="24"/>
        </w:rPr>
        <w:t>15</w:t>
      </w:r>
      <w:r>
        <w:rPr>
          <w:rFonts w:ascii="Times New Roman"/>
          <w:szCs w:val="24"/>
        </w:rPr>
        <w:t>）《关于加强资源开发生态环境保护监管工作的意见》（国家环境保护总局环发</w:t>
      </w:r>
      <w:r>
        <w:rPr>
          <w:rFonts w:ascii="Times New Roman" w:hAnsi="Times New Roman"/>
          <w:szCs w:val="24"/>
        </w:rPr>
        <w:t>[2004]24</w:t>
      </w:r>
      <w:r>
        <w:rPr>
          <w:rFonts w:ascii="Times New Roman"/>
          <w:szCs w:val="24"/>
        </w:rPr>
        <w:t>号，</w:t>
      </w:r>
      <w:r>
        <w:rPr>
          <w:rFonts w:ascii="Times New Roman" w:hAnsi="Times New Roman"/>
          <w:szCs w:val="24"/>
        </w:rPr>
        <w:t>2004</w:t>
      </w:r>
      <w:r>
        <w:rPr>
          <w:rFonts w:ascii="Times New Roman"/>
          <w:szCs w:val="24"/>
        </w:rPr>
        <w:t>年</w:t>
      </w:r>
      <w:r>
        <w:rPr>
          <w:rFonts w:ascii="Times New Roman" w:hAnsi="Times New Roman"/>
          <w:szCs w:val="24"/>
        </w:rPr>
        <w:t>2</w:t>
      </w:r>
      <w:r>
        <w:rPr>
          <w:rFonts w:ascii="Times New Roman"/>
          <w:szCs w:val="24"/>
        </w:rPr>
        <w:t>月）；</w:t>
      </w:r>
    </w:p>
    <w:p>
      <w:pPr>
        <w:ind w:firstLine="480"/>
        <w:rPr>
          <w:rFonts w:ascii="Times New Roman" w:hAnsi="Times New Roman"/>
          <w:szCs w:val="24"/>
        </w:rPr>
      </w:pPr>
      <w:r>
        <w:rPr>
          <w:rFonts w:ascii="Times New Roman"/>
          <w:szCs w:val="24"/>
        </w:rPr>
        <w:t>（</w:t>
      </w:r>
      <w:r>
        <w:rPr>
          <w:rFonts w:ascii="Times New Roman" w:hAnsi="Times New Roman"/>
          <w:szCs w:val="24"/>
        </w:rPr>
        <w:t>16</w:t>
      </w:r>
      <w:r>
        <w:rPr>
          <w:rFonts w:ascii="Times New Roman"/>
          <w:szCs w:val="24"/>
        </w:rPr>
        <w:t>）</w:t>
      </w:r>
      <w:r>
        <w:rPr>
          <w:rFonts w:hint="eastAsia" w:ascii="Times New Roman"/>
          <w:szCs w:val="24"/>
        </w:rPr>
        <w:t>《水污染防治行动计划》（国发[2015]17号），2015年4月16日；</w:t>
      </w:r>
    </w:p>
    <w:p>
      <w:pPr>
        <w:ind w:firstLine="480"/>
        <w:rPr>
          <w:rFonts w:ascii="Times New Roman"/>
          <w:szCs w:val="24"/>
        </w:rPr>
      </w:pPr>
      <w:r>
        <w:rPr>
          <w:rFonts w:ascii="Times New Roman"/>
          <w:szCs w:val="24"/>
        </w:rPr>
        <w:t>（</w:t>
      </w:r>
      <w:r>
        <w:rPr>
          <w:rFonts w:ascii="Times New Roman" w:hAnsi="Times New Roman"/>
          <w:szCs w:val="24"/>
        </w:rPr>
        <w:t>17</w:t>
      </w:r>
      <w:r>
        <w:rPr>
          <w:rFonts w:ascii="Times New Roman"/>
          <w:szCs w:val="24"/>
        </w:rPr>
        <w:t>）《大气污染防治行动计划》（</w:t>
      </w:r>
      <w:r>
        <w:rPr>
          <w:rFonts w:hint="eastAsia" w:ascii="Times New Roman"/>
          <w:szCs w:val="24"/>
        </w:rPr>
        <w:t>国发[2013]37号）</w:t>
      </w:r>
      <w:r>
        <w:rPr>
          <w:rFonts w:ascii="Times New Roman"/>
          <w:szCs w:val="24"/>
        </w:rPr>
        <w:t>，</w:t>
      </w:r>
      <w:r>
        <w:rPr>
          <w:rFonts w:ascii="Times New Roman" w:hAnsi="Times New Roman"/>
          <w:szCs w:val="24"/>
        </w:rPr>
        <w:t>2013</w:t>
      </w:r>
      <w:r>
        <w:rPr>
          <w:rFonts w:ascii="Times New Roman"/>
          <w:szCs w:val="24"/>
        </w:rPr>
        <w:t>年</w:t>
      </w:r>
      <w:r>
        <w:rPr>
          <w:rFonts w:ascii="Times New Roman" w:hAnsi="Times New Roman"/>
          <w:szCs w:val="24"/>
        </w:rPr>
        <w:t>9</w:t>
      </w:r>
      <w:r>
        <w:rPr>
          <w:rFonts w:ascii="Times New Roman"/>
          <w:szCs w:val="24"/>
        </w:rPr>
        <w:t>月</w:t>
      </w:r>
      <w:r>
        <w:rPr>
          <w:rFonts w:ascii="Times New Roman" w:hAnsi="Times New Roman"/>
          <w:szCs w:val="24"/>
        </w:rPr>
        <w:t>10</w:t>
      </w:r>
      <w:r>
        <w:rPr>
          <w:rFonts w:ascii="Times New Roman"/>
          <w:szCs w:val="24"/>
        </w:rPr>
        <w:t>日；</w:t>
      </w:r>
    </w:p>
    <w:p>
      <w:pPr>
        <w:ind w:firstLine="480"/>
        <w:rPr>
          <w:rFonts w:ascii="Times New Roman" w:hAnsi="Times New Roman"/>
          <w:szCs w:val="24"/>
        </w:rPr>
      </w:pPr>
      <w:r>
        <w:rPr>
          <w:rFonts w:hint="eastAsia" w:ascii="Times New Roman"/>
          <w:szCs w:val="24"/>
        </w:rPr>
        <w:t>（18））</w:t>
      </w:r>
      <w:r>
        <w:rPr>
          <w:rFonts w:hint="eastAsia" w:ascii="Times New Roman" w:hAnsi="Times New Roman"/>
          <w:szCs w:val="24"/>
        </w:rPr>
        <w:t>《产业结构调整指导目录（2011年）》（修正），国家发改委第21号令，2013年5月1日起施行；</w:t>
      </w:r>
    </w:p>
    <w:p>
      <w:pPr>
        <w:ind w:firstLine="480"/>
        <w:rPr>
          <w:rFonts w:ascii="Times New Roman"/>
          <w:szCs w:val="24"/>
        </w:rPr>
      </w:pPr>
      <w:r>
        <w:rPr>
          <w:rFonts w:ascii="Times New Roman"/>
          <w:szCs w:val="24"/>
        </w:rPr>
        <w:t>（</w:t>
      </w:r>
      <w:r>
        <w:rPr>
          <w:rFonts w:ascii="Times New Roman" w:hAnsi="Times New Roman"/>
          <w:szCs w:val="24"/>
        </w:rPr>
        <w:t>19</w:t>
      </w:r>
      <w:r>
        <w:rPr>
          <w:rFonts w:ascii="Times New Roman"/>
          <w:szCs w:val="24"/>
        </w:rPr>
        <w:t>）</w:t>
      </w:r>
      <w:r>
        <w:rPr>
          <w:rFonts w:hint="eastAsia" w:ascii="Times New Roman" w:hAnsi="Times New Roman"/>
          <w:szCs w:val="24"/>
        </w:rPr>
        <w:t>《天然气利用政策》，国家发展和改革委员会令第15号，2012年12月1日。</w:t>
      </w:r>
    </w:p>
    <w:p>
      <w:pPr>
        <w:ind w:firstLine="0" w:firstLineChars="0"/>
        <w:outlineLvl w:val="2"/>
        <w:rPr>
          <w:rFonts w:ascii="Times New Roman" w:hAnsi="Times New Roman"/>
          <w:b/>
          <w:sz w:val="28"/>
          <w:szCs w:val="28"/>
        </w:rPr>
      </w:pPr>
      <w:bookmarkStart w:id="13" w:name="_Toc524624548"/>
      <w:r>
        <w:rPr>
          <w:rFonts w:hint="eastAsia" w:ascii="Times New Roman" w:hAnsi="Times New Roman"/>
          <w:b/>
          <w:sz w:val="28"/>
          <w:szCs w:val="28"/>
        </w:rPr>
        <w:t>2.1.3地方法规文件依据</w:t>
      </w:r>
      <w:bookmarkEnd w:id="13"/>
    </w:p>
    <w:p>
      <w:pPr>
        <w:ind w:firstLine="480"/>
        <w:rPr>
          <w:rFonts w:ascii="Times New Roman" w:hAnsi="Times New Roman"/>
          <w:szCs w:val="24"/>
        </w:rPr>
      </w:pPr>
      <w:r>
        <w:rPr>
          <w:rFonts w:ascii="Times New Roman"/>
          <w:szCs w:val="24"/>
        </w:rPr>
        <w:t>（</w:t>
      </w:r>
      <w:r>
        <w:rPr>
          <w:rFonts w:hint="eastAsia" w:ascii="Times New Roman" w:hAnsi="Times New Roman"/>
          <w:szCs w:val="24"/>
        </w:rPr>
        <w:t>1</w:t>
      </w:r>
      <w:r>
        <w:rPr>
          <w:rFonts w:ascii="Times New Roman"/>
          <w:szCs w:val="24"/>
        </w:rPr>
        <w:t>）《山西省环境保护条例》</w:t>
      </w:r>
      <w:r>
        <w:rPr>
          <w:rFonts w:hint="eastAsia" w:ascii="Times New Roman"/>
          <w:szCs w:val="24"/>
        </w:rPr>
        <w:t>，2017</w:t>
      </w:r>
      <w:r>
        <w:rPr>
          <w:rFonts w:ascii="Times New Roman"/>
          <w:szCs w:val="24"/>
        </w:rPr>
        <w:t>年</w:t>
      </w:r>
      <w:r>
        <w:rPr>
          <w:rFonts w:hint="eastAsia" w:ascii="Times New Roman" w:hAnsi="Times New Roman"/>
          <w:szCs w:val="24"/>
        </w:rPr>
        <w:t>3</w:t>
      </w:r>
      <w:r>
        <w:rPr>
          <w:rFonts w:ascii="Times New Roman"/>
          <w:szCs w:val="24"/>
        </w:rPr>
        <w:t>月</w:t>
      </w:r>
      <w:r>
        <w:rPr>
          <w:rFonts w:hint="eastAsia" w:ascii="Times New Roman" w:hAnsi="Times New Roman"/>
          <w:szCs w:val="24"/>
        </w:rPr>
        <w:t>1</w:t>
      </w:r>
      <w:r>
        <w:rPr>
          <w:rFonts w:ascii="Times New Roman"/>
          <w:szCs w:val="24"/>
        </w:rPr>
        <w:t>日</w:t>
      </w:r>
      <w:r>
        <w:rPr>
          <w:rFonts w:hint="eastAsia" w:ascii="Times New Roman"/>
          <w:szCs w:val="24"/>
        </w:rPr>
        <w:t>施行</w:t>
      </w:r>
      <w:r>
        <w:rPr>
          <w:rFonts w:ascii="Times New Roman"/>
          <w:szCs w:val="24"/>
        </w:rPr>
        <w:t>；</w:t>
      </w:r>
    </w:p>
    <w:p>
      <w:pPr>
        <w:ind w:firstLine="480"/>
        <w:rPr>
          <w:rFonts w:ascii="Times New Roman" w:hAnsi="Times New Roman"/>
          <w:szCs w:val="24"/>
        </w:rPr>
      </w:pPr>
      <w:r>
        <w:rPr>
          <w:rFonts w:ascii="Times New Roman"/>
          <w:szCs w:val="24"/>
        </w:rPr>
        <w:t>（</w:t>
      </w:r>
      <w:r>
        <w:rPr>
          <w:rFonts w:ascii="Times New Roman" w:hAnsi="Times New Roman"/>
          <w:szCs w:val="24"/>
        </w:rPr>
        <w:t>2</w:t>
      </w:r>
      <w:r>
        <w:rPr>
          <w:rFonts w:ascii="Times New Roman"/>
          <w:szCs w:val="24"/>
        </w:rPr>
        <w:t>）《山西省大气污染防治条例》</w:t>
      </w:r>
      <w:r>
        <w:rPr>
          <w:rFonts w:hint="eastAsia" w:ascii="Times New Roman"/>
          <w:szCs w:val="24"/>
        </w:rPr>
        <w:t>，2007</w:t>
      </w:r>
      <w:r>
        <w:rPr>
          <w:rFonts w:ascii="Times New Roman"/>
          <w:szCs w:val="24"/>
        </w:rPr>
        <w:t>年</w:t>
      </w:r>
      <w:r>
        <w:rPr>
          <w:rFonts w:hint="eastAsia" w:ascii="Times New Roman" w:hAnsi="Times New Roman"/>
          <w:szCs w:val="24"/>
        </w:rPr>
        <w:t>3</w:t>
      </w:r>
      <w:r>
        <w:rPr>
          <w:rFonts w:ascii="Times New Roman"/>
          <w:szCs w:val="24"/>
        </w:rPr>
        <w:t>月</w:t>
      </w:r>
      <w:r>
        <w:rPr>
          <w:rFonts w:ascii="Times New Roman" w:hAnsi="Times New Roman"/>
          <w:szCs w:val="24"/>
        </w:rPr>
        <w:t>3</w:t>
      </w:r>
      <w:r>
        <w:rPr>
          <w:rFonts w:hint="eastAsia" w:ascii="Times New Roman" w:hAnsi="Times New Roman"/>
          <w:szCs w:val="24"/>
        </w:rPr>
        <w:t>0</w:t>
      </w:r>
      <w:r>
        <w:rPr>
          <w:rFonts w:ascii="Times New Roman"/>
          <w:szCs w:val="24"/>
        </w:rPr>
        <w:t>日；</w:t>
      </w:r>
    </w:p>
    <w:p>
      <w:pPr>
        <w:ind w:firstLine="480"/>
        <w:rPr>
          <w:rFonts w:ascii="Times New Roman" w:hAnsi="Times New Roman"/>
          <w:szCs w:val="24"/>
        </w:rPr>
      </w:pPr>
      <w:r>
        <w:rPr>
          <w:rFonts w:ascii="Times New Roman"/>
          <w:szCs w:val="24"/>
        </w:rPr>
        <w:t>（</w:t>
      </w:r>
      <w:r>
        <w:rPr>
          <w:rFonts w:hint="eastAsia" w:ascii="Times New Roman" w:hAnsi="Times New Roman"/>
          <w:szCs w:val="24"/>
        </w:rPr>
        <w:t>3</w:t>
      </w:r>
      <w:r>
        <w:rPr>
          <w:rFonts w:ascii="Times New Roman"/>
          <w:szCs w:val="24"/>
        </w:rPr>
        <w:t>）《山西省地表水水环境功能区划》（</w:t>
      </w:r>
      <w:r>
        <w:rPr>
          <w:rFonts w:ascii="Times New Roman" w:hAnsi="Times New Roman"/>
          <w:szCs w:val="24"/>
        </w:rPr>
        <w:t>DB14/67</w:t>
      </w:r>
      <w:r>
        <w:rPr>
          <w:rFonts w:hint="eastAsia" w:ascii="Times New Roman" w:hAnsi="Times New Roman"/>
          <w:szCs w:val="24"/>
        </w:rPr>
        <w:t>-</w:t>
      </w:r>
      <w:r>
        <w:rPr>
          <w:rFonts w:ascii="Times New Roman" w:hAnsi="Times New Roman"/>
          <w:szCs w:val="24"/>
        </w:rPr>
        <w:t>2014</w:t>
      </w:r>
      <w:r>
        <w:rPr>
          <w:rFonts w:ascii="Times New Roman"/>
          <w:szCs w:val="24"/>
        </w:rPr>
        <w:t>），</w:t>
      </w:r>
      <w:r>
        <w:rPr>
          <w:rFonts w:ascii="Times New Roman" w:hAnsi="Times New Roman"/>
          <w:szCs w:val="24"/>
        </w:rPr>
        <w:t>2014</w:t>
      </w:r>
      <w:r>
        <w:rPr>
          <w:rFonts w:ascii="Times New Roman"/>
          <w:szCs w:val="24"/>
        </w:rPr>
        <w:t>年</w:t>
      </w:r>
      <w:r>
        <w:rPr>
          <w:rFonts w:ascii="Times New Roman" w:hAnsi="Times New Roman"/>
          <w:szCs w:val="24"/>
        </w:rPr>
        <w:t>2</w:t>
      </w:r>
      <w:r>
        <w:rPr>
          <w:rFonts w:ascii="Times New Roman"/>
          <w:szCs w:val="24"/>
        </w:rPr>
        <w:t>月</w:t>
      </w:r>
      <w:r>
        <w:rPr>
          <w:rFonts w:ascii="Times New Roman" w:hAnsi="Times New Roman"/>
          <w:szCs w:val="24"/>
        </w:rPr>
        <w:t>20</w:t>
      </w:r>
      <w:r>
        <w:rPr>
          <w:rFonts w:ascii="Times New Roman"/>
          <w:szCs w:val="24"/>
        </w:rPr>
        <w:t>日；</w:t>
      </w:r>
    </w:p>
    <w:p>
      <w:pPr>
        <w:ind w:firstLine="480"/>
        <w:rPr>
          <w:rFonts w:ascii="Times New Roman" w:hAnsi="Times New Roman"/>
          <w:szCs w:val="24"/>
        </w:rPr>
      </w:pPr>
      <w:r>
        <w:rPr>
          <w:rFonts w:ascii="Times New Roman"/>
          <w:szCs w:val="24"/>
        </w:rPr>
        <w:t>（</w:t>
      </w:r>
      <w:r>
        <w:rPr>
          <w:rFonts w:hint="eastAsia" w:ascii="Times New Roman" w:hAnsi="Times New Roman"/>
          <w:szCs w:val="24"/>
        </w:rPr>
        <w:t>4</w:t>
      </w:r>
      <w:r>
        <w:rPr>
          <w:rFonts w:ascii="Times New Roman"/>
          <w:szCs w:val="24"/>
        </w:rPr>
        <w:t>）山西省政府《山西省土地复垦实施办法》（晋政发第</w:t>
      </w:r>
      <w:r>
        <w:rPr>
          <w:rFonts w:ascii="Times New Roman" w:hAnsi="Times New Roman"/>
          <w:szCs w:val="24"/>
        </w:rPr>
        <w:t>66</w:t>
      </w:r>
      <w:r>
        <w:rPr>
          <w:rFonts w:ascii="Times New Roman"/>
          <w:szCs w:val="24"/>
        </w:rPr>
        <w:t>号）；</w:t>
      </w:r>
    </w:p>
    <w:p>
      <w:pPr>
        <w:ind w:firstLine="480"/>
        <w:rPr>
          <w:rFonts w:ascii="Times New Roman" w:hAnsi="Times New Roman"/>
          <w:szCs w:val="24"/>
        </w:rPr>
      </w:pPr>
      <w:r>
        <w:rPr>
          <w:rFonts w:ascii="Times New Roman"/>
          <w:szCs w:val="24"/>
        </w:rPr>
        <w:t>（</w:t>
      </w:r>
      <w:r>
        <w:rPr>
          <w:rFonts w:hint="eastAsia" w:ascii="Times New Roman" w:hAnsi="Times New Roman"/>
          <w:szCs w:val="24"/>
        </w:rPr>
        <w:t>5</w:t>
      </w:r>
      <w:r>
        <w:rPr>
          <w:rFonts w:ascii="Times New Roman"/>
          <w:szCs w:val="24"/>
        </w:rPr>
        <w:t>）《山西省人民政府印发关于贯彻全国生态环境保护纲要实施意见的通知》（晋政发</w:t>
      </w:r>
      <w:r>
        <w:rPr>
          <w:rFonts w:ascii="Times New Roman" w:hAnsi="Times New Roman"/>
          <w:szCs w:val="24"/>
        </w:rPr>
        <w:t>[2001]45</w:t>
      </w:r>
      <w:r>
        <w:rPr>
          <w:rFonts w:ascii="Times New Roman"/>
          <w:szCs w:val="24"/>
        </w:rPr>
        <w:t>号，</w:t>
      </w:r>
      <w:r>
        <w:rPr>
          <w:rFonts w:ascii="Times New Roman" w:hAnsi="Times New Roman"/>
          <w:szCs w:val="24"/>
        </w:rPr>
        <w:t>2001</w:t>
      </w:r>
      <w:r>
        <w:rPr>
          <w:rFonts w:ascii="Times New Roman"/>
          <w:szCs w:val="24"/>
        </w:rPr>
        <w:t>年</w:t>
      </w:r>
      <w:r>
        <w:rPr>
          <w:rFonts w:ascii="Times New Roman" w:hAnsi="Times New Roman"/>
          <w:szCs w:val="24"/>
        </w:rPr>
        <w:t>12</w:t>
      </w:r>
      <w:r>
        <w:rPr>
          <w:rFonts w:ascii="Times New Roman"/>
          <w:szCs w:val="24"/>
        </w:rPr>
        <w:t>月</w:t>
      </w:r>
      <w:r>
        <w:rPr>
          <w:rFonts w:ascii="Times New Roman" w:hAnsi="Times New Roman"/>
          <w:szCs w:val="24"/>
        </w:rPr>
        <w:t>27</w:t>
      </w:r>
      <w:r>
        <w:rPr>
          <w:rFonts w:ascii="Times New Roman"/>
          <w:szCs w:val="24"/>
        </w:rPr>
        <w:t>日）；</w:t>
      </w:r>
    </w:p>
    <w:p>
      <w:pPr>
        <w:ind w:firstLine="480"/>
        <w:rPr>
          <w:rFonts w:ascii="Times New Roman" w:hAnsi="Times New Roman"/>
          <w:szCs w:val="24"/>
        </w:rPr>
      </w:pPr>
      <w:r>
        <w:rPr>
          <w:rFonts w:ascii="Times New Roman"/>
          <w:szCs w:val="24"/>
        </w:rPr>
        <w:t>（</w:t>
      </w:r>
      <w:r>
        <w:rPr>
          <w:rFonts w:hint="eastAsia" w:ascii="Times New Roman" w:hAnsi="Times New Roman"/>
          <w:szCs w:val="24"/>
        </w:rPr>
        <w:t>6</w:t>
      </w:r>
      <w:r>
        <w:rPr>
          <w:rFonts w:ascii="Times New Roman"/>
          <w:szCs w:val="24"/>
        </w:rPr>
        <w:t>）山西省人民政府关于印发山西省生态功能区划的通知（晋政发</w:t>
      </w:r>
      <w:r>
        <w:rPr>
          <w:rFonts w:ascii="Times New Roman" w:hAnsi="Times New Roman"/>
          <w:szCs w:val="24"/>
        </w:rPr>
        <w:t>[2008]26</w:t>
      </w:r>
      <w:r>
        <w:rPr>
          <w:rFonts w:ascii="Times New Roman"/>
          <w:szCs w:val="24"/>
        </w:rPr>
        <w:t>号）；</w:t>
      </w:r>
    </w:p>
    <w:p>
      <w:pPr>
        <w:ind w:firstLine="480"/>
        <w:rPr>
          <w:rFonts w:ascii="Times New Roman" w:hAnsi="Times New Roman"/>
          <w:szCs w:val="24"/>
        </w:rPr>
      </w:pPr>
      <w:r>
        <w:rPr>
          <w:rFonts w:ascii="Times New Roman"/>
          <w:szCs w:val="24"/>
        </w:rPr>
        <w:t>（</w:t>
      </w:r>
      <w:r>
        <w:rPr>
          <w:rFonts w:hint="eastAsia" w:ascii="Times New Roman" w:hAnsi="Times New Roman"/>
          <w:szCs w:val="24"/>
        </w:rPr>
        <w:t>7</w:t>
      </w:r>
      <w:r>
        <w:rPr>
          <w:rFonts w:ascii="Times New Roman"/>
          <w:szCs w:val="24"/>
        </w:rPr>
        <w:t>）</w:t>
      </w:r>
      <w:r>
        <w:rPr>
          <w:rFonts w:hint="eastAsia" w:ascii="Times New Roman"/>
          <w:szCs w:val="24"/>
        </w:rPr>
        <w:t>《山西省主体功能规划》晋政发2014（9）号；</w:t>
      </w:r>
    </w:p>
    <w:p>
      <w:pPr>
        <w:ind w:firstLine="480"/>
        <w:rPr>
          <w:rFonts w:ascii="Times New Roman" w:hAnsi="Times New Roman"/>
          <w:szCs w:val="24"/>
        </w:rPr>
      </w:pPr>
      <w:r>
        <w:rPr>
          <w:rFonts w:ascii="Times New Roman"/>
          <w:szCs w:val="24"/>
        </w:rPr>
        <w:t>（</w:t>
      </w:r>
      <w:r>
        <w:rPr>
          <w:rFonts w:hint="eastAsia" w:ascii="Times New Roman" w:hAnsi="Times New Roman"/>
          <w:szCs w:val="24"/>
        </w:rPr>
        <w:t>8</w:t>
      </w:r>
      <w:r>
        <w:rPr>
          <w:rFonts w:ascii="Times New Roman"/>
          <w:szCs w:val="24"/>
        </w:rPr>
        <w:t>）《山西省泉域水资源保护条例》（修</w:t>
      </w:r>
      <w:r>
        <w:rPr>
          <w:rFonts w:hint="eastAsia" w:ascii="Times New Roman"/>
          <w:szCs w:val="24"/>
        </w:rPr>
        <w:t>正</w:t>
      </w:r>
      <w:r>
        <w:rPr>
          <w:rFonts w:ascii="Times New Roman"/>
          <w:szCs w:val="24"/>
        </w:rPr>
        <w:t>）（</w:t>
      </w:r>
      <w:r>
        <w:rPr>
          <w:rFonts w:ascii="Times New Roman" w:hAnsi="Times New Roman"/>
          <w:szCs w:val="24"/>
        </w:rPr>
        <w:t>2010</w:t>
      </w:r>
      <w:r>
        <w:rPr>
          <w:rFonts w:ascii="Times New Roman"/>
          <w:szCs w:val="24"/>
        </w:rPr>
        <w:t>年</w:t>
      </w:r>
      <w:r>
        <w:rPr>
          <w:rFonts w:ascii="Times New Roman" w:hAnsi="Times New Roman"/>
          <w:szCs w:val="24"/>
        </w:rPr>
        <w:t>11</w:t>
      </w:r>
      <w:r>
        <w:rPr>
          <w:rFonts w:ascii="Times New Roman"/>
          <w:szCs w:val="24"/>
        </w:rPr>
        <w:t>月</w:t>
      </w:r>
      <w:r>
        <w:rPr>
          <w:rFonts w:ascii="Times New Roman" w:hAnsi="Times New Roman"/>
          <w:szCs w:val="24"/>
        </w:rPr>
        <w:t>26</w:t>
      </w:r>
      <w:r>
        <w:rPr>
          <w:rFonts w:ascii="Times New Roman"/>
          <w:szCs w:val="24"/>
        </w:rPr>
        <w:t>日）；</w:t>
      </w:r>
    </w:p>
    <w:p>
      <w:pPr>
        <w:ind w:firstLine="480"/>
        <w:rPr>
          <w:rFonts w:ascii="Times New Roman" w:hAnsi="Times New Roman"/>
          <w:szCs w:val="24"/>
        </w:rPr>
      </w:pPr>
      <w:r>
        <w:rPr>
          <w:rFonts w:ascii="Times New Roman"/>
          <w:szCs w:val="24"/>
        </w:rPr>
        <w:t>（</w:t>
      </w:r>
      <w:r>
        <w:rPr>
          <w:rFonts w:hint="eastAsia" w:ascii="Times New Roman" w:hAnsi="Times New Roman"/>
          <w:szCs w:val="24"/>
        </w:rPr>
        <w:t>9</w:t>
      </w:r>
      <w:r>
        <w:rPr>
          <w:rFonts w:ascii="Times New Roman"/>
          <w:szCs w:val="24"/>
        </w:rPr>
        <w:t>）《关于一进步加强水污染防治工作的通知》（山西省人民政府办公厅，晋政办函</w:t>
      </w:r>
      <w:r>
        <w:rPr>
          <w:rFonts w:ascii="Times New Roman" w:hAnsi="Times New Roman"/>
          <w:szCs w:val="24"/>
        </w:rPr>
        <w:t>[2010]10</w:t>
      </w:r>
      <w:r>
        <w:rPr>
          <w:rFonts w:ascii="Times New Roman"/>
          <w:szCs w:val="24"/>
        </w:rPr>
        <w:t>号，</w:t>
      </w:r>
      <w:r>
        <w:rPr>
          <w:rFonts w:ascii="Times New Roman" w:hAnsi="Times New Roman"/>
          <w:szCs w:val="24"/>
        </w:rPr>
        <w:t>2010</w:t>
      </w:r>
      <w:r>
        <w:rPr>
          <w:rFonts w:ascii="Times New Roman"/>
          <w:szCs w:val="24"/>
        </w:rPr>
        <w:t>年</w:t>
      </w:r>
      <w:r>
        <w:rPr>
          <w:rFonts w:ascii="Times New Roman" w:hAnsi="Times New Roman"/>
          <w:szCs w:val="24"/>
        </w:rPr>
        <w:t>6</w:t>
      </w:r>
      <w:r>
        <w:rPr>
          <w:rFonts w:ascii="Times New Roman"/>
          <w:szCs w:val="24"/>
        </w:rPr>
        <w:t>月）；</w:t>
      </w:r>
    </w:p>
    <w:p>
      <w:pPr>
        <w:ind w:firstLine="480"/>
        <w:rPr>
          <w:rFonts w:ascii="Times New Roman" w:hAnsi="Times New Roman"/>
          <w:szCs w:val="24"/>
        </w:rPr>
      </w:pPr>
      <w:r>
        <w:rPr>
          <w:rFonts w:ascii="Times New Roman"/>
          <w:szCs w:val="24"/>
        </w:rPr>
        <w:t>（</w:t>
      </w:r>
      <w:r>
        <w:rPr>
          <w:rFonts w:hint="eastAsia" w:ascii="Times New Roman" w:hAnsi="Times New Roman"/>
          <w:szCs w:val="24"/>
        </w:rPr>
        <w:t>10</w:t>
      </w:r>
      <w:r>
        <w:rPr>
          <w:rFonts w:ascii="Times New Roman"/>
          <w:szCs w:val="24"/>
        </w:rPr>
        <w:t>）</w:t>
      </w:r>
      <w:r>
        <w:rPr>
          <w:rFonts w:hint="eastAsia" w:ascii="Times New Roman"/>
          <w:szCs w:val="24"/>
        </w:rPr>
        <w:t>《山西省人民政府关于印发山西省生态功能区划的通知》晋政发[2008]26号；</w:t>
      </w:r>
    </w:p>
    <w:p>
      <w:pPr>
        <w:ind w:firstLine="480"/>
        <w:rPr>
          <w:rFonts w:ascii="Times New Roman"/>
          <w:szCs w:val="24"/>
        </w:rPr>
      </w:pPr>
      <w:r>
        <w:rPr>
          <w:rFonts w:ascii="Times New Roman"/>
          <w:szCs w:val="24"/>
        </w:rPr>
        <w:t>（</w:t>
      </w:r>
      <w:r>
        <w:rPr>
          <w:rFonts w:hint="eastAsia" w:ascii="Times New Roman"/>
          <w:szCs w:val="24"/>
        </w:rPr>
        <w:t>11</w:t>
      </w:r>
      <w:r>
        <w:rPr>
          <w:rFonts w:ascii="Times New Roman"/>
          <w:szCs w:val="24"/>
        </w:rPr>
        <w:t>）</w:t>
      </w:r>
      <w:r>
        <w:rPr>
          <w:rFonts w:hint="eastAsia" w:ascii="Times New Roman"/>
          <w:szCs w:val="24"/>
        </w:rPr>
        <w:t>《山西省“十三五”环境保护规划》晋政发2016（66）号；</w:t>
      </w:r>
    </w:p>
    <w:p>
      <w:pPr>
        <w:ind w:firstLine="480"/>
        <w:rPr>
          <w:rFonts w:ascii="Times New Roman"/>
          <w:szCs w:val="24"/>
        </w:rPr>
      </w:pPr>
      <w:r>
        <w:rPr>
          <w:rFonts w:hint="eastAsia" w:ascii="Times New Roman"/>
          <w:szCs w:val="24"/>
        </w:rPr>
        <w:t>（12）《山西省用水定额》（DB14/T1049.1-2015）</w:t>
      </w:r>
      <w:r>
        <w:rPr>
          <w:rFonts w:ascii="Times New Roman"/>
          <w:szCs w:val="24"/>
        </w:rPr>
        <w:t>。</w:t>
      </w:r>
    </w:p>
    <w:p>
      <w:pPr>
        <w:ind w:firstLine="0" w:firstLineChars="0"/>
        <w:outlineLvl w:val="2"/>
        <w:rPr>
          <w:rFonts w:ascii="Times New Roman" w:hAnsi="Times New Roman"/>
          <w:b/>
          <w:sz w:val="28"/>
          <w:szCs w:val="28"/>
        </w:rPr>
      </w:pPr>
      <w:bookmarkStart w:id="14" w:name="_Toc524624549"/>
      <w:r>
        <w:rPr>
          <w:rFonts w:hint="eastAsia" w:ascii="Times New Roman" w:hAnsi="Times New Roman"/>
          <w:b/>
          <w:sz w:val="28"/>
          <w:szCs w:val="28"/>
        </w:rPr>
        <w:t>2.1.4 技术依据</w:t>
      </w:r>
      <w:bookmarkEnd w:id="14"/>
    </w:p>
    <w:p>
      <w:pPr>
        <w:ind w:firstLine="480"/>
        <w:jc w:val="left"/>
        <w:rPr>
          <w:rFonts w:ascii="Times New Roman" w:hAnsi="Times New Roman"/>
          <w:szCs w:val="24"/>
        </w:rPr>
      </w:pPr>
      <w:r>
        <w:rPr>
          <w:rFonts w:ascii="Times New Roman" w:hAnsi="Times New Roman"/>
          <w:szCs w:val="24"/>
        </w:rPr>
        <w:t>（1）</w:t>
      </w:r>
      <w:r>
        <w:rPr>
          <w:rFonts w:hint="eastAsia" w:ascii="Times New Roman" w:hAnsi="Times New Roman"/>
          <w:szCs w:val="24"/>
        </w:rPr>
        <w:t>《环境影响评价技术导则</w:t>
      </w:r>
      <w:r>
        <w:rPr>
          <w:rFonts w:ascii="Times New Roman" w:hAnsi="Times New Roman"/>
          <w:szCs w:val="24"/>
        </w:rPr>
        <w:t>-</w:t>
      </w:r>
      <w:r>
        <w:rPr>
          <w:rFonts w:hint="eastAsia" w:ascii="Times New Roman" w:hAnsi="Times New Roman"/>
          <w:szCs w:val="24"/>
        </w:rPr>
        <w:t>总纲》</w:t>
      </w:r>
      <w:r>
        <w:rPr>
          <w:rFonts w:ascii="Times New Roman" w:hAnsi="Times New Roman"/>
          <w:szCs w:val="24"/>
        </w:rPr>
        <w:t>(HJ2.1-</w:t>
      </w:r>
      <w:r>
        <w:rPr>
          <w:rFonts w:hint="eastAsia" w:ascii="Times New Roman" w:hAnsi="Times New Roman"/>
          <w:szCs w:val="24"/>
        </w:rPr>
        <w:t>201</w:t>
      </w:r>
      <w:r>
        <w:rPr>
          <w:rFonts w:ascii="Times New Roman" w:hAnsi="Times New Roman"/>
          <w:szCs w:val="24"/>
        </w:rPr>
        <w:t>6)</w:t>
      </w:r>
      <w:r>
        <w:rPr>
          <w:rFonts w:hint="eastAsia" w:ascii="Times New Roman" w:hAnsi="Times New Roman"/>
          <w:szCs w:val="24"/>
        </w:rPr>
        <w:t>；</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2</w:t>
      </w:r>
      <w:r>
        <w:rPr>
          <w:rFonts w:ascii="Times New Roman" w:hAnsi="Times New Roman"/>
          <w:szCs w:val="24"/>
        </w:rPr>
        <w:t>）</w:t>
      </w:r>
      <w:r>
        <w:rPr>
          <w:rFonts w:hint="eastAsia" w:ascii="Times New Roman" w:hAnsi="Times New Roman"/>
          <w:szCs w:val="24"/>
        </w:rPr>
        <w:t>《环境影响评价技术导则</w:t>
      </w:r>
      <w:r>
        <w:rPr>
          <w:rFonts w:ascii="Times New Roman" w:hAnsi="Times New Roman"/>
          <w:szCs w:val="24"/>
        </w:rPr>
        <w:t>-</w:t>
      </w:r>
      <w:r>
        <w:rPr>
          <w:rFonts w:hint="eastAsia" w:ascii="Times New Roman" w:hAnsi="Times New Roman"/>
          <w:szCs w:val="24"/>
        </w:rPr>
        <w:t>大气环境》</w:t>
      </w:r>
      <w:r>
        <w:rPr>
          <w:rFonts w:ascii="Times New Roman" w:hAnsi="Times New Roman"/>
          <w:szCs w:val="24"/>
        </w:rPr>
        <w:t>(HJ2.2-</w:t>
      </w:r>
      <w:r>
        <w:rPr>
          <w:rFonts w:hint="eastAsia" w:ascii="Times New Roman" w:hAnsi="Times New Roman"/>
          <w:szCs w:val="24"/>
        </w:rPr>
        <w:t>2008</w:t>
      </w:r>
      <w:r>
        <w:rPr>
          <w:rFonts w:ascii="Times New Roman" w:hAnsi="Times New Roman"/>
          <w:szCs w:val="24"/>
        </w:rPr>
        <w:t>)</w:t>
      </w:r>
      <w:r>
        <w:rPr>
          <w:rFonts w:hint="eastAsia" w:ascii="Times New Roman" w:hAnsi="Times New Roman"/>
          <w:szCs w:val="24"/>
        </w:rPr>
        <w:t>；</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3</w:t>
      </w:r>
      <w:r>
        <w:rPr>
          <w:rFonts w:ascii="Times New Roman" w:hAnsi="Times New Roman"/>
          <w:szCs w:val="24"/>
        </w:rPr>
        <w:t>）</w:t>
      </w:r>
      <w:r>
        <w:rPr>
          <w:rFonts w:hint="eastAsia" w:ascii="Times New Roman" w:hAnsi="Times New Roman"/>
          <w:szCs w:val="24"/>
        </w:rPr>
        <w:t>《环境影响评价技术导则</w:t>
      </w:r>
      <w:r>
        <w:rPr>
          <w:rFonts w:ascii="Times New Roman" w:hAnsi="Times New Roman"/>
          <w:szCs w:val="24"/>
        </w:rPr>
        <w:t>-</w:t>
      </w:r>
      <w:r>
        <w:rPr>
          <w:rFonts w:hint="eastAsia" w:ascii="Times New Roman" w:hAnsi="Times New Roman"/>
          <w:szCs w:val="24"/>
        </w:rPr>
        <w:t>声环境》</w:t>
      </w:r>
      <w:r>
        <w:rPr>
          <w:rFonts w:ascii="Times New Roman" w:hAnsi="Times New Roman"/>
          <w:szCs w:val="24"/>
        </w:rPr>
        <w:t>(HJ2.4-</w:t>
      </w:r>
      <w:r>
        <w:rPr>
          <w:rFonts w:hint="eastAsia" w:ascii="Times New Roman" w:hAnsi="Times New Roman"/>
          <w:szCs w:val="24"/>
        </w:rPr>
        <w:t>2009</w:t>
      </w:r>
      <w:r>
        <w:rPr>
          <w:rFonts w:ascii="Times New Roman" w:hAnsi="Times New Roman"/>
          <w:szCs w:val="24"/>
        </w:rPr>
        <w:t>)</w:t>
      </w:r>
      <w:r>
        <w:rPr>
          <w:rFonts w:hint="eastAsia" w:ascii="Times New Roman" w:hAnsi="Times New Roman"/>
          <w:szCs w:val="24"/>
        </w:rPr>
        <w:t>；</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4</w:t>
      </w:r>
      <w:r>
        <w:rPr>
          <w:rFonts w:ascii="Times New Roman" w:hAnsi="Times New Roman"/>
          <w:szCs w:val="24"/>
        </w:rPr>
        <w:t>）</w:t>
      </w:r>
      <w:r>
        <w:rPr>
          <w:rFonts w:hint="eastAsia" w:ascii="Times New Roman" w:hAnsi="Times New Roman"/>
          <w:szCs w:val="24"/>
        </w:rPr>
        <w:t>《环境影响评价技术导则</w:t>
      </w:r>
      <w:r>
        <w:rPr>
          <w:rFonts w:ascii="Times New Roman" w:hAnsi="Times New Roman"/>
          <w:szCs w:val="24"/>
        </w:rPr>
        <w:t>-</w:t>
      </w:r>
      <w:r>
        <w:rPr>
          <w:rFonts w:hint="eastAsia" w:ascii="Times New Roman" w:hAnsi="Times New Roman"/>
          <w:szCs w:val="24"/>
        </w:rPr>
        <w:t>生态影响》</w:t>
      </w:r>
      <w:r>
        <w:rPr>
          <w:rFonts w:ascii="Times New Roman" w:hAnsi="Times New Roman"/>
          <w:szCs w:val="24"/>
        </w:rPr>
        <w:t>(HJ</w:t>
      </w:r>
      <w:r>
        <w:rPr>
          <w:rFonts w:hint="eastAsia" w:ascii="Times New Roman" w:hAnsi="Times New Roman"/>
          <w:szCs w:val="24"/>
        </w:rPr>
        <w:t>19-2011</w:t>
      </w:r>
      <w:r>
        <w:rPr>
          <w:rFonts w:ascii="Times New Roman" w:hAnsi="Times New Roman"/>
          <w:szCs w:val="24"/>
        </w:rPr>
        <w:t>)</w:t>
      </w:r>
      <w:r>
        <w:rPr>
          <w:rFonts w:hint="eastAsia" w:ascii="Times New Roman" w:hAnsi="Times New Roman"/>
          <w:szCs w:val="24"/>
        </w:rPr>
        <w:t>；</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5</w:t>
      </w:r>
      <w:r>
        <w:rPr>
          <w:rFonts w:ascii="Times New Roman" w:hAnsi="Times New Roman"/>
          <w:szCs w:val="24"/>
        </w:rPr>
        <w:t>）《环境影响评价技术导则</w:t>
      </w:r>
      <w:r>
        <w:rPr>
          <w:rFonts w:hint="eastAsia" w:ascii="Times New Roman" w:hAnsi="Times New Roman"/>
          <w:szCs w:val="24"/>
        </w:rPr>
        <w:t>-地面</w:t>
      </w:r>
      <w:r>
        <w:rPr>
          <w:rFonts w:ascii="Times New Roman" w:hAnsi="Times New Roman"/>
          <w:szCs w:val="24"/>
        </w:rPr>
        <w:t>水环境》(HJ/T 2.3-1993)；</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6</w:t>
      </w:r>
      <w:r>
        <w:rPr>
          <w:rFonts w:ascii="Times New Roman" w:hAnsi="Times New Roman"/>
          <w:szCs w:val="24"/>
        </w:rPr>
        <w:t>）</w:t>
      </w:r>
      <w:r>
        <w:rPr>
          <w:rFonts w:hint="eastAsia" w:ascii="Times New Roman" w:hAnsi="Times New Roman"/>
          <w:szCs w:val="24"/>
        </w:rPr>
        <w:t>《环境影响评价技术导则</w:t>
      </w:r>
      <w:r>
        <w:rPr>
          <w:rFonts w:ascii="Times New Roman" w:hAnsi="Times New Roman"/>
          <w:szCs w:val="24"/>
        </w:rPr>
        <w:t>-</w:t>
      </w:r>
      <w:r>
        <w:rPr>
          <w:rFonts w:hint="eastAsia" w:ascii="Times New Roman" w:hAnsi="Times New Roman"/>
          <w:szCs w:val="24"/>
        </w:rPr>
        <w:t>地下水环境》</w:t>
      </w:r>
      <w:r>
        <w:rPr>
          <w:rFonts w:ascii="Times New Roman" w:hAnsi="Times New Roman"/>
          <w:szCs w:val="24"/>
        </w:rPr>
        <w:t>(HJ</w:t>
      </w:r>
      <w:r>
        <w:rPr>
          <w:rFonts w:hint="eastAsia" w:ascii="Times New Roman" w:hAnsi="Times New Roman"/>
          <w:szCs w:val="24"/>
        </w:rPr>
        <w:t xml:space="preserve"> 610-2016</w:t>
      </w:r>
      <w:r>
        <w:rPr>
          <w:rFonts w:ascii="Times New Roman" w:hAnsi="Times New Roman"/>
          <w:szCs w:val="24"/>
        </w:rPr>
        <w:t>)</w:t>
      </w:r>
      <w:r>
        <w:rPr>
          <w:rFonts w:hint="eastAsia" w:ascii="Times New Roman" w:hAnsi="Times New Roman"/>
          <w:szCs w:val="24"/>
        </w:rPr>
        <w:t>；</w:t>
      </w:r>
    </w:p>
    <w:p>
      <w:pPr>
        <w:ind w:firstLine="480"/>
        <w:jc w:val="left"/>
        <w:rPr>
          <w:rFonts w:ascii="Times New Roman" w:hAnsi="Times New Roman"/>
          <w:szCs w:val="24"/>
        </w:rPr>
      </w:pPr>
      <w:r>
        <w:rPr>
          <w:rFonts w:ascii="Times New Roman" w:hAnsi="Times New Roman"/>
          <w:szCs w:val="24"/>
        </w:rPr>
        <w:t>（</w:t>
      </w:r>
      <w:r>
        <w:rPr>
          <w:rFonts w:hint="eastAsia" w:ascii="Times New Roman" w:hAnsi="Times New Roman"/>
          <w:szCs w:val="24"/>
        </w:rPr>
        <w:t>7</w:t>
      </w:r>
      <w:r>
        <w:rPr>
          <w:rFonts w:ascii="Times New Roman" w:hAnsi="Times New Roman"/>
          <w:szCs w:val="24"/>
        </w:rPr>
        <w:t>）</w:t>
      </w:r>
      <w:r>
        <w:rPr>
          <w:rFonts w:hint="eastAsia" w:ascii="Times New Roman" w:hAnsi="Times New Roman"/>
          <w:szCs w:val="24"/>
        </w:rPr>
        <w:t>《建设项目环境风险评价技术导则》</w:t>
      </w:r>
      <w:r>
        <w:rPr>
          <w:rFonts w:ascii="Times New Roman" w:hAnsi="Times New Roman"/>
          <w:szCs w:val="24"/>
        </w:rPr>
        <w:t>(</w:t>
      </w:r>
      <w:r>
        <w:rPr>
          <w:rFonts w:hint="eastAsia" w:ascii="Times New Roman" w:hAnsi="Times New Roman"/>
          <w:szCs w:val="24"/>
        </w:rPr>
        <w:t>HJ/T169-2004</w:t>
      </w:r>
      <w:r>
        <w:rPr>
          <w:rFonts w:ascii="Times New Roman" w:hAnsi="Times New Roman"/>
          <w:szCs w:val="24"/>
        </w:rPr>
        <w:t>)</w:t>
      </w:r>
      <w:r>
        <w:rPr>
          <w:rFonts w:hint="eastAsia" w:ascii="Times New Roman" w:hAnsi="Times New Roman"/>
          <w:szCs w:val="24"/>
        </w:rPr>
        <w:t>；</w:t>
      </w:r>
    </w:p>
    <w:p>
      <w:pPr>
        <w:autoSpaceDE w:val="0"/>
        <w:autoSpaceDN w:val="0"/>
        <w:adjustRightInd w:val="0"/>
        <w:ind w:firstLine="480"/>
        <w:rPr>
          <w:rFonts w:ascii="Times New Roman" w:hAnsi="Times New Roman"/>
          <w:kern w:val="0"/>
          <w:szCs w:val="24"/>
        </w:rPr>
      </w:pPr>
      <w:r>
        <w:rPr>
          <w:rFonts w:ascii="Times New Roman" w:hAnsi="Times New Roman"/>
          <w:kern w:val="0"/>
          <w:szCs w:val="24"/>
        </w:rPr>
        <w:t>（8）《固体废物处理处置工程技术导则》（HJ2035-2013）；</w:t>
      </w:r>
    </w:p>
    <w:p>
      <w:pPr>
        <w:autoSpaceDE w:val="0"/>
        <w:autoSpaceDN w:val="0"/>
        <w:adjustRightInd w:val="0"/>
        <w:ind w:firstLine="480"/>
        <w:rPr>
          <w:rFonts w:ascii="Times New Roman" w:hAnsi="Times New Roman"/>
          <w:kern w:val="0"/>
          <w:szCs w:val="24"/>
        </w:rPr>
      </w:pPr>
      <w:r>
        <w:rPr>
          <w:rFonts w:hint="eastAsia" w:ascii="Times New Roman" w:hAnsi="Times New Roman"/>
          <w:kern w:val="0"/>
          <w:szCs w:val="24"/>
        </w:rPr>
        <w:t>（9）《危险废物贮存污染控制标准（2013年</w:t>
      </w:r>
      <w:r>
        <w:rPr>
          <w:rFonts w:ascii="Times New Roman" w:hAnsi="Times New Roman"/>
          <w:kern w:val="0"/>
          <w:szCs w:val="24"/>
        </w:rPr>
        <w:t>修改</w:t>
      </w:r>
      <w:r>
        <w:rPr>
          <w:rFonts w:hint="eastAsia" w:ascii="Times New Roman" w:hAnsi="Times New Roman"/>
          <w:kern w:val="0"/>
          <w:szCs w:val="24"/>
        </w:rPr>
        <w:t>单）》（</w:t>
      </w:r>
      <w:r>
        <w:rPr>
          <w:rFonts w:ascii="Times New Roman" w:hAnsi="Times New Roman"/>
          <w:kern w:val="0"/>
          <w:szCs w:val="24"/>
        </w:rPr>
        <w:t>GB18597-2001）</w:t>
      </w:r>
    </w:p>
    <w:p>
      <w:pPr>
        <w:autoSpaceDE w:val="0"/>
        <w:autoSpaceDN w:val="0"/>
        <w:adjustRightInd w:val="0"/>
        <w:ind w:firstLine="480"/>
        <w:rPr>
          <w:rFonts w:ascii="Times New Roman" w:hAnsi="Times New Roman"/>
          <w:kern w:val="0"/>
          <w:szCs w:val="24"/>
        </w:rPr>
      </w:pPr>
      <w:r>
        <w:rPr>
          <w:rFonts w:ascii="Times New Roman" w:hAnsi="Times New Roman"/>
          <w:kern w:val="0"/>
          <w:szCs w:val="24"/>
        </w:rPr>
        <w:t>（10）</w:t>
      </w:r>
      <w:r>
        <w:rPr>
          <w:rFonts w:hint="eastAsia" w:ascii="Times New Roman" w:hAnsi="Times New Roman"/>
          <w:kern w:val="0"/>
          <w:szCs w:val="24"/>
        </w:rPr>
        <w:t>《环境影响评价技术导则陆地石油天然气开发建设项目》（HJ/T349-2007）</w:t>
      </w:r>
    </w:p>
    <w:p>
      <w:pPr>
        <w:autoSpaceDE w:val="0"/>
        <w:autoSpaceDN w:val="0"/>
        <w:adjustRightInd w:val="0"/>
        <w:ind w:firstLine="480"/>
        <w:rPr>
          <w:rFonts w:ascii="Times New Roman"/>
          <w:szCs w:val="24"/>
        </w:rPr>
      </w:pPr>
      <w:r>
        <w:rPr>
          <w:rFonts w:ascii="Times New Roman" w:hAnsi="Times New Roman"/>
          <w:kern w:val="0"/>
          <w:szCs w:val="24"/>
        </w:rPr>
        <w:t>（</w:t>
      </w:r>
      <w:r>
        <w:rPr>
          <w:rFonts w:hint="eastAsia" w:ascii="Times New Roman" w:hAnsi="Times New Roman"/>
          <w:kern w:val="0"/>
          <w:szCs w:val="24"/>
        </w:rPr>
        <w:t>1</w:t>
      </w:r>
      <w:r>
        <w:rPr>
          <w:rFonts w:ascii="Times New Roman" w:hAnsi="Times New Roman"/>
          <w:kern w:val="0"/>
          <w:szCs w:val="24"/>
        </w:rPr>
        <w:t>1）</w:t>
      </w:r>
      <w:r>
        <w:rPr>
          <w:rFonts w:hint="eastAsia" w:ascii="Times New Roman" w:hAnsi="Times New Roman"/>
          <w:kern w:val="0"/>
          <w:szCs w:val="24"/>
        </w:rPr>
        <w:t>《输气管道工程设计规范》（GB50251-2015）</w:t>
      </w:r>
      <w:r>
        <w:rPr>
          <w:rFonts w:hint="eastAsia" w:ascii="宋体" w:hAnsi="宋体"/>
          <w:kern w:val="0"/>
          <w:szCs w:val="24"/>
        </w:rPr>
        <w:t>。</w:t>
      </w:r>
    </w:p>
    <w:p>
      <w:pPr>
        <w:ind w:firstLine="0" w:firstLineChars="0"/>
        <w:outlineLvl w:val="2"/>
        <w:rPr>
          <w:rFonts w:ascii="Times New Roman" w:hAnsi="Times New Roman"/>
          <w:b/>
          <w:sz w:val="28"/>
          <w:szCs w:val="28"/>
        </w:rPr>
      </w:pPr>
      <w:bookmarkStart w:id="15" w:name="_Toc524624550"/>
      <w:r>
        <w:rPr>
          <w:rFonts w:hint="eastAsia" w:ascii="Times New Roman" w:hAnsi="Times New Roman"/>
          <w:b/>
          <w:sz w:val="28"/>
          <w:szCs w:val="28"/>
        </w:rPr>
        <w:t>2.1.5 参考资料</w:t>
      </w:r>
      <w:bookmarkEnd w:id="15"/>
    </w:p>
    <w:p>
      <w:pPr>
        <w:ind w:firstLine="480"/>
        <w:rPr>
          <w:rFonts w:ascii="Times New Roman"/>
          <w:szCs w:val="24"/>
        </w:rPr>
      </w:pPr>
      <w:r>
        <w:rPr>
          <w:rFonts w:hint="eastAsia" w:ascii="Times New Roman"/>
          <w:szCs w:val="24"/>
        </w:rPr>
        <w:t>（1）《临兴区块先导试验项目开发方案》，中海油研究院，2016年1月；</w:t>
      </w:r>
    </w:p>
    <w:p>
      <w:pPr>
        <w:ind w:firstLine="480"/>
        <w:rPr>
          <w:rFonts w:ascii="Times New Roman"/>
          <w:szCs w:val="24"/>
        </w:rPr>
      </w:pPr>
      <w:r>
        <w:rPr>
          <w:rFonts w:hint="eastAsia" w:ascii="Times New Roman"/>
          <w:szCs w:val="24"/>
        </w:rPr>
        <w:t>（2）《</w:t>
      </w:r>
      <w:r>
        <w:rPr>
          <w:rFonts w:ascii="Times New Roman"/>
          <w:szCs w:val="24"/>
        </w:rPr>
        <w:t>临兴区块先导性试验可研报告</w:t>
      </w:r>
      <w:r>
        <w:rPr>
          <w:rFonts w:hint="eastAsia" w:ascii="Times New Roman"/>
          <w:szCs w:val="24"/>
        </w:rPr>
        <w:t>》，中联煤层气有限责任公司，2014年10月。</w:t>
      </w:r>
    </w:p>
    <w:p>
      <w:pPr>
        <w:spacing w:before="156" w:beforeLines="50" w:after="156" w:afterLines="50"/>
        <w:ind w:firstLine="0" w:firstLineChars="0"/>
        <w:outlineLvl w:val="1"/>
        <w:rPr>
          <w:rFonts w:ascii="Times New Roman" w:hAnsi="Times New Roman"/>
          <w:b/>
          <w:sz w:val="30"/>
          <w:szCs w:val="30"/>
        </w:rPr>
      </w:pPr>
      <w:bookmarkStart w:id="16" w:name="_Toc524624551"/>
      <w:r>
        <w:rPr>
          <w:rFonts w:hint="eastAsia" w:ascii="Times New Roman" w:hAnsi="Times New Roman"/>
          <w:b/>
          <w:sz w:val="30"/>
          <w:szCs w:val="30"/>
        </w:rPr>
        <w:t>2.2</w:t>
      </w:r>
      <w:r>
        <w:rPr>
          <w:rFonts w:ascii="Times New Roman" w:hAnsi="Times New Roman"/>
          <w:b/>
          <w:sz w:val="30"/>
          <w:szCs w:val="30"/>
        </w:rPr>
        <w:t>评价目的和原则</w:t>
      </w:r>
      <w:bookmarkEnd w:id="16"/>
    </w:p>
    <w:p>
      <w:pPr>
        <w:ind w:firstLine="0" w:firstLineChars="0"/>
        <w:outlineLvl w:val="2"/>
        <w:rPr>
          <w:rFonts w:ascii="Times New Roman" w:hAnsi="Times New Roman"/>
          <w:b/>
          <w:sz w:val="28"/>
          <w:szCs w:val="28"/>
        </w:rPr>
      </w:pPr>
      <w:bookmarkStart w:id="17" w:name="_Toc524624552"/>
      <w:r>
        <w:rPr>
          <w:rFonts w:hint="eastAsia" w:ascii="Times New Roman" w:hAnsi="Times New Roman"/>
          <w:b/>
          <w:sz w:val="28"/>
          <w:szCs w:val="28"/>
        </w:rPr>
        <w:t>2.2</w:t>
      </w:r>
      <w:r>
        <w:rPr>
          <w:rFonts w:ascii="Times New Roman" w:hAnsi="Times New Roman"/>
          <w:b/>
          <w:sz w:val="28"/>
          <w:szCs w:val="28"/>
        </w:rPr>
        <w:t>.1 评价目的</w:t>
      </w:r>
      <w:bookmarkEnd w:id="17"/>
    </w:p>
    <w:p>
      <w:pPr>
        <w:ind w:firstLine="480"/>
        <w:rPr>
          <w:rFonts w:ascii="Times New Roman" w:hAnsi="Times New Roman"/>
        </w:rPr>
      </w:pPr>
      <w:r>
        <w:rPr>
          <w:rFonts w:ascii="Times New Roman"/>
        </w:rPr>
        <w:t>（</w:t>
      </w:r>
      <w:r>
        <w:rPr>
          <w:rFonts w:ascii="Times New Roman" w:hAnsi="Times New Roman"/>
        </w:rPr>
        <w:t>1</w:t>
      </w:r>
      <w:r>
        <w:rPr>
          <w:rFonts w:ascii="Times New Roman"/>
        </w:rPr>
        <w:t>）通过现场勘察、调研以及项目相关资料和当地环境资料的收集、分析、整理，</w:t>
      </w:r>
      <w:r>
        <w:rPr>
          <w:rFonts w:hint="eastAsia" w:ascii="Times New Roman"/>
        </w:rPr>
        <w:t>摸清临兴先导试验项目</w:t>
      </w:r>
      <w:r>
        <w:rPr>
          <w:rFonts w:ascii="Times New Roman"/>
        </w:rPr>
        <w:t>所在区域的大气环境、地表水环境、地下水环境、生态环境、声环境和社会环境的质量现状以及存在的主要环境问题。</w:t>
      </w:r>
    </w:p>
    <w:p>
      <w:pPr>
        <w:ind w:firstLine="480"/>
        <w:rPr>
          <w:rFonts w:ascii="Times New Roman" w:hAnsi="Times New Roman"/>
        </w:rPr>
      </w:pPr>
      <w:r>
        <w:rPr>
          <w:rFonts w:ascii="Times New Roman"/>
        </w:rPr>
        <w:t>（</w:t>
      </w:r>
      <w:r>
        <w:rPr>
          <w:rFonts w:ascii="Times New Roman" w:hAnsi="Times New Roman"/>
        </w:rPr>
        <w:t>2</w:t>
      </w:r>
      <w:r>
        <w:rPr>
          <w:rFonts w:ascii="Times New Roman"/>
        </w:rPr>
        <w:t>）通过工程分析，搞清本</w:t>
      </w:r>
      <w:r>
        <w:rPr>
          <w:rFonts w:hint="eastAsia" w:ascii="Times New Roman"/>
        </w:rPr>
        <w:t>项目</w:t>
      </w:r>
      <w:r>
        <w:rPr>
          <w:rFonts w:ascii="Times New Roman"/>
        </w:rPr>
        <w:t>开发过程中的</w:t>
      </w:r>
      <w:r>
        <w:rPr>
          <w:rFonts w:hint="eastAsia" w:ascii="Times New Roman"/>
        </w:rPr>
        <w:t>“</w:t>
      </w:r>
      <w:r>
        <w:rPr>
          <w:rFonts w:ascii="Times New Roman"/>
        </w:rPr>
        <w:t>三废</w:t>
      </w:r>
      <w:r>
        <w:rPr>
          <w:rFonts w:hint="eastAsia" w:ascii="Times New Roman"/>
        </w:rPr>
        <w:t>”</w:t>
      </w:r>
      <w:r>
        <w:rPr>
          <w:rFonts w:ascii="Times New Roman"/>
        </w:rPr>
        <w:t>排放特征及源强，采用合理的预测模式，预测</w:t>
      </w:r>
      <w:r>
        <w:rPr>
          <w:rFonts w:hint="eastAsia" w:ascii="Times New Roman"/>
        </w:rPr>
        <w:t>项目</w:t>
      </w:r>
      <w:r>
        <w:rPr>
          <w:rFonts w:ascii="Times New Roman"/>
        </w:rPr>
        <w:t>开发对周围环境的影响程度和范围。</w:t>
      </w:r>
    </w:p>
    <w:p>
      <w:pPr>
        <w:ind w:firstLine="480"/>
        <w:rPr>
          <w:rFonts w:ascii="Times New Roman" w:hAnsi="Times New Roman"/>
        </w:rPr>
      </w:pPr>
      <w:r>
        <w:rPr>
          <w:rFonts w:ascii="Times New Roman"/>
        </w:rPr>
        <w:t>（</w:t>
      </w:r>
      <w:r>
        <w:rPr>
          <w:rFonts w:ascii="Times New Roman" w:hAnsi="Times New Roman"/>
        </w:rPr>
        <w:t>3</w:t>
      </w:r>
      <w:r>
        <w:rPr>
          <w:rFonts w:ascii="Times New Roman"/>
        </w:rPr>
        <w:t>）根据</w:t>
      </w:r>
      <w:r>
        <w:rPr>
          <w:rFonts w:hint="eastAsia" w:ascii="Times New Roman"/>
        </w:rPr>
        <w:t>煤成气</w:t>
      </w:r>
      <w:r>
        <w:rPr>
          <w:rFonts w:ascii="Times New Roman"/>
        </w:rPr>
        <w:t>开发对区域生态环境破坏的特点，调查、分析区域生态环境质量的现状，预测</w:t>
      </w:r>
      <w:r>
        <w:rPr>
          <w:rFonts w:hint="eastAsia" w:ascii="Times New Roman"/>
        </w:rPr>
        <w:t>煤成气</w:t>
      </w:r>
      <w:r>
        <w:rPr>
          <w:rFonts w:ascii="Times New Roman"/>
        </w:rPr>
        <w:t>开发活动对区内生态环境的影响程度和范围，为生态恢复措施提供科学依据。</w:t>
      </w:r>
    </w:p>
    <w:p>
      <w:pPr>
        <w:ind w:firstLine="480"/>
        <w:rPr>
          <w:rFonts w:ascii="Times New Roman" w:hAnsi="Times New Roman"/>
        </w:rPr>
      </w:pPr>
      <w:r>
        <w:rPr>
          <w:rFonts w:ascii="Times New Roman"/>
        </w:rPr>
        <w:t>（</w:t>
      </w:r>
      <w:r>
        <w:rPr>
          <w:rFonts w:ascii="Times New Roman" w:hAnsi="Times New Roman"/>
        </w:rPr>
        <w:t>4</w:t>
      </w:r>
      <w:r>
        <w:rPr>
          <w:rFonts w:ascii="Times New Roman"/>
        </w:rPr>
        <w:t>）对</w:t>
      </w:r>
      <w:r>
        <w:rPr>
          <w:rFonts w:hint="eastAsia" w:ascii="Times New Roman"/>
        </w:rPr>
        <w:t>项目</w:t>
      </w:r>
      <w:r>
        <w:rPr>
          <w:rFonts w:ascii="Times New Roman"/>
        </w:rPr>
        <w:t>开发过程中可能发生的风险事故进行分析、预测，提出切实可行的预防措施，使其发生风险事故的几率降到最低。</w:t>
      </w:r>
    </w:p>
    <w:p>
      <w:pPr>
        <w:ind w:firstLine="480"/>
        <w:rPr>
          <w:rFonts w:ascii="Times New Roman" w:hAnsi="Times New Roman"/>
        </w:rPr>
      </w:pPr>
      <w:r>
        <w:rPr>
          <w:rFonts w:ascii="Times New Roman"/>
        </w:rPr>
        <w:t>（</w:t>
      </w:r>
      <w:r>
        <w:rPr>
          <w:rFonts w:ascii="Times New Roman" w:hAnsi="Times New Roman"/>
        </w:rPr>
        <w:t>5</w:t>
      </w:r>
      <w:r>
        <w:rPr>
          <w:rFonts w:ascii="Times New Roman"/>
        </w:rPr>
        <w:t>）分析项目拟采取的污染防治措施的可行性，提出环境保护建议，核算项目的污染物排放总量，进行环境经济损益分析，论证</w:t>
      </w:r>
      <w:r>
        <w:rPr>
          <w:rFonts w:hint="eastAsia" w:ascii="Times New Roman"/>
        </w:rPr>
        <w:t>煤成气</w:t>
      </w:r>
      <w:r>
        <w:rPr>
          <w:rFonts w:ascii="Times New Roman"/>
        </w:rPr>
        <w:t>开发的经济、社会与环境效益的统一性。</w:t>
      </w:r>
    </w:p>
    <w:p>
      <w:pPr>
        <w:ind w:firstLine="480"/>
        <w:rPr>
          <w:rFonts w:ascii="Times New Roman" w:hAnsi="Times New Roman"/>
        </w:rPr>
      </w:pPr>
      <w:r>
        <w:rPr>
          <w:rFonts w:ascii="Times New Roman"/>
        </w:rPr>
        <w:t>（</w:t>
      </w:r>
      <w:r>
        <w:rPr>
          <w:rFonts w:ascii="Times New Roman" w:hAnsi="Times New Roman"/>
        </w:rPr>
        <w:t>6</w:t>
      </w:r>
      <w:r>
        <w:rPr>
          <w:rFonts w:ascii="Times New Roman"/>
        </w:rPr>
        <w:t>）针对本项目可能对区域环境的影响程度，提出切实可行的污染防治措施、生态减缓措施，使其对环境和生态的影响降至可接受程度。</w:t>
      </w:r>
    </w:p>
    <w:p>
      <w:pPr>
        <w:ind w:firstLine="480"/>
        <w:rPr>
          <w:rFonts w:ascii="Times New Roman" w:hAnsi="Times New Roman"/>
        </w:rPr>
      </w:pPr>
      <w:r>
        <w:rPr>
          <w:rFonts w:ascii="Times New Roman"/>
        </w:rPr>
        <w:t>（</w:t>
      </w:r>
      <w:r>
        <w:rPr>
          <w:rFonts w:ascii="Times New Roman" w:hAnsi="Times New Roman"/>
        </w:rPr>
        <w:t>7</w:t>
      </w:r>
      <w:r>
        <w:rPr>
          <w:rFonts w:ascii="Times New Roman"/>
        </w:rPr>
        <w:t>）根据对当地公众进行调查，以了解公众对项目的支持程度，从而从公众参与的角度为环保主管部门提出管理依据。</w:t>
      </w:r>
    </w:p>
    <w:p>
      <w:pPr>
        <w:ind w:firstLine="480"/>
        <w:rPr>
          <w:rFonts w:ascii="Times New Roman" w:hAnsi="Times New Roman"/>
          <w:szCs w:val="24"/>
        </w:rPr>
      </w:pPr>
      <w:r>
        <w:rPr>
          <w:rFonts w:ascii="Times New Roman"/>
        </w:rPr>
        <w:t>（</w:t>
      </w:r>
      <w:r>
        <w:rPr>
          <w:rFonts w:ascii="Times New Roman" w:hAnsi="Times New Roman"/>
        </w:rPr>
        <w:t>8</w:t>
      </w:r>
      <w:r>
        <w:rPr>
          <w:rFonts w:ascii="Times New Roman"/>
        </w:rPr>
        <w:t>）综合产业政策、当地社会经济发展规划、总量控制、评价区环境容量、达标排放、</w:t>
      </w:r>
      <w:r>
        <w:rPr>
          <w:rFonts w:hint="eastAsia" w:ascii="Times New Roman"/>
        </w:rPr>
        <w:t>选址</w:t>
      </w:r>
      <w:r>
        <w:rPr>
          <w:rFonts w:ascii="Times New Roman"/>
        </w:rPr>
        <w:t>可行性等部分的分析结论，从环保角度明确说明</w:t>
      </w:r>
      <w:r>
        <w:rPr>
          <w:rFonts w:hint="eastAsia" w:ascii="Times New Roman"/>
        </w:rPr>
        <w:t>项目</w:t>
      </w:r>
      <w:r>
        <w:rPr>
          <w:rFonts w:ascii="Times New Roman"/>
        </w:rPr>
        <w:t>的可行性，为项目建设审批、环境保护、工程设计、建设管理、生产运行等提供科学的依据。</w:t>
      </w:r>
    </w:p>
    <w:p>
      <w:pPr>
        <w:ind w:firstLine="0" w:firstLineChars="0"/>
        <w:outlineLvl w:val="2"/>
        <w:rPr>
          <w:rFonts w:ascii="Times New Roman" w:hAnsi="Times New Roman"/>
          <w:b/>
          <w:sz w:val="28"/>
          <w:szCs w:val="28"/>
        </w:rPr>
      </w:pPr>
      <w:bookmarkStart w:id="18" w:name="_Toc524624553"/>
      <w:r>
        <w:rPr>
          <w:rFonts w:hint="eastAsia" w:ascii="Times New Roman" w:hAnsi="Times New Roman"/>
          <w:b/>
          <w:sz w:val="28"/>
          <w:szCs w:val="28"/>
        </w:rPr>
        <w:t>2.2.2 评价原则</w:t>
      </w:r>
      <w:bookmarkEnd w:id="18"/>
    </w:p>
    <w:p>
      <w:pPr>
        <w:ind w:firstLine="480"/>
        <w:rPr>
          <w:rFonts w:ascii="Times New Roman" w:hAnsi="Times New Roman"/>
        </w:rPr>
      </w:pPr>
      <w:r>
        <w:rPr>
          <w:rFonts w:ascii="Times New Roman"/>
        </w:rPr>
        <w:t>（</w:t>
      </w:r>
      <w:r>
        <w:rPr>
          <w:rFonts w:ascii="Times New Roman" w:hAnsi="Times New Roman"/>
        </w:rPr>
        <w:t>1</w:t>
      </w:r>
      <w:r>
        <w:rPr>
          <w:rFonts w:ascii="Times New Roman"/>
        </w:rPr>
        <w:t>）以各项环境保护法规、评价技术规定、环境标准和本区域环境功能规划目标为依据，指导评价工作。</w:t>
      </w:r>
    </w:p>
    <w:p>
      <w:pPr>
        <w:ind w:firstLine="480"/>
        <w:rPr>
          <w:rFonts w:ascii="Times New Roman" w:hAnsi="Times New Roman"/>
        </w:rPr>
      </w:pPr>
      <w:r>
        <w:rPr>
          <w:rFonts w:ascii="Times New Roman"/>
        </w:rPr>
        <w:t>（</w:t>
      </w:r>
      <w:r>
        <w:rPr>
          <w:rFonts w:ascii="Times New Roman" w:hAnsi="Times New Roman"/>
        </w:rPr>
        <w:t>2</w:t>
      </w:r>
      <w:r>
        <w:rPr>
          <w:rFonts w:ascii="Times New Roman"/>
        </w:rPr>
        <w:t>）以国家、山西省有关产业政策、环境保护政策和区域可持续发展战略思想的要求为原则，开展评价工作。</w:t>
      </w:r>
    </w:p>
    <w:p>
      <w:pPr>
        <w:ind w:firstLine="480"/>
        <w:rPr>
          <w:rFonts w:ascii="Times New Roman" w:hAnsi="Times New Roman"/>
        </w:rPr>
      </w:pPr>
      <w:r>
        <w:rPr>
          <w:rFonts w:ascii="Times New Roman"/>
        </w:rPr>
        <w:t>（</w:t>
      </w:r>
      <w:r>
        <w:rPr>
          <w:rFonts w:ascii="Times New Roman" w:hAnsi="Times New Roman"/>
        </w:rPr>
        <w:t>3</w:t>
      </w:r>
      <w:r>
        <w:rPr>
          <w:rFonts w:ascii="Times New Roman"/>
        </w:rPr>
        <w:t>）以防为主，防治结合，既要体现经济发展，又要进行环境保护，遏制恶化，特别是针对煤成气开采过程中可能带来的生态影响问题提出有针对性、可操作性的保护和恢复措施。</w:t>
      </w:r>
    </w:p>
    <w:p>
      <w:pPr>
        <w:ind w:firstLine="480"/>
        <w:rPr>
          <w:rFonts w:ascii="Times New Roman" w:hAnsi="Times New Roman"/>
          <w:szCs w:val="24"/>
        </w:rPr>
      </w:pPr>
      <w:r>
        <w:rPr>
          <w:rFonts w:ascii="Times New Roman"/>
        </w:rPr>
        <w:t>（</w:t>
      </w:r>
      <w:r>
        <w:rPr>
          <w:rFonts w:ascii="Times New Roman" w:hAnsi="Times New Roman"/>
        </w:rPr>
        <w:t>4</w:t>
      </w:r>
      <w:r>
        <w:rPr>
          <w:rFonts w:ascii="Times New Roman"/>
        </w:rPr>
        <w:t>）评价工作坚持严肃、科学和认真负责的态度，使报告书做到科学、客观、实用，为设计、管理和决策部门提供科学依据。报告书编写要突出实用性、针对性、公正性，并力求条理清晰、重点突出、依据充分、结论明确，对策可行。</w:t>
      </w:r>
    </w:p>
    <w:p>
      <w:pPr>
        <w:spacing w:before="156" w:beforeLines="50" w:after="156" w:afterLines="50"/>
        <w:ind w:firstLine="0" w:firstLineChars="0"/>
        <w:outlineLvl w:val="1"/>
        <w:rPr>
          <w:rFonts w:ascii="Times New Roman" w:hAnsi="Times New Roman"/>
          <w:b/>
          <w:sz w:val="30"/>
          <w:szCs w:val="30"/>
        </w:rPr>
      </w:pPr>
      <w:bookmarkStart w:id="19" w:name="_Toc524624554"/>
      <w:r>
        <w:rPr>
          <w:rFonts w:hint="eastAsia" w:ascii="Times New Roman" w:hAnsi="Times New Roman"/>
          <w:b/>
          <w:sz w:val="30"/>
          <w:szCs w:val="30"/>
        </w:rPr>
        <w:t>2.3环境影响因素的识别和评价因子筛选</w:t>
      </w:r>
      <w:bookmarkEnd w:id="19"/>
    </w:p>
    <w:p>
      <w:pPr>
        <w:ind w:firstLine="0" w:firstLineChars="0"/>
        <w:outlineLvl w:val="2"/>
        <w:rPr>
          <w:rFonts w:ascii="Times New Roman" w:hAnsi="Times New Roman"/>
          <w:b/>
          <w:sz w:val="28"/>
          <w:szCs w:val="28"/>
        </w:rPr>
      </w:pPr>
      <w:bookmarkStart w:id="20" w:name="_Toc524624555"/>
      <w:r>
        <w:rPr>
          <w:rFonts w:hint="eastAsia" w:ascii="Times New Roman" w:hAnsi="Times New Roman"/>
          <w:b/>
          <w:sz w:val="28"/>
          <w:szCs w:val="28"/>
        </w:rPr>
        <w:t>2.3.1 环境影响因素识别</w:t>
      </w:r>
      <w:bookmarkEnd w:id="20"/>
    </w:p>
    <w:p>
      <w:pPr>
        <w:ind w:firstLine="480"/>
        <w:rPr>
          <w:rFonts w:ascii="Times New Roman" w:hAnsi="Times New Roman"/>
        </w:rPr>
      </w:pPr>
      <w:r>
        <w:rPr>
          <w:rFonts w:ascii="Times New Roman" w:hAnsi="Times New Roman"/>
        </w:rPr>
        <w:t>根据</w:t>
      </w:r>
      <w:r>
        <w:rPr>
          <w:rFonts w:hint="eastAsia" w:ascii="Times New Roman" w:hAnsi="Times New Roman"/>
        </w:rPr>
        <w:t>煤成气</w:t>
      </w:r>
      <w:r>
        <w:rPr>
          <w:rFonts w:ascii="Times New Roman" w:hAnsi="Times New Roman"/>
        </w:rPr>
        <w:t>开发项目的工程特点及</w:t>
      </w:r>
      <w:r>
        <w:rPr>
          <w:rFonts w:hint="eastAsia" w:ascii="Times New Roman" w:hAnsi="Times New Roman"/>
        </w:rPr>
        <w:t>项目</w:t>
      </w:r>
      <w:r>
        <w:rPr>
          <w:rFonts w:ascii="Times New Roman" w:hAnsi="Times New Roman"/>
        </w:rPr>
        <w:t>所在区域的环境特征分析，</w:t>
      </w:r>
      <w:r>
        <w:rPr>
          <w:rFonts w:hint="eastAsia" w:ascii="Times New Roman" w:hAnsi="Times New Roman"/>
        </w:rPr>
        <w:t>项目</w:t>
      </w:r>
      <w:r>
        <w:rPr>
          <w:rFonts w:ascii="Times New Roman" w:hAnsi="Times New Roman"/>
        </w:rPr>
        <w:t>在开发建设期、生产运行期和闭井期影响环境的因素有环境空气、地表水、地下水、声环境、土壤、生态环境、固体废物等。本</w:t>
      </w:r>
      <w:r>
        <w:rPr>
          <w:rFonts w:hint="eastAsia" w:ascii="Times New Roman" w:hAnsi="Times New Roman"/>
        </w:rPr>
        <w:t>项目</w:t>
      </w:r>
      <w:r>
        <w:rPr>
          <w:rFonts w:ascii="Times New Roman" w:hAnsi="Times New Roman"/>
        </w:rPr>
        <w:t>开发全过程的环境影响因素识别及筛选见表</w:t>
      </w:r>
      <w:r>
        <w:rPr>
          <w:rFonts w:hint="eastAsia" w:ascii="Times New Roman" w:hAnsi="Times New Roman"/>
        </w:rPr>
        <w:t>2.3</w:t>
      </w:r>
      <w:r>
        <w:rPr>
          <w:rFonts w:ascii="Times New Roman" w:hAnsi="Times New Roman"/>
        </w:rPr>
        <w:t>-1。</w:t>
      </w:r>
    </w:p>
    <w:p>
      <w:pPr>
        <w:pStyle w:val="27"/>
      </w:pPr>
      <w:r>
        <w:t>表</w:t>
      </w:r>
      <w:r>
        <w:rPr>
          <w:rFonts w:hint="eastAsia"/>
        </w:rPr>
        <w:t>2.3-1煤成气</w:t>
      </w:r>
      <w:r>
        <w:t>开发</w:t>
      </w:r>
      <w:r>
        <w:rPr>
          <w:rFonts w:hint="eastAsia"/>
        </w:rPr>
        <w:t>项目</w:t>
      </w:r>
      <w:r>
        <w:t>环境影响因素识别及筛选矩阵</w:t>
      </w:r>
    </w:p>
    <w:tbl>
      <w:tblPr>
        <w:tblStyle w:val="18"/>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66"/>
        <w:gridCol w:w="1331"/>
        <w:gridCol w:w="962"/>
        <w:gridCol w:w="1201"/>
        <w:gridCol w:w="962"/>
        <w:gridCol w:w="1201"/>
        <w:gridCol w:w="723"/>
        <w:gridCol w:w="108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5" w:type="pct"/>
            <w:gridSpan w:val="2"/>
            <w:tcBorders>
              <w:tl2br w:val="single" w:color="auto" w:sz="6" w:space="0"/>
            </w:tcBorders>
            <w:shd w:val="clear" w:color="auto" w:fill="auto"/>
            <w:vAlign w:val="center"/>
          </w:tcPr>
          <w:p>
            <w:pPr>
              <w:pStyle w:val="27"/>
            </w:pPr>
            <w:r>
              <w:t>污染环节</w:t>
            </w:r>
          </w:p>
          <w:p>
            <w:pPr>
              <w:pStyle w:val="27"/>
            </w:pPr>
            <w:r>
              <w:t>环境要素</w:t>
            </w:r>
          </w:p>
        </w:tc>
        <w:tc>
          <w:tcPr>
            <w:tcW w:w="564" w:type="pct"/>
            <w:shd w:val="clear" w:color="auto" w:fill="auto"/>
            <w:vAlign w:val="center"/>
          </w:tcPr>
          <w:p>
            <w:pPr>
              <w:pStyle w:val="27"/>
            </w:pPr>
            <w:r>
              <w:t>钻井</w:t>
            </w:r>
          </w:p>
        </w:tc>
        <w:tc>
          <w:tcPr>
            <w:tcW w:w="704" w:type="pct"/>
            <w:shd w:val="clear" w:color="auto" w:fill="auto"/>
            <w:vAlign w:val="center"/>
          </w:tcPr>
          <w:p>
            <w:pPr>
              <w:pStyle w:val="27"/>
            </w:pPr>
            <w:r>
              <w:t>工程车辆</w:t>
            </w:r>
          </w:p>
        </w:tc>
        <w:tc>
          <w:tcPr>
            <w:tcW w:w="564" w:type="pct"/>
            <w:shd w:val="clear" w:color="auto" w:fill="auto"/>
            <w:vAlign w:val="center"/>
          </w:tcPr>
          <w:p>
            <w:pPr>
              <w:pStyle w:val="27"/>
            </w:pPr>
            <w:r>
              <w:t>生产井</w:t>
            </w:r>
          </w:p>
        </w:tc>
        <w:tc>
          <w:tcPr>
            <w:tcW w:w="704" w:type="pct"/>
            <w:shd w:val="clear" w:color="auto" w:fill="auto"/>
            <w:vAlign w:val="center"/>
          </w:tcPr>
          <w:p>
            <w:pPr>
              <w:pStyle w:val="27"/>
            </w:pPr>
            <w:r>
              <w:t>油气集输</w:t>
            </w:r>
          </w:p>
        </w:tc>
        <w:tc>
          <w:tcPr>
            <w:tcW w:w="424" w:type="pct"/>
            <w:shd w:val="clear" w:color="auto" w:fill="auto"/>
            <w:vAlign w:val="center"/>
          </w:tcPr>
          <w:p>
            <w:pPr>
              <w:pStyle w:val="27"/>
            </w:pPr>
            <w:r>
              <w:t>站场</w:t>
            </w:r>
          </w:p>
        </w:tc>
        <w:tc>
          <w:tcPr>
            <w:tcW w:w="634" w:type="pct"/>
            <w:shd w:val="clear" w:color="auto" w:fill="auto"/>
            <w:vAlign w:val="center"/>
          </w:tcPr>
          <w:p>
            <w:pPr>
              <w:pStyle w:val="27"/>
            </w:pPr>
            <w:r>
              <w:t>道路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restart"/>
            <w:shd w:val="clear" w:color="auto" w:fill="auto"/>
            <w:vAlign w:val="center"/>
          </w:tcPr>
          <w:p>
            <w:pPr>
              <w:pStyle w:val="27"/>
            </w:pPr>
            <w:r>
              <w:t>建设期</w:t>
            </w:r>
          </w:p>
        </w:tc>
        <w:tc>
          <w:tcPr>
            <w:tcW w:w="780" w:type="pct"/>
            <w:shd w:val="clear" w:color="auto" w:fill="auto"/>
            <w:vAlign w:val="center"/>
          </w:tcPr>
          <w:p>
            <w:pPr>
              <w:pStyle w:val="27"/>
            </w:pPr>
            <w:r>
              <w:t>环境空气</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r>
              <w:t>—</w:t>
            </w:r>
          </w:p>
        </w:tc>
        <w:tc>
          <w:tcPr>
            <w:tcW w:w="634" w:type="pct"/>
            <w:shd w:val="clear" w:color="auto" w:fill="auto"/>
            <w:vAlign w:val="center"/>
          </w:tcPr>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地表水</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地下水</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环境噪声</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r>
              <w:t>—</w:t>
            </w: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土壤</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植被</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r>
              <w:t>——</w:t>
            </w:r>
          </w:p>
        </w:tc>
        <w:tc>
          <w:tcPr>
            <w:tcW w:w="634" w:type="pct"/>
            <w:shd w:val="clear" w:color="auto" w:fill="auto"/>
            <w:vAlign w:val="center"/>
          </w:tcPr>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固体废物</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564" w:type="pct"/>
            <w:shd w:val="clear" w:color="auto" w:fill="auto"/>
            <w:vAlign w:val="center"/>
          </w:tcPr>
          <w:p>
            <w:pPr>
              <w:pStyle w:val="27"/>
            </w:pP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restart"/>
            <w:shd w:val="clear" w:color="auto" w:fill="auto"/>
            <w:vAlign w:val="center"/>
          </w:tcPr>
          <w:p>
            <w:pPr>
              <w:pStyle w:val="27"/>
            </w:pPr>
            <w:r>
              <w:t>生产期</w:t>
            </w:r>
          </w:p>
        </w:tc>
        <w:tc>
          <w:tcPr>
            <w:tcW w:w="780" w:type="pct"/>
            <w:shd w:val="clear" w:color="auto" w:fill="auto"/>
            <w:vAlign w:val="center"/>
          </w:tcPr>
          <w:p>
            <w:pPr>
              <w:pStyle w:val="27"/>
            </w:pPr>
            <w:r>
              <w:t>环境空气</w:t>
            </w:r>
          </w:p>
        </w:tc>
        <w:tc>
          <w:tcPr>
            <w:tcW w:w="564" w:type="pct"/>
            <w:shd w:val="clear" w:color="auto" w:fill="auto"/>
            <w:vAlign w:val="center"/>
          </w:tcPr>
          <w:p>
            <w:pPr>
              <w:pStyle w:val="27"/>
            </w:pP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r>
              <w:t>—</w:t>
            </w: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地表水</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地下水</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环境噪声</w:t>
            </w:r>
          </w:p>
        </w:tc>
        <w:tc>
          <w:tcPr>
            <w:tcW w:w="564" w:type="pct"/>
            <w:shd w:val="clear" w:color="auto" w:fill="auto"/>
            <w:vAlign w:val="center"/>
          </w:tcPr>
          <w:p>
            <w:pPr>
              <w:pStyle w:val="27"/>
            </w:pP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土壤</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植被</w:t>
            </w:r>
          </w:p>
        </w:tc>
        <w:tc>
          <w:tcPr>
            <w:tcW w:w="564" w:type="pct"/>
            <w:shd w:val="clear" w:color="auto" w:fill="auto"/>
            <w:vAlign w:val="center"/>
          </w:tcPr>
          <w:p>
            <w:pPr>
              <w:pStyle w:val="27"/>
            </w:pP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r>
              <w:t>—</w:t>
            </w: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固体废物</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restart"/>
            <w:shd w:val="clear" w:color="auto" w:fill="auto"/>
            <w:vAlign w:val="center"/>
          </w:tcPr>
          <w:p>
            <w:pPr>
              <w:pStyle w:val="27"/>
            </w:pPr>
            <w:r>
              <w:t>闭井期</w:t>
            </w:r>
          </w:p>
        </w:tc>
        <w:tc>
          <w:tcPr>
            <w:tcW w:w="780" w:type="pct"/>
            <w:shd w:val="clear" w:color="auto" w:fill="auto"/>
            <w:vAlign w:val="center"/>
          </w:tcPr>
          <w:p>
            <w:pPr>
              <w:pStyle w:val="27"/>
            </w:pPr>
            <w:r>
              <w:t>环境空气</w:t>
            </w:r>
          </w:p>
        </w:tc>
        <w:tc>
          <w:tcPr>
            <w:tcW w:w="564" w:type="pct"/>
            <w:shd w:val="clear" w:color="auto" w:fill="auto"/>
            <w:vAlign w:val="center"/>
          </w:tcPr>
          <w:p>
            <w:pPr>
              <w:pStyle w:val="27"/>
            </w:pP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地表水</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地下水</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环境噪声</w:t>
            </w:r>
          </w:p>
        </w:tc>
        <w:tc>
          <w:tcPr>
            <w:tcW w:w="564" w:type="pct"/>
            <w:shd w:val="clear" w:color="auto" w:fill="auto"/>
            <w:vAlign w:val="center"/>
          </w:tcPr>
          <w:p>
            <w:pPr>
              <w:pStyle w:val="27"/>
            </w:pPr>
          </w:p>
        </w:tc>
        <w:tc>
          <w:tcPr>
            <w:tcW w:w="704" w:type="pct"/>
            <w:shd w:val="clear" w:color="auto" w:fill="auto"/>
            <w:vAlign w:val="center"/>
          </w:tcPr>
          <w:p>
            <w:pPr>
              <w:pStyle w:val="27"/>
            </w:pPr>
            <w:r>
              <w:t>－</w:t>
            </w: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土壤</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植被</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r>
              <w:t>－</w:t>
            </w:r>
          </w:p>
        </w:tc>
        <w:tc>
          <w:tcPr>
            <w:tcW w:w="424" w:type="pct"/>
            <w:shd w:val="clear" w:color="auto" w:fill="auto"/>
            <w:vAlign w:val="center"/>
          </w:tcPr>
          <w:p>
            <w:pPr>
              <w:pStyle w:val="27"/>
            </w:pPr>
          </w:p>
        </w:tc>
        <w:tc>
          <w:tcPr>
            <w:tcW w:w="634" w:type="pct"/>
            <w:shd w:val="clear" w:color="auto" w:fill="auto"/>
            <w:vAlign w:val="center"/>
          </w:tcPr>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25" w:type="pct"/>
            <w:vMerge w:val="continue"/>
            <w:shd w:val="clear" w:color="auto" w:fill="auto"/>
            <w:vAlign w:val="center"/>
          </w:tcPr>
          <w:p>
            <w:pPr>
              <w:pStyle w:val="27"/>
            </w:pPr>
          </w:p>
        </w:tc>
        <w:tc>
          <w:tcPr>
            <w:tcW w:w="780" w:type="pct"/>
            <w:shd w:val="clear" w:color="auto" w:fill="auto"/>
            <w:vAlign w:val="center"/>
          </w:tcPr>
          <w:p>
            <w:pPr>
              <w:pStyle w:val="27"/>
            </w:pPr>
            <w:r>
              <w:t>固体废物</w:t>
            </w:r>
          </w:p>
        </w:tc>
        <w:tc>
          <w:tcPr>
            <w:tcW w:w="564" w:type="pct"/>
            <w:shd w:val="clear" w:color="auto" w:fill="auto"/>
            <w:vAlign w:val="center"/>
          </w:tcPr>
          <w:p>
            <w:pPr>
              <w:pStyle w:val="27"/>
            </w:pPr>
          </w:p>
        </w:tc>
        <w:tc>
          <w:tcPr>
            <w:tcW w:w="704" w:type="pct"/>
            <w:shd w:val="clear" w:color="auto" w:fill="auto"/>
            <w:vAlign w:val="center"/>
          </w:tcPr>
          <w:p>
            <w:pPr>
              <w:pStyle w:val="27"/>
            </w:pPr>
          </w:p>
        </w:tc>
        <w:tc>
          <w:tcPr>
            <w:tcW w:w="564" w:type="pct"/>
            <w:shd w:val="clear" w:color="auto" w:fill="auto"/>
            <w:vAlign w:val="center"/>
          </w:tcPr>
          <w:p>
            <w:pPr>
              <w:pStyle w:val="27"/>
            </w:pPr>
            <w:r>
              <w:t>－</w:t>
            </w:r>
          </w:p>
        </w:tc>
        <w:tc>
          <w:tcPr>
            <w:tcW w:w="704" w:type="pct"/>
            <w:shd w:val="clear" w:color="auto" w:fill="auto"/>
            <w:vAlign w:val="center"/>
          </w:tcPr>
          <w:p>
            <w:pPr>
              <w:pStyle w:val="27"/>
            </w:pPr>
          </w:p>
        </w:tc>
        <w:tc>
          <w:tcPr>
            <w:tcW w:w="424" w:type="pct"/>
            <w:shd w:val="clear" w:color="auto" w:fill="auto"/>
            <w:vAlign w:val="center"/>
          </w:tcPr>
          <w:p>
            <w:pPr>
              <w:pStyle w:val="27"/>
            </w:pPr>
          </w:p>
        </w:tc>
        <w:tc>
          <w:tcPr>
            <w:tcW w:w="634" w:type="pct"/>
            <w:shd w:val="clear" w:color="auto" w:fill="auto"/>
            <w:vAlign w:val="center"/>
          </w:tcPr>
          <w:p>
            <w:pPr>
              <w:pStyle w:val="27"/>
            </w:pPr>
          </w:p>
        </w:tc>
      </w:tr>
    </w:tbl>
    <w:p>
      <w:pPr>
        <w:adjustRightInd w:val="0"/>
        <w:snapToGrid w:val="0"/>
        <w:ind w:firstLine="361"/>
        <w:rPr>
          <w:rFonts w:ascii="Times New Roman" w:hAnsi="Times New Roman"/>
          <w:b/>
          <w:sz w:val="18"/>
        </w:rPr>
      </w:pPr>
      <w:r>
        <w:rPr>
          <w:rFonts w:ascii="Times New Roman" w:hAnsi="Times New Roman"/>
          <w:b/>
          <w:sz w:val="18"/>
        </w:rPr>
        <w:t>注：表中“</w:t>
      </w:r>
      <w:r>
        <w:rPr>
          <w:rFonts w:ascii="Times New Roman" w:hAnsi="Times New Roman"/>
          <w:b/>
          <w:bCs/>
        </w:rPr>
        <w:t>－</w:t>
      </w:r>
      <w:r>
        <w:rPr>
          <w:rFonts w:ascii="Times New Roman" w:hAnsi="Times New Roman"/>
          <w:b/>
          <w:sz w:val="18"/>
        </w:rPr>
        <w:t>”代表对环境的负影响及影响程度；“</w:t>
      </w:r>
      <w:r>
        <w:rPr>
          <w:rFonts w:ascii="Times New Roman" w:hAnsi="Times New Roman"/>
          <w:b/>
        </w:rPr>
        <w:t>*</w:t>
      </w:r>
      <w:r>
        <w:rPr>
          <w:rFonts w:ascii="Times New Roman" w:hAnsi="Times New Roman"/>
          <w:b/>
          <w:sz w:val="18"/>
        </w:rPr>
        <w:t>”代表事故状态下的环境影响</w:t>
      </w:r>
    </w:p>
    <w:p>
      <w:pPr>
        <w:ind w:firstLine="480"/>
        <w:rPr>
          <w:rFonts w:ascii="Times New Roman"/>
          <w:szCs w:val="24"/>
        </w:rPr>
      </w:pPr>
      <w:r>
        <w:rPr>
          <w:rFonts w:ascii="Times New Roman" w:hAnsi="Times New Roman"/>
        </w:rPr>
        <w:t>由上表可知，</w:t>
      </w:r>
      <w:r>
        <w:rPr>
          <w:rFonts w:hint="eastAsia" w:ascii="Times New Roman" w:hAnsi="Times New Roman"/>
        </w:rPr>
        <w:t>煤成气</w:t>
      </w:r>
      <w:r>
        <w:rPr>
          <w:rFonts w:ascii="Times New Roman" w:hAnsi="Times New Roman"/>
        </w:rPr>
        <w:t>开发在建设期和生产运营期对环境的影响多半为负面影响，闭井期虽然对环境仍有不利的方面，但相对于开发期和运营期对环境的影响周围环境影响明显下降。</w:t>
      </w:r>
    </w:p>
    <w:p>
      <w:pPr>
        <w:ind w:firstLine="0" w:firstLineChars="0"/>
        <w:outlineLvl w:val="2"/>
        <w:rPr>
          <w:rFonts w:ascii="Times New Roman" w:hAnsi="Times New Roman"/>
          <w:b/>
          <w:sz w:val="28"/>
          <w:szCs w:val="28"/>
        </w:rPr>
      </w:pPr>
      <w:bookmarkStart w:id="21" w:name="_Toc524624556"/>
      <w:r>
        <w:rPr>
          <w:rFonts w:hint="eastAsia" w:ascii="Times New Roman" w:hAnsi="Times New Roman"/>
          <w:b/>
          <w:sz w:val="28"/>
          <w:szCs w:val="28"/>
        </w:rPr>
        <w:t>2.3.2 评价因子筛选</w:t>
      </w:r>
      <w:bookmarkEnd w:id="21"/>
    </w:p>
    <w:p>
      <w:pPr>
        <w:ind w:firstLine="480"/>
        <w:rPr>
          <w:rFonts w:ascii="Times New Roman" w:hAnsi="Times New Roman"/>
        </w:rPr>
      </w:pPr>
      <w:r>
        <w:rPr>
          <w:rFonts w:ascii="Times New Roman" w:hAnsi="Times New Roman"/>
        </w:rPr>
        <w:t>根据环境影响因素识别矩阵结果，结合考虑项目各污染物对环境影响程度，建立评价因子筛选矩阵，以确定本评价各环境要素的评价因子，结果见表</w:t>
      </w:r>
      <w:r>
        <w:rPr>
          <w:rFonts w:hint="eastAsia" w:ascii="Times New Roman" w:hAnsi="Times New Roman"/>
        </w:rPr>
        <w:t>1.4-2</w:t>
      </w:r>
      <w:r>
        <w:rPr>
          <w:rFonts w:ascii="Times New Roman" w:hAnsi="Times New Roman"/>
        </w:rPr>
        <w:t>。</w:t>
      </w:r>
    </w:p>
    <w:p>
      <w:pPr>
        <w:pStyle w:val="27"/>
      </w:pPr>
      <w:r>
        <w:t>表1.4-2评价因子一览表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443"/>
        <w:gridCol w:w="1361"/>
        <w:gridCol w:w="5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pct"/>
            <w:gridSpan w:val="2"/>
            <w:tcMar>
              <w:left w:w="0" w:type="dxa"/>
              <w:right w:w="0" w:type="dxa"/>
            </w:tcMar>
            <w:vAlign w:val="center"/>
          </w:tcPr>
          <w:p>
            <w:pPr>
              <w:pStyle w:val="27"/>
            </w:pPr>
            <w:r>
              <w:t>序号</w:t>
            </w:r>
          </w:p>
        </w:tc>
        <w:tc>
          <w:tcPr>
            <w:tcW w:w="818" w:type="pct"/>
            <w:tcMar>
              <w:left w:w="0" w:type="dxa"/>
              <w:right w:w="0" w:type="dxa"/>
            </w:tcMar>
            <w:vAlign w:val="center"/>
          </w:tcPr>
          <w:p>
            <w:pPr>
              <w:pStyle w:val="27"/>
            </w:pPr>
            <w:r>
              <w:t>评价内容</w:t>
            </w:r>
          </w:p>
        </w:tc>
        <w:tc>
          <w:tcPr>
            <w:tcW w:w="3527" w:type="pct"/>
            <w:tcMar>
              <w:left w:w="0" w:type="dxa"/>
              <w:right w:w="0" w:type="dxa"/>
            </w:tcMar>
            <w:vAlign w:val="center"/>
          </w:tcPr>
          <w:p>
            <w:pPr>
              <w:pStyle w:val="27"/>
            </w:pPr>
            <w:r>
              <w:t>评价因子名称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vMerge w:val="restart"/>
            <w:tcMar>
              <w:left w:w="0" w:type="dxa"/>
              <w:right w:w="0" w:type="dxa"/>
            </w:tcMar>
            <w:vAlign w:val="center"/>
          </w:tcPr>
          <w:p>
            <w:pPr>
              <w:pStyle w:val="27"/>
            </w:pPr>
            <w:r>
              <w:t>现状评价因子</w:t>
            </w:r>
          </w:p>
        </w:tc>
        <w:tc>
          <w:tcPr>
            <w:tcW w:w="266" w:type="pct"/>
            <w:tcMar>
              <w:left w:w="0" w:type="dxa"/>
              <w:right w:w="0" w:type="dxa"/>
            </w:tcMar>
            <w:vAlign w:val="center"/>
          </w:tcPr>
          <w:p>
            <w:pPr>
              <w:pStyle w:val="27"/>
            </w:pPr>
            <w:r>
              <w:t>1</w:t>
            </w:r>
          </w:p>
        </w:tc>
        <w:tc>
          <w:tcPr>
            <w:tcW w:w="818" w:type="pct"/>
            <w:tcMar>
              <w:left w:w="0" w:type="dxa"/>
              <w:right w:w="0" w:type="dxa"/>
            </w:tcMar>
            <w:vAlign w:val="center"/>
          </w:tcPr>
          <w:p>
            <w:pPr>
              <w:pStyle w:val="27"/>
            </w:pPr>
            <w:r>
              <w:t>环境空气</w:t>
            </w:r>
          </w:p>
        </w:tc>
        <w:tc>
          <w:tcPr>
            <w:tcW w:w="3527" w:type="pct"/>
            <w:tcMar>
              <w:left w:w="0" w:type="dxa"/>
              <w:right w:w="0" w:type="dxa"/>
            </w:tcMar>
            <w:vAlign w:val="center"/>
          </w:tcPr>
          <w:p>
            <w:pPr>
              <w:pStyle w:val="27"/>
            </w:pPr>
            <w:r>
              <w:t>NO</w:t>
            </w:r>
            <w:r>
              <w:rPr>
                <w:vertAlign w:val="subscript"/>
              </w:rPr>
              <w:t>2</w:t>
            </w:r>
            <w:r>
              <w:t>、SO</w:t>
            </w:r>
            <w:r>
              <w:rPr>
                <w:vertAlign w:val="subscript"/>
              </w:rPr>
              <w:t>2</w:t>
            </w:r>
            <w:r>
              <w:t>、TSP、PM</w:t>
            </w:r>
            <w:r>
              <w:rPr>
                <w:vertAlign w:val="subscript"/>
              </w:rPr>
              <w:t>10</w:t>
            </w:r>
            <w: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2</w:t>
            </w:r>
          </w:p>
        </w:tc>
        <w:tc>
          <w:tcPr>
            <w:tcW w:w="818" w:type="pct"/>
            <w:tcMar>
              <w:left w:w="0" w:type="dxa"/>
              <w:right w:w="0" w:type="dxa"/>
            </w:tcMar>
            <w:vAlign w:val="center"/>
          </w:tcPr>
          <w:p>
            <w:pPr>
              <w:pStyle w:val="27"/>
              <w:rPr>
                <w:highlight w:val="yellow"/>
              </w:rPr>
            </w:pPr>
            <w:r>
              <w:t>地下水</w:t>
            </w:r>
          </w:p>
        </w:tc>
        <w:tc>
          <w:tcPr>
            <w:tcW w:w="3527" w:type="pct"/>
            <w:tcMar>
              <w:left w:w="0" w:type="dxa"/>
              <w:right w:w="0" w:type="dxa"/>
            </w:tcMar>
            <w:vAlign w:val="center"/>
          </w:tcPr>
          <w:p>
            <w:pPr>
              <w:pStyle w:val="27"/>
              <w:rPr>
                <w:highlight w:val="yellow"/>
              </w:rPr>
            </w:pPr>
            <w:r>
              <w:rPr>
                <w:rFonts w:hint="eastAsia"/>
              </w:rPr>
              <w:t>pH值、氨氮、硝酸盐、亚硝酸盐、挥发性酚类、氰化物、砷、汞、镉、铬（六价）、总硬度、铅、氟化物、铁、锰、溶解性总固体、高锰酸盐指数、硫酸盐、氯化物、碘化物、石油类、总大肠杆菌群、细菌总数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3</w:t>
            </w:r>
          </w:p>
        </w:tc>
        <w:tc>
          <w:tcPr>
            <w:tcW w:w="818" w:type="pct"/>
            <w:tcMar>
              <w:left w:w="0" w:type="dxa"/>
              <w:right w:w="0" w:type="dxa"/>
            </w:tcMar>
            <w:vAlign w:val="center"/>
          </w:tcPr>
          <w:p>
            <w:pPr>
              <w:pStyle w:val="27"/>
            </w:pPr>
            <w:r>
              <w:t>土壤</w:t>
            </w:r>
          </w:p>
        </w:tc>
        <w:tc>
          <w:tcPr>
            <w:tcW w:w="3527" w:type="pct"/>
            <w:tcMar>
              <w:left w:w="0" w:type="dxa"/>
              <w:right w:w="0" w:type="dxa"/>
            </w:tcMar>
            <w:vAlign w:val="center"/>
          </w:tcPr>
          <w:p>
            <w:pPr>
              <w:pStyle w:val="27"/>
            </w:pPr>
            <w:r>
              <w:t>pH、石油类、六价铬、铅、汞、砷、镉、氟化物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4</w:t>
            </w:r>
          </w:p>
        </w:tc>
        <w:tc>
          <w:tcPr>
            <w:tcW w:w="818" w:type="pct"/>
            <w:tcMar>
              <w:left w:w="0" w:type="dxa"/>
              <w:right w:w="0" w:type="dxa"/>
            </w:tcMar>
            <w:vAlign w:val="center"/>
          </w:tcPr>
          <w:p>
            <w:pPr>
              <w:pStyle w:val="27"/>
            </w:pPr>
            <w:r>
              <w:t>噪声</w:t>
            </w:r>
          </w:p>
        </w:tc>
        <w:tc>
          <w:tcPr>
            <w:tcW w:w="3527" w:type="pct"/>
            <w:tcMar>
              <w:left w:w="0" w:type="dxa"/>
              <w:right w:w="0" w:type="dxa"/>
            </w:tcMar>
            <w:vAlign w:val="center"/>
          </w:tcPr>
          <w:p>
            <w:pPr>
              <w:pStyle w:val="27"/>
            </w:pPr>
            <w:r>
              <w:t>厂界环境噪声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5</w:t>
            </w:r>
          </w:p>
        </w:tc>
        <w:tc>
          <w:tcPr>
            <w:tcW w:w="818" w:type="pct"/>
            <w:tcMar>
              <w:left w:w="0" w:type="dxa"/>
              <w:right w:w="0" w:type="dxa"/>
            </w:tcMar>
            <w:vAlign w:val="center"/>
          </w:tcPr>
          <w:p>
            <w:pPr>
              <w:pStyle w:val="27"/>
            </w:pPr>
            <w:r>
              <w:t>生态</w:t>
            </w:r>
          </w:p>
        </w:tc>
        <w:tc>
          <w:tcPr>
            <w:tcW w:w="3527" w:type="pct"/>
            <w:tcMar>
              <w:left w:w="0" w:type="dxa"/>
              <w:right w:w="0" w:type="dxa"/>
            </w:tcMar>
            <w:vAlign w:val="center"/>
          </w:tcPr>
          <w:p>
            <w:pPr>
              <w:pStyle w:val="27"/>
            </w:pPr>
            <w:r>
              <w:t>植被类型的构成、分布、面积、生物量及群种、优势种群；土壤类型、特征、组成和分布，土地利用状况、土壤退化状况等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Mar>
              <w:left w:w="0" w:type="dxa"/>
              <w:right w:w="0" w:type="dxa"/>
            </w:tcMar>
            <w:vAlign w:val="center"/>
          </w:tcPr>
          <w:p>
            <w:pPr>
              <w:pStyle w:val="27"/>
            </w:pPr>
            <w:r>
              <w:t>影响预测因子</w:t>
            </w:r>
          </w:p>
        </w:tc>
        <w:tc>
          <w:tcPr>
            <w:tcW w:w="266" w:type="pct"/>
            <w:tcMar>
              <w:left w:w="0" w:type="dxa"/>
              <w:right w:w="0" w:type="dxa"/>
            </w:tcMar>
            <w:vAlign w:val="center"/>
          </w:tcPr>
          <w:p>
            <w:pPr>
              <w:pStyle w:val="27"/>
            </w:pPr>
            <w:r>
              <w:t>1</w:t>
            </w:r>
          </w:p>
        </w:tc>
        <w:tc>
          <w:tcPr>
            <w:tcW w:w="818" w:type="pct"/>
            <w:tcMar>
              <w:left w:w="0" w:type="dxa"/>
              <w:right w:w="0" w:type="dxa"/>
            </w:tcMar>
            <w:vAlign w:val="center"/>
          </w:tcPr>
          <w:p>
            <w:pPr>
              <w:pStyle w:val="27"/>
            </w:pPr>
            <w:r>
              <w:t>环境空气</w:t>
            </w:r>
          </w:p>
        </w:tc>
        <w:tc>
          <w:tcPr>
            <w:tcW w:w="3527" w:type="pct"/>
            <w:tcMar>
              <w:left w:w="0" w:type="dxa"/>
              <w:right w:w="0" w:type="dxa"/>
            </w:tcMar>
            <w:vAlign w:val="center"/>
          </w:tcPr>
          <w:p>
            <w:pPr>
              <w:pStyle w:val="27"/>
            </w:pPr>
            <w:r>
              <w:rPr>
                <w:rFonts w:hint="eastAsia"/>
              </w:rPr>
              <w:t>NO</w:t>
            </w:r>
            <w:r>
              <w:rPr>
                <w:rFonts w:hint="eastAsia"/>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2</w:t>
            </w:r>
          </w:p>
        </w:tc>
        <w:tc>
          <w:tcPr>
            <w:tcW w:w="818" w:type="pct"/>
            <w:tcMar>
              <w:left w:w="0" w:type="dxa"/>
              <w:right w:w="0" w:type="dxa"/>
            </w:tcMar>
            <w:vAlign w:val="center"/>
          </w:tcPr>
          <w:p>
            <w:pPr>
              <w:pStyle w:val="27"/>
            </w:pPr>
            <w:r>
              <w:t>地下水</w:t>
            </w:r>
          </w:p>
        </w:tc>
        <w:tc>
          <w:tcPr>
            <w:tcW w:w="3527" w:type="pct"/>
            <w:tcMar>
              <w:left w:w="0" w:type="dxa"/>
              <w:right w:w="0" w:type="dxa"/>
            </w:tcMar>
            <w:vAlign w:val="center"/>
          </w:tcPr>
          <w:p>
            <w:pPr>
              <w:pStyle w:val="27"/>
            </w:pPr>
            <w: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Mar>
              <w:left w:w="0" w:type="dxa"/>
              <w:right w:w="0" w:type="dxa"/>
            </w:tcMar>
            <w:vAlign w:val="center"/>
          </w:tcPr>
          <w:p>
            <w:pPr>
              <w:pStyle w:val="27"/>
            </w:pPr>
          </w:p>
        </w:tc>
        <w:tc>
          <w:tcPr>
            <w:tcW w:w="266" w:type="pct"/>
            <w:tcMar>
              <w:left w:w="0" w:type="dxa"/>
              <w:right w:w="0" w:type="dxa"/>
            </w:tcMar>
            <w:vAlign w:val="center"/>
          </w:tcPr>
          <w:p>
            <w:pPr>
              <w:pStyle w:val="27"/>
            </w:pPr>
            <w:r>
              <w:t>3</w:t>
            </w:r>
          </w:p>
        </w:tc>
        <w:tc>
          <w:tcPr>
            <w:tcW w:w="818" w:type="pct"/>
            <w:tcMar>
              <w:left w:w="0" w:type="dxa"/>
              <w:right w:w="0" w:type="dxa"/>
            </w:tcMar>
            <w:vAlign w:val="center"/>
          </w:tcPr>
          <w:p>
            <w:pPr>
              <w:pStyle w:val="27"/>
            </w:pPr>
            <w:r>
              <w:rPr>
                <w:rFonts w:hint="eastAsia"/>
              </w:rPr>
              <w:t>声环境</w:t>
            </w:r>
          </w:p>
        </w:tc>
        <w:tc>
          <w:tcPr>
            <w:tcW w:w="3527" w:type="pct"/>
            <w:tcMar>
              <w:left w:w="0" w:type="dxa"/>
              <w:right w:w="0" w:type="dxa"/>
            </w:tcMar>
            <w:vAlign w:val="center"/>
          </w:tcPr>
          <w:p>
            <w:pPr>
              <w:pStyle w:val="27"/>
            </w:pPr>
            <w:r>
              <w:rPr>
                <w:rFonts w:hint="eastAsia"/>
              </w:rPr>
              <w:t>连续等效A升级</w:t>
            </w:r>
          </w:p>
        </w:tc>
      </w:tr>
    </w:tbl>
    <w:p>
      <w:pPr>
        <w:spacing w:before="156" w:beforeLines="50" w:after="156" w:afterLines="50"/>
        <w:ind w:firstLine="0" w:firstLineChars="0"/>
        <w:outlineLvl w:val="1"/>
        <w:rPr>
          <w:rFonts w:ascii="Times New Roman" w:hAnsi="Times New Roman"/>
          <w:b/>
          <w:sz w:val="30"/>
          <w:szCs w:val="30"/>
        </w:rPr>
      </w:pPr>
      <w:bookmarkStart w:id="22" w:name="_Toc524624557"/>
      <w:r>
        <w:rPr>
          <w:rFonts w:hint="eastAsia" w:ascii="Times New Roman" w:hAnsi="Times New Roman"/>
          <w:b/>
          <w:sz w:val="30"/>
          <w:szCs w:val="30"/>
        </w:rPr>
        <w:t>2.4环境功能区划及评价标准</w:t>
      </w:r>
      <w:bookmarkEnd w:id="22"/>
    </w:p>
    <w:p>
      <w:pPr>
        <w:ind w:firstLine="0" w:firstLineChars="0"/>
        <w:outlineLvl w:val="2"/>
        <w:rPr>
          <w:rFonts w:ascii="Times New Roman" w:hAnsi="Times New Roman"/>
          <w:b/>
          <w:sz w:val="28"/>
          <w:szCs w:val="28"/>
        </w:rPr>
      </w:pPr>
      <w:bookmarkStart w:id="23" w:name="_Toc524624558"/>
      <w:r>
        <w:rPr>
          <w:rFonts w:hint="eastAsia" w:ascii="Times New Roman" w:hAnsi="Times New Roman"/>
          <w:b/>
          <w:sz w:val="28"/>
          <w:szCs w:val="28"/>
        </w:rPr>
        <w:t>2.4.1 环境功能区划</w:t>
      </w:r>
      <w:bookmarkEnd w:id="23"/>
    </w:p>
    <w:p>
      <w:pPr>
        <w:ind w:firstLine="482"/>
        <w:rPr>
          <w:rFonts w:ascii="Times New Roman" w:hAnsi="Times New Roman"/>
        </w:rPr>
      </w:pPr>
      <w:r>
        <w:rPr>
          <w:rFonts w:ascii="Times New Roman"/>
          <w:b/>
        </w:rPr>
        <w:t>生态环境：</w:t>
      </w:r>
      <w:r>
        <w:rPr>
          <w:rFonts w:ascii="Times New Roman"/>
        </w:rPr>
        <w:t>根据《兴县生态功能区划》，本项目位于</w:t>
      </w:r>
      <w:r>
        <w:rPr>
          <w:rFonts w:ascii="Times New Roman" w:hAnsi="宋体"/>
        </w:rPr>
        <w:t>Ⅱ</w:t>
      </w:r>
      <w:r>
        <w:rPr>
          <w:rFonts w:ascii="Times New Roman" w:hAnsi="Times New Roman"/>
        </w:rPr>
        <w:t>A</w:t>
      </w:r>
      <w:r>
        <w:rPr>
          <w:rFonts w:ascii="Times New Roman" w:hAnsi="宋体"/>
        </w:rPr>
        <w:t>兴县西南部低山丘陵土壤保持生态功能小区。</w:t>
      </w:r>
      <w:r>
        <w:rPr>
          <w:rFonts w:ascii="Times New Roman"/>
        </w:rPr>
        <w:t>根据《兴县生态经济区划》，本项目部分位于</w:t>
      </w:r>
      <w:r>
        <w:rPr>
          <w:rFonts w:ascii="Times New Roman" w:hAnsi="宋体"/>
        </w:rPr>
        <w:t>Ⅳ</w:t>
      </w:r>
      <w:r>
        <w:rPr>
          <w:rFonts w:ascii="Times New Roman" w:hAnsi="Times New Roman"/>
        </w:rPr>
        <w:t>B-1</w:t>
      </w:r>
      <w:r>
        <w:rPr>
          <w:rFonts w:ascii="Times New Roman"/>
        </w:rPr>
        <w:t>兴县西南部高效农牧业生产及农副产品加工生态经济区，少部分位于</w:t>
      </w:r>
      <w:r>
        <w:rPr>
          <w:rFonts w:ascii="Times New Roman" w:hAnsi="宋体"/>
        </w:rPr>
        <w:t>Ⅱ</w:t>
      </w:r>
      <w:r>
        <w:rPr>
          <w:rFonts w:ascii="Times New Roman" w:hAnsi="Times New Roman"/>
        </w:rPr>
        <w:t>B-1</w:t>
      </w:r>
      <w:r>
        <w:rPr>
          <w:rFonts w:ascii="Times New Roman"/>
        </w:rPr>
        <w:t>兴县西南部高效农副产品发展生态经济区。</w:t>
      </w:r>
    </w:p>
    <w:p>
      <w:pPr>
        <w:ind w:firstLine="482"/>
        <w:rPr>
          <w:rFonts w:ascii="Times New Roman" w:hAnsi="Times New Roman"/>
        </w:rPr>
      </w:pPr>
      <w:r>
        <w:rPr>
          <w:rFonts w:ascii="Times New Roman"/>
          <w:b/>
        </w:rPr>
        <w:t>环境空气：</w:t>
      </w:r>
      <w:r>
        <w:rPr>
          <w:rFonts w:ascii="Times New Roman"/>
        </w:rPr>
        <w:t>本项目所在地为农村地区，属《环境空气质量标准》（</w:t>
      </w:r>
      <w:r>
        <w:rPr>
          <w:rFonts w:ascii="Times New Roman" w:hAnsi="Times New Roman"/>
        </w:rPr>
        <w:t>GB3095-2012</w:t>
      </w:r>
      <w:r>
        <w:rPr>
          <w:rFonts w:ascii="Times New Roman"/>
        </w:rPr>
        <w:t>）中二类功能区。</w:t>
      </w:r>
    </w:p>
    <w:p>
      <w:pPr>
        <w:ind w:firstLine="482"/>
        <w:rPr>
          <w:rFonts w:ascii="Times New Roman" w:hAnsi="Times New Roman"/>
        </w:rPr>
      </w:pPr>
      <w:r>
        <w:rPr>
          <w:rFonts w:ascii="Times New Roman"/>
          <w:b/>
        </w:rPr>
        <w:t>地表水环境：</w:t>
      </w:r>
      <w:r>
        <w:rPr>
          <w:rFonts w:ascii="Times New Roman"/>
          <w:bCs/>
        </w:rPr>
        <w:t>本项目所在地主要河流为</w:t>
      </w:r>
      <w:r>
        <w:rPr>
          <w:bCs/>
          <w:szCs w:val="24"/>
        </w:rPr>
        <w:t>赵家坪沟及其支流</w:t>
      </w:r>
      <w:r>
        <w:rPr>
          <w:rFonts w:ascii="Times New Roman"/>
          <w:bCs/>
        </w:rPr>
        <w:t>，</w:t>
      </w:r>
      <w:r>
        <w:rPr>
          <w:rFonts w:ascii="Times New Roman"/>
        </w:rPr>
        <w:t>根据《山西省地表水水环境功能区划》（</w:t>
      </w:r>
      <w:r>
        <w:rPr>
          <w:rFonts w:ascii="Times New Roman" w:hAnsi="Times New Roman"/>
        </w:rPr>
        <w:t>DB14/67-2014</w:t>
      </w:r>
      <w:r>
        <w:rPr>
          <w:rFonts w:ascii="Times New Roman"/>
        </w:rPr>
        <w:t>）</w:t>
      </w:r>
      <w:r>
        <w:rPr>
          <w:szCs w:val="24"/>
        </w:rPr>
        <w:t>中的黄河偏关-吴堡沿黄西北部各支流水环境功能区划图，</w:t>
      </w:r>
      <w:r>
        <w:rPr>
          <w:rFonts w:hint="eastAsia"/>
          <w:szCs w:val="24"/>
        </w:rPr>
        <w:t>赵家坪沟水环境功能为工业用水保护区，水质目标为</w:t>
      </w:r>
      <w:r>
        <w:rPr>
          <w:szCs w:val="24"/>
        </w:rPr>
        <w:t>Ⅳ类</w:t>
      </w:r>
      <w:r>
        <w:rPr>
          <w:rFonts w:ascii="Times New Roman" w:hAnsi="Times New Roman"/>
        </w:rPr>
        <w:t>。</w:t>
      </w:r>
    </w:p>
    <w:p>
      <w:pPr>
        <w:ind w:firstLine="482"/>
        <w:rPr>
          <w:rFonts w:ascii="Times New Roman" w:hAnsi="Times New Roman"/>
        </w:rPr>
      </w:pPr>
      <w:r>
        <w:rPr>
          <w:rFonts w:ascii="Times New Roman"/>
          <w:b/>
        </w:rPr>
        <w:t>地下水环境：</w:t>
      </w:r>
      <w:r>
        <w:rPr>
          <w:rFonts w:ascii="Times New Roman"/>
        </w:rPr>
        <w:t>按照《地下水质量标准》（</w:t>
      </w:r>
      <w:r>
        <w:rPr>
          <w:rFonts w:ascii="Times New Roman" w:hAnsi="Times New Roman"/>
        </w:rPr>
        <w:t>GB/T14848-93</w:t>
      </w:r>
      <w:r>
        <w:rPr>
          <w:rFonts w:ascii="Times New Roman"/>
        </w:rPr>
        <w:t>），区域地下水为</w:t>
      </w:r>
      <w:r>
        <w:rPr>
          <w:rFonts w:ascii="Times New Roman" w:hAnsi="宋体"/>
        </w:rPr>
        <w:t>Ⅲ</w:t>
      </w:r>
      <w:r>
        <w:rPr>
          <w:rFonts w:ascii="Times New Roman"/>
        </w:rPr>
        <w:t>类水质区。</w:t>
      </w:r>
    </w:p>
    <w:p>
      <w:pPr>
        <w:ind w:firstLine="482"/>
        <w:rPr>
          <w:rFonts w:ascii="Times New Roman"/>
        </w:rPr>
      </w:pPr>
      <w:r>
        <w:rPr>
          <w:rFonts w:ascii="Times New Roman"/>
          <w:b/>
        </w:rPr>
        <w:t>声环境：</w:t>
      </w:r>
      <w:r>
        <w:rPr>
          <w:rFonts w:ascii="Times New Roman"/>
        </w:rPr>
        <w:t>本项目所在地为农村地区，声环境为《声环境质量标准》</w:t>
      </w:r>
      <w:r>
        <w:rPr>
          <w:rFonts w:ascii="Times New Roman" w:hAnsi="Times New Roman"/>
        </w:rPr>
        <w:t>1</w:t>
      </w:r>
      <w:r>
        <w:rPr>
          <w:rFonts w:ascii="Times New Roman"/>
        </w:rPr>
        <w:t>类功能区。</w:t>
      </w:r>
    </w:p>
    <w:p>
      <w:pPr>
        <w:ind w:firstLine="0" w:firstLineChars="0"/>
        <w:outlineLvl w:val="2"/>
        <w:rPr>
          <w:rFonts w:ascii="Times New Roman" w:hAnsi="Times New Roman"/>
          <w:b/>
          <w:sz w:val="28"/>
          <w:szCs w:val="28"/>
        </w:rPr>
      </w:pPr>
      <w:bookmarkStart w:id="24" w:name="_Toc524624559"/>
      <w:r>
        <w:rPr>
          <w:rFonts w:hint="eastAsia" w:ascii="Times New Roman" w:hAnsi="Times New Roman"/>
          <w:b/>
          <w:sz w:val="28"/>
          <w:szCs w:val="28"/>
        </w:rPr>
        <w:t>2.4.2 评价标准</w:t>
      </w:r>
      <w:bookmarkEnd w:id="24"/>
    </w:p>
    <w:p>
      <w:pPr>
        <w:ind w:firstLine="0" w:firstLineChars="0"/>
        <w:outlineLvl w:val="3"/>
        <w:rPr>
          <w:rFonts w:ascii="Times New Roman" w:hAnsi="Times New Roman"/>
          <w:b/>
          <w:szCs w:val="24"/>
        </w:rPr>
      </w:pPr>
      <w:r>
        <w:rPr>
          <w:rFonts w:hint="eastAsia" w:ascii="Times New Roman" w:hAnsi="Times New Roman"/>
          <w:b/>
          <w:szCs w:val="24"/>
        </w:rPr>
        <w:t>2.4.2.1 环境质量标准</w:t>
      </w:r>
    </w:p>
    <w:p>
      <w:pPr>
        <w:snapToGrid w:val="0"/>
        <w:spacing w:before="156" w:beforeLines="50"/>
        <w:ind w:firstLine="482"/>
        <w:rPr>
          <w:rFonts w:ascii="Times New Roman" w:hAnsi="Times New Roman"/>
          <w:b/>
          <w:szCs w:val="24"/>
        </w:rPr>
      </w:pPr>
      <w:r>
        <w:rPr>
          <w:rFonts w:ascii="Times New Roman" w:hAnsi="Times New Roman"/>
          <w:b/>
          <w:szCs w:val="24"/>
        </w:rPr>
        <w:t>（1）环境空气质量标准</w:t>
      </w:r>
    </w:p>
    <w:p>
      <w:pPr>
        <w:snapToGrid w:val="0"/>
        <w:ind w:firstLine="480"/>
        <w:rPr>
          <w:rFonts w:ascii="Times New Roman" w:hAnsi="Times New Roman"/>
          <w:szCs w:val="24"/>
        </w:rPr>
      </w:pPr>
      <w:r>
        <w:rPr>
          <w:rFonts w:ascii="Times New Roman" w:hAnsi="Times New Roman"/>
          <w:szCs w:val="24"/>
        </w:rPr>
        <w:t>评价区属于《环境空气质量标准》（GB3095-2012）中规定的二类区，执行二级浓度限值；非甲烷总烃执行《环境空气质量非甲烷总烃限值》（DB13/1577-2012）二级标准。</w:t>
      </w:r>
    </w:p>
    <w:p>
      <w:pPr>
        <w:spacing w:before="156" w:beforeLines="50" w:line="240" w:lineRule="auto"/>
        <w:ind w:firstLine="0" w:firstLineChars="0"/>
        <w:jc w:val="center"/>
        <w:rPr>
          <w:rFonts w:ascii="Times New Roman" w:hAnsi="Times New Roman" w:eastAsia="黑体"/>
          <w:b/>
          <w:sz w:val="21"/>
        </w:rPr>
      </w:pPr>
      <w:r>
        <w:rPr>
          <w:rFonts w:ascii="Times New Roman" w:hAnsi="Times New Roman"/>
          <w:b/>
          <w:sz w:val="21"/>
        </w:rPr>
        <w:t>表2.4-1 环境空气质量标准</w:t>
      </w:r>
    </w:p>
    <w:tbl>
      <w:tblPr>
        <w:tblStyle w:val="18"/>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394"/>
        <w:gridCol w:w="1791"/>
        <w:gridCol w:w="1791"/>
        <w:gridCol w:w="255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污染物名称</w:t>
            </w:r>
          </w:p>
        </w:tc>
        <w:tc>
          <w:tcPr>
            <w:tcW w:w="3596" w:type="pct"/>
            <w:gridSpan w:val="3"/>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取值时间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Merge w:val="continue"/>
            <w:vAlign w:val="center"/>
          </w:tcPr>
          <w:p>
            <w:pPr>
              <w:snapToGrid w:val="0"/>
              <w:spacing w:line="240" w:lineRule="auto"/>
              <w:ind w:firstLine="0" w:firstLineChars="0"/>
              <w:jc w:val="center"/>
              <w:rPr>
                <w:rFonts w:ascii="Times New Roman" w:hAnsi="Times New Roman"/>
                <w:sz w:val="21"/>
              </w:rPr>
            </w:pP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年平均</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24小时平均</w:t>
            </w:r>
          </w:p>
        </w:tc>
        <w:tc>
          <w:tcPr>
            <w:tcW w:w="1496"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1小时平均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60μg/m</w:t>
            </w:r>
            <w:r>
              <w:rPr>
                <w:rFonts w:ascii="Times New Roman" w:hAnsi="Times New Roman"/>
                <w:sz w:val="21"/>
                <w:vertAlign w:val="superscript"/>
              </w:rPr>
              <w:t>3</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150μg/m</w:t>
            </w:r>
            <w:r>
              <w:rPr>
                <w:rFonts w:ascii="Times New Roman" w:hAnsi="Times New Roman"/>
                <w:sz w:val="21"/>
                <w:vertAlign w:val="superscript"/>
              </w:rPr>
              <w:t>3</w:t>
            </w:r>
          </w:p>
        </w:tc>
        <w:tc>
          <w:tcPr>
            <w:tcW w:w="1496"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500μg/m</w:t>
            </w:r>
            <w:r>
              <w:rPr>
                <w:rFonts w:ascii="Times New Roman" w:hAnsi="Times New Roman"/>
                <w:sz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Align w:val="center"/>
          </w:tcPr>
          <w:p>
            <w:pPr>
              <w:snapToGrid w:val="0"/>
              <w:spacing w:line="240" w:lineRule="auto"/>
              <w:ind w:firstLine="0" w:firstLineChars="0"/>
              <w:jc w:val="center"/>
              <w:rPr>
                <w:rFonts w:ascii="Times New Roman" w:hAnsi="Times New Roman"/>
                <w:sz w:val="21"/>
                <w:vertAlign w:val="superscript"/>
              </w:rPr>
            </w:pPr>
            <w:r>
              <w:rPr>
                <w:rFonts w:ascii="Times New Roman" w:hAnsi="Times New Roman"/>
                <w:sz w:val="21"/>
              </w:rPr>
              <w:t>NO</w:t>
            </w:r>
            <w:r>
              <w:rPr>
                <w:rFonts w:ascii="Times New Roman" w:hAnsi="Times New Roman"/>
                <w:sz w:val="21"/>
                <w:vertAlign w:val="subscript"/>
              </w:rPr>
              <w:t>2</w:t>
            </w:r>
          </w:p>
        </w:tc>
        <w:tc>
          <w:tcPr>
            <w:tcW w:w="1050" w:type="pct"/>
            <w:vAlign w:val="center"/>
          </w:tcPr>
          <w:p>
            <w:pPr>
              <w:snapToGrid w:val="0"/>
              <w:spacing w:line="240" w:lineRule="auto"/>
              <w:ind w:firstLine="0" w:firstLineChars="0"/>
              <w:jc w:val="center"/>
              <w:rPr>
                <w:rFonts w:ascii="Times New Roman" w:hAnsi="Times New Roman"/>
                <w:sz w:val="21"/>
                <w:vertAlign w:val="superscript"/>
              </w:rPr>
            </w:pPr>
            <w:r>
              <w:rPr>
                <w:rFonts w:ascii="Times New Roman" w:hAnsi="Times New Roman"/>
                <w:sz w:val="21"/>
              </w:rPr>
              <w:t>40μg/m</w:t>
            </w:r>
            <w:r>
              <w:rPr>
                <w:rFonts w:ascii="Times New Roman" w:hAnsi="Times New Roman"/>
                <w:sz w:val="21"/>
                <w:vertAlign w:val="superscript"/>
              </w:rPr>
              <w:t>3</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80μg/m</w:t>
            </w:r>
            <w:r>
              <w:rPr>
                <w:rFonts w:ascii="Times New Roman" w:hAnsi="Times New Roman"/>
                <w:sz w:val="21"/>
                <w:vertAlign w:val="superscript"/>
              </w:rPr>
              <w:t>3</w:t>
            </w:r>
          </w:p>
        </w:tc>
        <w:tc>
          <w:tcPr>
            <w:tcW w:w="1496"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200μg/m</w:t>
            </w:r>
            <w:r>
              <w:rPr>
                <w:rFonts w:ascii="Times New Roman" w:hAnsi="Times New Roman"/>
                <w:sz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TSP</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200μg/m</w:t>
            </w:r>
            <w:r>
              <w:rPr>
                <w:rFonts w:ascii="Times New Roman" w:hAnsi="Times New Roman"/>
                <w:sz w:val="21"/>
                <w:vertAlign w:val="superscript"/>
              </w:rPr>
              <w:t>3</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300μg/m</w:t>
            </w:r>
            <w:r>
              <w:rPr>
                <w:rFonts w:ascii="Times New Roman" w:hAnsi="Times New Roman"/>
                <w:sz w:val="21"/>
                <w:vertAlign w:val="superscript"/>
              </w:rPr>
              <w:t>3</w:t>
            </w:r>
          </w:p>
        </w:tc>
        <w:tc>
          <w:tcPr>
            <w:tcW w:w="1496" w:type="pct"/>
            <w:vAlign w:val="center"/>
          </w:tcPr>
          <w:p>
            <w:pPr>
              <w:snapToGrid w:val="0"/>
              <w:spacing w:line="240" w:lineRule="auto"/>
              <w:ind w:firstLine="0" w:firstLineChars="0"/>
              <w:jc w:val="center"/>
              <w:rPr>
                <w:rFonts w:ascii="Times New Roman" w:hAnsi="Times New Roman"/>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PM</w:t>
            </w:r>
            <w:r>
              <w:rPr>
                <w:rFonts w:ascii="Times New Roman" w:hAnsi="Times New Roman"/>
                <w:sz w:val="21"/>
                <w:vertAlign w:val="subscript"/>
              </w:rPr>
              <w:t>10</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70μg/m</w:t>
            </w:r>
            <w:r>
              <w:rPr>
                <w:rFonts w:ascii="Times New Roman" w:hAnsi="Times New Roman"/>
                <w:sz w:val="21"/>
                <w:vertAlign w:val="superscript"/>
              </w:rPr>
              <w:t>3</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150μg/m</w:t>
            </w:r>
            <w:r>
              <w:rPr>
                <w:rFonts w:ascii="Times New Roman" w:hAnsi="Times New Roman"/>
                <w:sz w:val="21"/>
                <w:vertAlign w:val="superscript"/>
              </w:rPr>
              <w:t>3</w:t>
            </w:r>
          </w:p>
        </w:tc>
        <w:tc>
          <w:tcPr>
            <w:tcW w:w="1496" w:type="pct"/>
            <w:vAlign w:val="center"/>
          </w:tcPr>
          <w:p>
            <w:pPr>
              <w:snapToGrid w:val="0"/>
              <w:spacing w:line="240" w:lineRule="auto"/>
              <w:ind w:firstLine="0" w:firstLineChars="0"/>
              <w:jc w:val="center"/>
              <w:rPr>
                <w:rFonts w:ascii="Times New Roman" w:hAnsi="Times New Roman"/>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4"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非甲烷总烃</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w:t>
            </w:r>
          </w:p>
        </w:tc>
        <w:tc>
          <w:tcPr>
            <w:tcW w:w="1050"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w:t>
            </w:r>
          </w:p>
        </w:tc>
        <w:tc>
          <w:tcPr>
            <w:tcW w:w="1496"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2000μg/m</w:t>
            </w:r>
            <w:r>
              <w:rPr>
                <w:rFonts w:ascii="Times New Roman" w:hAnsi="Times New Roman"/>
                <w:sz w:val="21"/>
                <w:vertAlign w:val="superscript"/>
              </w:rPr>
              <w:t>3</w:t>
            </w:r>
          </w:p>
        </w:tc>
      </w:tr>
    </w:tbl>
    <w:p>
      <w:pPr>
        <w:snapToGrid w:val="0"/>
        <w:spacing w:before="156" w:beforeLines="50"/>
        <w:ind w:firstLine="482"/>
        <w:rPr>
          <w:rFonts w:ascii="Times New Roman" w:hAnsi="Times New Roman"/>
          <w:b/>
          <w:szCs w:val="24"/>
        </w:rPr>
      </w:pPr>
      <w:r>
        <w:rPr>
          <w:rFonts w:ascii="Times New Roman"/>
          <w:b/>
          <w:szCs w:val="24"/>
        </w:rPr>
        <w:t>（</w:t>
      </w:r>
      <w:r>
        <w:rPr>
          <w:rFonts w:ascii="Times New Roman" w:hAnsi="Times New Roman"/>
          <w:b/>
          <w:szCs w:val="24"/>
        </w:rPr>
        <w:t>2</w:t>
      </w:r>
      <w:r>
        <w:rPr>
          <w:rFonts w:ascii="Times New Roman"/>
          <w:b/>
          <w:szCs w:val="24"/>
        </w:rPr>
        <w:t>）地表水环境质量标准</w:t>
      </w:r>
    </w:p>
    <w:p>
      <w:pPr>
        <w:ind w:firstLine="480"/>
        <w:rPr>
          <w:rFonts w:ascii="Times New Roman" w:hAnsi="Times New Roman"/>
          <w:szCs w:val="24"/>
        </w:rPr>
      </w:pPr>
      <w:r>
        <w:rPr>
          <w:rFonts w:ascii="Times New Roman"/>
          <w:szCs w:val="24"/>
        </w:rPr>
        <w:t>根据《山西省地表水水环境功能区划》（</w:t>
      </w:r>
      <w:r>
        <w:rPr>
          <w:rFonts w:ascii="Times New Roman" w:hAnsi="Times New Roman"/>
          <w:szCs w:val="24"/>
        </w:rPr>
        <w:t>DB14/67-2014</w:t>
      </w:r>
      <w:r>
        <w:rPr>
          <w:rFonts w:ascii="Times New Roman"/>
          <w:szCs w:val="24"/>
        </w:rPr>
        <w:t>）中的黄河偏关</w:t>
      </w:r>
      <w:r>
        <w:rPr>
          <w:rFonts w:ascii="Times New Roman" w:hAnsi="Times New Roman"/>
          <w:szCs w:val="24"/>
        </w:rPr>
        <w:t>-</w:t>
      </w:r>
      <w:r>
        <w:rPr>
          <w:rFonts w:ascii="Times New Roman"/>
          <w:szCs w:val="24"/>
        </w:rPr>
        <w:t>吴堡沿黄西北部各支流水环境功能区划图，评价区执行《地表水环境质量标准》（</w:t>
      </w:r>
      <w:r>
        <w:rPr>
          <w:rFonts w:ascii="Times New Roman" w:hAnsi="Times New Roman"/>
          <w:szCs w:val="24"/>
        </w:rPr>
        <w:t>GB3838-2002</w:t>
      </w:r>
      <w:r>
        <w:rPr>
          <w:rFonts w:ascii="Times New Roman"/>
          <w:szCs w:val="24"/>
        </w:rPr>
        <w:t>）中的</w:t>
      </w:r>
      <w:r>
        <w:rPr>
          <w:szCs w:val="24"/>
        </w:rPr>
        <w:t>Ⅳ</w:t>
      </w:r>
      <w:r>
        <w:rPr>
          <w:rFonts w:ascii="Times New Roman"/>
          <w:szCs w:val="24"/>
        </w:rPr>
        <w:t>类标准。</w:t>
      </w:r>
    </w:p>
    <w:p>
      <w:pPr>
        <w:spacing w:before="156" w:beforeLines="50" w:line="240" w:lineRule="auto"/>
        <w:ind w:firstLine="0" w:firstLineChars="0"/>
        <w:jc w:val="center"/>
        <w:rPr>
          <w:rFonts w:ascii="Times New Roman" w:hAnsi="Times New Roman"/>
          <w:b/>
          <w:sz w:val="21"/>
        </w:rPr>
      </w:pPr>
      <w:r>
        <w:rPr>
          <w:rFonts w:ascii="Times New Roman"/>
          <w:b/>
          <w:sz w:val="21"/>
        </w:rPr>
        <w:t>表</w:t>
      </w:r>
      <w:r>
        <w:rPr>
          <w:rFonts w:hint="eastAsia" w:ascii="Times New Roman"/>
          <w:b/>
          <w:sz w:val="21"/>
        </w:rPr>
        <w:t>2.</w:t>
      </w:r>
      <w:r>
        <w:rPr>
          <w:rFonts w:ascii="Times New Roman" w:hAnsi="Times New Roman"/>
          <w:b/>
          <w:sz w:val="21"/>
        </w:rPr>
        <w:t xml:space="preserve">4-2 </w:t>
      </w:r>
      <w:r>
        <w:rPr>
          <w:rFonts w:ascii="Times New Roman"/>
          <w:b/>
          <w:sz w:val="21"/>
        </w:rPr>
        <w:t>地表水环境质量标准单位：</w:t>
      </w:r>
      <w:r>
        <w:rPr>
          <w:rFonts w:ascii="Times New Roman" w:hAnsi="Times New Roman"/>
          <w:b/>
          <w:sz w:val="21"/>
        </w:rPr>
        <w:t>mg/L</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723"/>
        <w:gridCol w:w="803"/>
        <w:gridCol w:w="897"/>
        <w:gridCol w:w="994"/>
        <w:gridCol w:w="658"/>
        <w:gridCol w:w="974"/>
        <w:gridCol w:w="866"/>
        <w:gridCol w:w="791"/>
        <w:gridCol w:w="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项目</w:t>
            </w:r>
          </w:p>
        </w:tc>
        <w:tc>
          <w:tcPr>
            <w:tcW w:w="424"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pH</w:t>
            </w:r>
          </w:p>
        </w:tc>
        <w:tc>
          <w:tcPr>
            <w:tcW w:w="471" w:type="pct"/>
            <w:vAlign w:val="center"/>
          </w:tcPr>
          <w:p>
            <w:pPr>
              <w:pStyle w:val="28"/>
              <w:adjustRightInd w:val="0"/>
              <w:snapToGrid w:val="0"/>
              <w:spacing w:line="240" w:lineRule="auto"/>
              <w:ind w:firstLine="0" w:firstLineChars="0"/>
              <w:jc w:val="center"/>
              <w:rPr>
                <w:spacing w:val="0"/>
                <w:sz w:val="21"/>
                <w:szCs w:val="21"/>
                <w:vertAlign w:val="subscript"/>
              </w:rPr>
            </w:pPr>
            <w:r>
              <w:rPr>
                <w:spacing w:val="0"/>
                <w:sz w:val="21"/>
                <w:szCs w:val="21"/>
              </w:rPr>
              <w:t>COD</w:t>
            </w:r>
          </w:p>
        </w:tc>
        <w:tc>
          <w:tcPr>
            <w:tcW w:w="526"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BOD</w:t>
            </w:r>
            <w:r>
              <w:rPr>
                <w:spacing w:val="0"/>
                <w:sz w:val="21"/>
                <w:szCs w:val="21"/>
                <w:vertAlign w:val="subscript"/>
              </w:rPr>
              <w:t>5</w:t>
            </w:r>
          </w:p>
        </w:tc>
        <w:tc>
          <w:tcPr>
            <w:tcW w:w="583"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石油类</w:t>
            </w:r>
          </w:p>
        </w:tc>
        <w:tc>
          <w:tcPr>
            <w:tcW w:w="386"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氨氮</w:t>
            </w:r>
          </w:p>
        </w:tc>
        <w:tc>
          <w:tcPr>
            <w:tcW w:w="571"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氟化物</w:t>
            </w:r>
          </w:p>
        </w:tc>
        <w:tc>
          <w:tcPr>
            <w:tcW w:w="508"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硫化物</w:t>
            </w:r>
          </w:p>
        </w:tc>
        <w:tc>
          <w:tcPr>
            <w:tcW w:w="463"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总磷</w:t>
            </w:r>
          </w:p>
        </w:tc>
        <w:tc>
          <w:tcPr>
            <w:tcW w:w="437"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Ⅳ类</w:t>
            </w:r>
          </w:p>
        </w:tc>
        <w:tc>
          <w:tcPr>
            <w:tcW w:w="424"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6～9</w:t>
            </w:r>
          </w:p>
        </w:tc>
        <w:tc>
          <w:tcPr>
            <w:tcW w:w="471"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≤30</w:t>
            </w:r>
          </w:p>
        </w:tc>
        <w:tc>
          <w:tcPr>
            <w:tcW w:w="526"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≤6</w:t>
            </w:r>
          </w:p>
        </w:tc>
        <w:tc>
          <w:tcPr>
            <w:tcW w:w="583"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≤0.5</w:t>
            </w:r>
          </w:p>
        </w:tc>
        <w:tc>
          <w:tcPr>
            <w:tcW w:w="386"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≤1.5</w:t>
            </w:r>
          </w:p>
        </w:tc>
        <w:tc>
          <w:tcPr>
            <w:tcW w:w="571"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≤1.5</w:t>
            </w:r>
          </w:p>
        </w:tc>
        <w:tc>
          <w:tcPr>
            <w:tcW w:w="508"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≤0.5</w:t>
            </w:r>
          </w:p>
        </w:tc>
        <w:tc>
          <w:tcPr>
            <w:tcW w:w="463"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≤0.3</w:t>
            </w:r>
          </w:p>
        </w:tc>
        <w:tc>
          <w:tcPr>
            <w:tcW w:w="437" w:type="pct"/>
            <w:vAlign w:val="center"/>
          </w:tcPr>
          <w:p>
            <w:pPr>
              <w:pStyle w:val="28"/>
              <w:adjustRightInd w:val="0"/>
              <w:snapToGrid w:val="0"/>
              <w:spacing w:line="240" w:lineRule="auto"/>
              <w:ind w:firstLine="0" w:firstLineChars="0"/>
              <w:jc w:val="center"/>
              <w:rPr>
                <w:spacing w:val="0"/>
                <w:sz w:val="21"/>
                <w:szCs w:val="21"/>
              </w:rPr>
            </w:pPr>
            <w:r>
              <w:rPr>
                <w:spacing w:val="0"/>
                <w:sz w:val="21"/>
                <w:szCs w:val="21"/>
              </w:rPr>
              <w:t>≤0.1</w:t>
            </w:r>
          </w:p>
        </w:tc>
      </w:tr>
    </w:tbl>
    <w:p>
      <w:pPr>
        <w:snapToGrid w:val="0"/>
        <w:spacing w:before="156" w:beforeLines="50"/>
        <w:ind w:firstLine="482"/>
        <w:rPr>
          <w:rFonts w:ascii="Times New Roman" w:hAnsi="Times New Roman"/>
          <w:b/>
          <w:szCs w:val="24"/>
        </w:rPr>
      </w:pPr>
      <w:r>
        <w:rPr>
          <w:rFonts w:ascii="Times New Roman"/>
          <w:b/>
          <w:szCs w:val="24"/>
        </w:rPr>
        <w:t>（</w:t>
      </w:r>
      <w:r>
        <w:rPr>
          <w:rFonts w:ascii="Times New Roman" w:hAnsi="Times New Roman"/>
          <w:b/>
          <w:szCs w:val="24"/>
        </w:rPr>
        <w:t>3</w:t>
      </w:r>
      <w:r>
        <w:rPr>
          <w:rFonts w:ascii="Times New Roman"/>
          <w:b/>
          <w:szCs w:val="24"/>
        </w:rPr>
        <w:t>）地下水环境质量标准</w:t>
      </w:r>
    </w:p>
    <w:p>
      <w:pPr>
        <w:ind w:firstLine="480"/>
        <w:rPr>
          <w:rFonts w:ascii="Times New Roman" w:hAnsi="Times New Roman"/>
          <w:szCs w:val="24"/>
        </w:rPr>
      </w:pPr>
      <w:r>
        <w:rPr>
          <w:rFonts w:ascii="Times New Roman"/>
          <w:szCs w:val="24"/>
        </w:rPr>
        <w:t>评价区地下水环境属</w:t>
      </w:r>
      <w:r>
        <w:rPr>
          <w:szCs w:val="24"/>
        </w:rPr>
        <w:t>Ⅲ</w:t>
      </w:r>
      <w:r>
        <w:rPr>
          <w:rFonts w:ascii="Times New Roman"/>
          <w:szCs w:val="24"/>
        </w:rPr>
        <w:t>类水体（以人类健康基准为依据，主要适用于集中式生活饮用水水源及工业、农业用水），执行《地下水质量标准》（</w:t>
      </w:r>
      <w:r>
        <w:rPr>
          <w:rFonts w:ascii="Times New Roman" w:hAnsi="Times New Roman"/>
          <w:szCs w:val="24"/>
        </w:rPr>
        <w:t>GB/T14848-</w:t>
      </w:r>
      <w:r>
        <w:rPr>
          <w:rFonts w:hint="eastAsia" w:ascii="Times New Roman" w:hAnsi="Times New Roman"/>
          <w:szCs w:val="24"/>
        </w:rPr>
        <w:t>2017</w:t>
      </w:r>
      <w:r>
        <w:rPr>
          <w:rFonts w:ascii="Times New Roman"/>
          <w:szCs w:val="24"/>
        </w:rPr>
        <w:t>）中的</w:t>
      </w:r>
      <w:r>
        <w:rPr>
          <w:szCs w:val="24"/>
        </w:rPr>
        <w:t>Ⅲ</w:t>
      </w:r>
      <w:r>
        <w:rPr>
          <w:rFonts w:ascii="Times New Roman"/>
          <w:szCs w:val="24"/>
        </w:rPr>
        <w:t>类标准。</w:t>
      </w:r>
    </w:p>
    <w:p>
      <w:pPr>
        <w:spacing w:before="156" w:beforeLines="50" w:line="240" w:lineRule="auto"/>
        <w:ind w:firstLine="0" w:firstLineChars="0"/>
        <w:jc w:val="center"/>
        <w:rPr>
          <w:rFonts w:ascii="Times New Roman" w:hAnsi="Times New Roman"/>
          <w:b/>
          <w:sz w:val="21"/>
        </w:rPr>
      </w:pPr>
      <w:r>
        <w:rPr>
          <w:rFonts w:ascii="Times New Roman"/>
          <w:b/>
          <w:sz w:val="21"/>
        </w:rPr>
        <w:t>表</w:t>
      </w:r>
      <w:r>
        <w:rPr>
          <w:rFonts w:hint="eastAsia" w:ascii="Times New Roman"/>
          <w:b/>
          <w:sz w:val="21"/>
        </w:rPr>
        <w:t>2.</w:t>
      </w:r>
      <w:r>
        <w:rPr>
          <w:rFonts w:ascii="Times New Roman" w:hAnsi="Times New Roman"/>
          <w:b/>
          <w:sz w:val="21"/>
        </w:rPr>
        <w:t xml:space="preserve">4-3 </w:t>
      </w:r>
      <w:r>
        <w:rPr>
          <w:rFonts w:ascii="Times New Roman"/>
          <w:b/>
          <w:sz w:val="21"/>
        </w:rPr>
        <w:t>地下水质量标准单位：</w:t>
      </w:r>
      <w:r>
        <w:rPr>
          <w:rFonts w:ascii="Times New Roman" w:hAnsi="Times New Roman"/>
          <w:b/>
          <w:sz w:val="21"/>
        </w:rPr>
        <w:t>mg/L</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991"/>
        <w:gridCol w:w="1561"/>
        <w:gridCol w:w="873"/>
        <w:gridCol w:w="1003"/>
        <w:gridCol w:w="1192"/>
        <w:gridCol w:w="880"/>
        <w:gridCol w:w="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水质指标</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pH</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耗氧量</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氨氮</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硝酸盐氮</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亚硝酸盐</w:t>
            </w:r>
          </w:p>
        </w:tc>
        <w:tc>
          <w:tcPr>
            <w:tcW w:w="51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氯化物</w:t>
            </w:r>
          </w:p>
        </w:tc>
        <w:tc>
          <w:tcPr>
            <w:tcW w:w="543"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硫酸盐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标准值</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6.5-8.5</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≤3.0</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≤0.5</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≤20</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≤1.00</w:t>
            </w:r>
          </w:p>
        </w:tc>
        <w:tc>
          <w:tcPr>
            <w:tcW w:w="51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≤250</w:t>
            </w:r>
          </w:p>
        </w:tc>
        <w:tc>
          <w:tcPr>
            <w:tcW w:w="543"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水质指标</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总硬度</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溶解性总固体</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氟化物</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铬（六价）</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挥发性酚类</w:t>
            </w:r>
          </w:p>
        </w:tc>
        <w:tc>
          <w:tcPr>
            <w:tcW w:w="51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氰化物</w:t>
            </w:r>
          </w:p>
        </w:tc>
        <w:tc>
          <w:tcPr>
            <w:tcW w:w="543"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标准值</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≤450</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≤1000</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≤1.0</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≤0.05</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≤0.002</w:t>
            </w:r>
          </w:p>
        </w:tc>
        <w:tc>
          <w:tcPr>
            <w:tcW w:w="51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≤0.05</w:t>
            </w:r>
          </w:p>
        </w:tc>
        <w:tc>
          <w:tcPr>
            <w:tcW w:w="543"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项目</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Hg</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铅</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镉</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总铁</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锰</w:t>
            </w:r>
          </w:p>
        </w:tc>
        <w:tc>
          <w:tcPr>
            <w:tcW w:w="1059"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pacing w:val="-6"/>
                <w:sz w:val="21"/>
              </w:rPr>
            </w:pPr>
            <w:r>
              <w:rPr>
                <w:rFonts w:ascii="Times New Roman" w:hAnsi="Times New Roman"/>
                <w:spacing w:val="-6"/>
                <w:sz w:val="21"/>
              </w:rPr>
              <w:t>总大肠菌群</w:t>
            </w:r>
          </w:p>
          <w:p>
            <w:pPr>
              <w:spacing w:line="240" w:lineRule="auto"/>
              <w:ind w:left="-120" w:leftChars="-50" w:right="-120" w:rightChars="-50" w:firstLine="0" w:firstLineChars="0"/>
              <w:jc w:val="center"/>
              <w:rPr>
                <w:rFonts w:ascii="Times New Roman" w:hAnsi="Times New Roman"/>
                <w:sz w:val="21"/>
              </w:rPr>
            </w:pPr>
            <w:r>
              <w:rPr>
                <w:rFonts w:ascii="Times New Roman" w:hAnsi="Times New Roman"/>
                <w:spacing w:val="-6"/>
                <w:sz w:val="21"/>
              </w:rPr>
              <w:t>（MPN/100ml）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b/>
                <w:bCs/>
                <w:sz w:val="21"/>
              </w:rPr>
            </w:pPr>
            <w:r>
              <w:rPr>
                <w:rFonts w:ascii="Times New Roman" w:hAnsi="Times New Roman"/>
                <w:sz w:val="21"/>
              </w:rPr>
              <w:t>标准值</w:t>
            </w:r>
          </w:p>
        </w:tc>
        <w:tc>
          <w:tcPr>
            <w:tcW w:w="581"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≤0.001</w:t>
            </w:r>
          </w:p>
        </w:tc>
        <w:tc>
          <w:tcPr>
            <w:tcW w:w="915"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≤0.01</w:t>
            </w:r>
          </w:p>
        </w:tc>
        <w:tc>
          <w:tcPr>
            <w:tcW w:w="512"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≤0.005</w:t>
            </w:r>
          </w:p>
        </w:tc>
        <w:tc>
          <w:tcPr>
            <w:tcW w:w="588"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≤0.3</w:t>
            </w:r>
          </w:p>
        </w:tc>
        <w:tc>
          <w:tcPr>
            <w:tcW w:w="699" w:type="pct"/>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≤0.1</w:t>
            </w:r>
          </w:p>
        </w:tc>
        <w:tc>
          <w:tcPr>
            <w:tcW w:w="1059"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firstLine="0" w:firstLineChars="0"/>
              <w:jc w:val="center"/>
              <w:rPr>
                <w:rFonts w:ascii="Times New Roman" w:hAnsi="Times New Roman"/>
                <w:sz w:val="21"/>
              </w:rPr>
            </w:pPr>
            <w:r>
              <w:rPr>
                <w:rFonts w:ascii="Times New Roman" w:hAnsi="Times New Roman"/>
                <w:sz w:val="21"/>
              </w:rPr>
              <w:t>≤3.0</w:t>
            </w:r>
          </w:p>
        </w:tc>
      </w:tr>
    </w:tbl>
    <w:p>
      <w:pPr>
        <w:snapToGrid w:val="0"/>
        <w:spacing w:before="156" w:beforeLines="50"/>
        <w:ind w:firstLine="482"/>
        <w:rPr>
          <w:rFonts w:ascii="Times New Roman" w:hAnsi="Times New Roman"/>
          <w:b/>
          <w:szCs w:val="24"/>
        </w:rPr>
      </w:pPr>
      <w:r>
        <w:rPr>
          <w:rFonts w:ascii="Times New Roman"/>
          <w:b/>
          <w:szCs w:val="24"/>
        </w:rPr>
        <w:t>（</w:t>
      </w:r>
      <w:r>
        <w:rPr>
          <w:rFonts w:ascii="Times New Roman" w:hAnsi="Times New Roman"/>
          <w:b/>
          <w:szCs w:val="24"/>
        </w:rPr>
        <w:t>4</w:t>
      </w:r>
      <w:r>
        <w:rPr>
          <w:rFonts w:ascii="Times New Roman"/>
          <w:b/>
          <w:szCs w:val="24"/>
        </w:rPr>
        <w:t>）声环境质量标准</w:t>
      </w:r>
    </w:p>
    <w:p>
      <w:pPr>
        <w:ind w:firstLine="480"/>
        <w:rPr>
          <w:rFonts w:ascii="Times New Roman" w:hAnsi="Times New Roman"/>
          <w:szCs w:val="24"/>
        </w:rPr>
      </w:pPr>
      <w:r>
        <w:rPr>
          <w:rFonts w:ascii="Times New Roman"/>
          <w:szCs w:val="24"/>
        </w:rPr>
        <w:t>评价区为农村地区，以居民住宅为主，环境质量执行《声环境质量标准》（</w:t>
      </w:r>
      <w:r>
        <w:rPr>
          <w:rFonts w:ascii="Times New Roman" w:hAnsi="Times New Roman"/>
          <w:szCs w:val="24"/>
        </w:rPr>
        <w:t>GB3096-2008</w:t>
      </w:r>
      <w:r>
        <w:rPr>
          <w:rFonts w:ascii="Times New Roman"/>
          <w:szCs w:val="24"/>
        </w:rPr>
        <w:t>）中</w:t>
      </w:r>
      <w:r>
        <w:rPr>
          <w:rFonts w:hint="eastAsia" w:ascii="Times New Roman" w:hAnsi="Times New Roman"/>
          <w:szCs w:val="24"/>
        </w:rPr>
        <w:t>1</w:t>
      </w:r>
      <w:r>
        <w:rPr>
          <w:rFonts w:ascii="Times New Roman"/>
          <w:szCs w:val="24"/>
        </w:rPr>
        <w:t>类标准。</w:t>
      </w:r>
    </w:p>
    <w:p>
      <w:pPr>
        <w:spacing w:before="156" w:beforeLines="50" w:line="240" w:lineRule="auto"/>
        <w:ind w:firstLine="0" w:firstLineChars="0"/>
        <w:jc w:val="center"/>
        <w:rPr>
          <w:rFonts w:ascii="Times New Roman" w:hAnsi="Times New Roman"/>
          <w:b/>
          <w:sz w:val="21"/>
        </w:rPr>
      </w:pPr>
      <w:r>
        <w:rPr>
          <w:rFonts w:ascii="Times New Roman"/>
          <w:b/>
          <w:sz w:val="21"/>
        </w:rPr>
        <w:t>表</w:t>
      </w:r>
      <w:r>
        <w:rPr>
          <w:rFonts w:hint="eastAsia" w:ascii="Times New Roman"/>
          <w:b/>
          <w:sz w:val="21"/>
        </w:rPr>
        <w:t>2.</w:t>
      </w:r>
      <w:r>
        <w:rPr>
          <w:rFonts w:ascii="Times New Roman" w:hAnsi="Times New Roman"/>
          <w:b/>
          <w:sz w:val="21"/>
        </w:rPr>
        <w:t xml:space="preserve">4-4 </w:t>
      </w:r>
      <w:r>
        <w:rPr>
          <w:rFonts w:ascii="Times New Roman"/>
          <w:b/>
          <w:sz w:val="21"/>
        </w:rPr>
        <w:t>声环境质量标准</w:t>
      </w:r>
      <w:r>
        <w:rPr>
          <w:rFonts w:ascii="Times New Roman" w:hAnsi="Times New Roman"/>
          <w:b/>
          <w:sz w:val="21"/>
        </w:rPr>
        <w:t xml:space="preserve">           Leq: dB</w:t>
      </w:r>
      <w:r>
        <w:rPr>
          <w:rFonts w:ascii="Times New Roman"/>
          <w:b/>
          <w:sz w:val="21"/>
        </w:rPr>
        <w:t>（</w:t>
      </w:r>
      <w:r>
        <w:rPr>
          <w:rFonts w:ascii="Times New Roman" w:hAnsi="Times New Roman"/>
          <w:b/>
          <w:sz w:val="21"/>
        </w:rPr>
        <w:t>A</w:t>
      </w:r>
      <w:r>
        <w:rPr>
          <w:rFonts w:ascii="Times New Roman"/>
          <w:b/>
          <w:sz w:val="21"/>
        </w:rPr>
        <w:t>）</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1"/>
        <w:gridCol w:w="2685"/>
        <w:gridCol w:w="2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3" w:type="pct"/>
            <w:vMerge w:val="restart"/>
            <w:vAlign w:val="center"/>
          </w:tcPr>
          <w:p>
            <w:pPr>
              <w:spacing w:line="240" w:lineRule="auto"/>
              <w:ind w:firstLine="0" w:firstLineChars="0"/>
              <w:jc w:val="center"/>
              <w:rPr>
                <w:rFonts w:ascii="Times New Roman" w:hAnsi="Times New Roman"/>
                <w:sz w:val="21"/>
              </w:rPr>
            </w:pPr>
            <w:r>
              <w:rPr>
                <w:rFonts w:ascii="Times New Roman"/>
                <w:sz w:val="21"/>
              </w:rPr>
              <w:t>类别</w:t>
            </w:r>
          </w:p>
        </w:tc>
        <w:tc>
          <w:tcPr>
            <w:tcW w:w="3287" w:type="pct"/>
            <w:gridSpan w:val="2"/>
            <w:vAlign w:val="center"/>
          </w:tcPr>
          <w:p>
            <w:pPr>
              <w:spacing w:line="240" w:lineRule="auto"/>
              <w:ind w:firstLine="0" w:firstLineChars="0"/>
              <w:jc w:val="center"/>
              <w:rPr>
                <w:rFonts w:ascii="Times New Roman" w:hAnsi="Times New Roman"/>
                <w:sz w:val="21"/>
              </w:rPr>
            </w:pPr>
            <w:r>
              <w:rPr>
                <w:rFonts w:ascii="Times New Roman"/>
                <w:sz w:val="21"/>
              </w:rPr>
              <w:t>限制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3" w:type="pct"/>
            <w:vMerge w:val="continue"/>
            <w:vAlign w:val="center"/>
          </w:tcPr>
          <w:p>
            <w:pPr>
              <w:spacing w:line="240" w:lineRule="auto"/>
              <w:ind w:firstLine="0" w:firstLineChars="0"/>
              <w:jc w:val="center"/>
              <w:rPr>
                <w:rFonts w:ascii="Times New Roman" w:hAnsi="Times New Roman"/>
                <w:sz w:val="21"/>
              </w:rPr>
            </w:pPr>
          </w:p>
        </w:tc>
        <w:tc>
          <w:tcPr>
            <w:tcW w:w="1574" w:type="pct"/>
            <w:vAlign w:val="center"/>
          </w:tcPr>
          <w:p>
            <w:pPr>
              <w:spacing w:line="240" w:lineRule="auto"/>
              <w:ind w:firstLine="0" w:firstLineChars="0"/>
              <w:jc w:val="center"/>
              <w:rPr>
                <w:rFonts w:ascii="Times New Roman" w:hAnsi="Times New Roman"/>
                <w:sz w:val="21"/>
              </w:rPr>
            </w:pPr>
            <w:r>
              <w:rPr>
                <w:rFonts w:ascii="Times New Roman"/>
                <w:sz w:val="21"/>
              </w:rPr>
              <w:t>昼间</w:t>
            </w:r>
          </w:p>
        </w:tc>
        <w:tc>
          <w:tcPr>
            <w:tcW w:w="1713" w:type="pct"/>
            <w:vAlign w:val="center"/>
          </w:tcPr>
          <w:p>
            <w:pPr>
              <w:spacing w:line="240" w:lineRule="auto"/>
              <w:ind w:firstLine="0" w:firstLineChars="0"/>
              <w:jc w:val="center"/>
              <w:rPr>
                <w:rFonts w:ascii="Times New Roman" w:hAnsi="Times New Roman"/>
                <w:sz w:val="21"/>
              </w:rPr>
            </w:pPr>
            <w:r>
              <w:rPr>
                <w:rFonts w:ascii="Times New Roman"/>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sz w:val="21"/>
              </w:rPr>
              <w:t>类</w:t>
            </w:r>
          </w:p>
        </w:tc>
        <w:tc>
          <w:tcPr>
            <w:tcW w:w="1574"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55</w:t>
            </w:r>
          </w:p>
        </w:tc>
        <w:tc>
          <w:tcPr>
            <w:tcW w:w="171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45</w:t>
            </w:r>
          </w:p>
        </w:tc>
      </w:tr>
    </w:tbl>
    <w:p>
      <w:pPr>
        <w:ind w:firstLine="0" w:firstLineChars="0"/>
        <w:outlineLvl w:val="3"/>
        <w:rPr>
          <w:rFonts w:ascii="Times New Roman" w:hAnsi="Times New Roman"/>
          <w:b/>
          <w:szCs w:val="24"/>
        </w:rPr>
      </w:pPr>
      <w:r>
        <w:rPr>
          <w:rFonts w:hint="eastAsia" w:ascii="Times New Roman" w:hAnsi="Times New Roman"/>
          <w:b/>
          <w:szCs w:val="24"/>
        </w:rPr>
        <w:t>2.4.2.2污染物排放标准</w:t>
      </w:r>
    </w:p>
    <w:p>
      <w:pPr>
        <w:snapToGrid w:val="0"/>
        <w:spacing w:before="156" w:beforeLines="50"/>
        <w:ind w:firstLine="482"/>
        <w:rPr>
          <w:rFonts w:ascii="Times New Roman" w:hAnsi="Times New Roman"/>
          <w:b/>
          <w:szCs w:val="24"/>
        </w:rPr>
      </w:pPr>
      <w:r>
        <w:rPr>
          <w:rFonts w:ascii="Times New Roman" w:hAnsi="Times New Roman"/>
          <w:b/>
          <w:szCs w:val="24"/>
        </w:rPr>
        <w:t>（1）</w:t>
      </w:r>
      <w:r>
        <w:rPr>
          <w:rFonts w:hint="eastAsia" w:ascii="Times New Roman" w:hAnsi="Times New Roman"/>
          <w:b/>
          <w:szCs w:val="24"/>
        </w:rPr>
        <w:t>大气污染物排放标准</w:t>
      </w:r>
    </w:p>
    <w:p>
      <w:pPr>
        <w:ind w:firstLine="480"/>
        <w:rPr>
          <w:rFonts w:ascii="Times New Roman"/>
          <w:szCs w:val="24"/>
        </w:rPr>
      </w:pPr>
      <w:r>
        <w:rPr>
          <w:rFonts w:ascii="Times New Roman"/>
          <w:szCs w:val="24"/>
        </w:rPr>
        <w:t>运营期的大气污染物排放源主要为燃气锅炉</w:t>
      </w:r>
      <w:r>
        <w:rPr>
          <w:rFonts w:hint="eastAsia" w:ascii="Times New Roman"/>
          <w:szCs w:val="24"/>
        </w:rPr>
        <w:t>烟气（主要为NOx）</w:t>
      </w:r>
      <w:r>
        <w:rPr>
          <w:rFonts w:ascii="Times New Roman"/>
          <w:szCs w:val="24"/>
        </w:rPr>
        <w:t>、煤成气集输过程中挥发损失的烃类气体等</w:t>
      </w:r>
      <w:r>
        <w:rPr>
          <w:rFonts w:hint="eastAsia" w:ascii="Times New Roman"/>
          <w:szCs w:val="24"/>
        </w:rPr>
        <w:t>。</w:t>
      </w:r>
    </w:p>
    <w:p>
      <w:pPr>
        <w:ind w:firstLine="480"/>
        <w:rPr>
          <w:rFonts w:ascii="Times New Roman"/>
          <w:szCs w:val="24"/>
        </w:rPr>
      </w:pPr>
      <w:r>
        <w:rPr>
          <w:rFonts w:ascii="Times New Roman"/>
          <w:szCs w:val="24"/>
        </w:rPr>
        <w:t>燃气锅炉</w:t>
      </w:r>
      <w:r>
        <w:rPr>
          <w:rFonts w:hint="eastAsia" w:ascii="Times New Roman"/>
          <w:szCs w:val="24"/>
        </w:rPr>
        <w:t>烟气中NOx</w:t>
      </w:r>
      <w:r>
        <w:rPr>
          <w:rFonts w:ascii="Times New Roman"/>
          <w:szCs w:val="24"/>
        </w:rPr>
        <w:t>排放</w:t>
      </w:r>
      <w:r>
        <w:rPr>
          <w:rFonts w:hint="eastAsia" w:ascii="Times New Roman"/>
          <w:szCs w:val="24"/>
        </w:rPr>
        <w:t>执行《锅炉大气污染物排放标准》（GB13271-2014）表2中排放限值，详见表2.4-5所示。</w:t>
      </w:r>
    </w:p>
    <w:p>
      <w:pPr>
        <w:spacing w:line="240" w:lineRule="auto"/>
        <w:ind w:firstLine="0" w:firstLineChars="0"/>
        <w:jc w:val="center"/>
        <w:rPr>
          <w:rFonts w:ascii="Times New Roman" w:hAnsi="Times New Roman"/>
          <w:b/>
          <w:sz w:val="21"/>
          <w:szCs w:val="20"/>
        </w:rPr>
      </w:pPr>
      <w:r>
        <w:rPr>
          <w:rFonts w:hint="eastAsia" w:ascii="Times New Roman" w:hAnsi="Times New Roman"/>
          <w:b/>
          <w:sz w:val="21"/>
          <w:szCs w:val="20"/>
        </w:rPr>
        <w:t xml:space="preserve">                 表2.4-5 新建锅炉大气污染物排放标准         单位：mg/m</w:t>
      </w:r>
      <w:r>
        <w:rPr>
          <w:rFonts w:hint="eastAsia" w:ascii="Times New Roman" w:hAnsi="Times New Roman"/>
          <w:b/>
          <w:sz w:val="21"/>
          <w:szCs w:val="20"/>
          <w:vertAlign w:val="superscript"/>
        </w:rPr>
        <w:t>3</w:t>
      </w:r>
    </w:p>
    <w:tbl>
      <w:tblPr>
        <w:tblStyle w:val="18"/>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200"/>
        <w:gridCol w:w="2715"/>
        <w:gridCol w:w="261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4" w:hRule="atLeast"/>
        </w:trPr>
        <w:tc>
          <w:tcPr>
            <w:tcW w:w="1876" w:type="pct"/>
            <w:vMerge w:val="restart"/>
            <w:tcBorders>
              <w:top w:val="single" w:color="auto" w:sz="8" w:space="0"/>
              <w:left w:val="single" w:color="auto" w:sz="8" w:space="0"/>
              <w:bottom w:val="single" w:color="auto" w:sz="8" w:space="0"/>
            </w:tcBorders>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污染物项目</w:t>
            </w:r>
          </w:p>
        </w:tc>
        <w:tc>
          <w:tcPr>
            <w:tcW w:w="1592" w:type="pct"/>
            <w:tcBorders>
              <w:top w:val="single" w:color="auto" w:sz="8" w:space="0"/>
              <w:bottom w:val="single" w:color="auto" w:sz="8"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限值</w:t>
            </w:r>
          </w:p>
        </w:tc>
        <w:tc>
          <w:tcPr>
            <w:tcW w:w="1532" w:type="pct"/>
            <w:vMerge w:val="restart"/>
            <w:tcBorders>
              <w:top w:val="single" w:color="auto" w:sz="8" w:space="0"/>
              <w:bottom w:val="single" w:color="auto" w:sz="8" w:space="0"/>
              <w:right w:val="single" w:color="auto" w:sz="8" w:space="0"/>
            </w:tcBorders>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4" w:hRule="atLeast"/>
        </w:trPr>
        <w:tc>
          <w:tcPr>
            <w:tcW w:w="1876" w:type="pct"/>
            <w:vMerge w:val="continue"/>
            <w:tcBorders>
              <w:top w:val="single" w:color="auto" w:sz="8" w:space="0"/>
              <w:left w:val="single" w:color="auto" w:sz="8" w:space="0"/>
              <w:bottom w:val="single" w:color="auto" w:sz="8" w:space="0"/>
            </w:tcBorders>
            <w:shd w:val="clear" w:color="auto" w:fill="auto"/>
            <w:vAlign w:val="center"/>
          </w:tcPr>
          <w:p>
            <w:pPr>
              <w:spacing w:line="240" w:lineRule="auto"/>
              <w:ind w:firstLine="0" w:firstLineChars="0"/>
              <w:jc w:val="center"/>
              <w:rPr>
                <w:rFonts w:ascii="Times New Roman" w:hAnsi="Times New Roman"/>
                <w:sz w:val="21"/>
                <w:szCs w:val="20"/>
              </w:rPr>
            </w:pPr>
          </w:p>
        </w:tc>
        <w:tc>
          <w:tcPr>
            <w:tcW w:w="1592" w:type="pct"/>
            <w:tcBorders>
              <w:top w:val="single" w:color="auto" w:sz="8" w:space="0"/>
              <w:bottom w:val="single" w:color="auto" w:sz="8"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燃气锅炉</w:t>
            </w:r>
          </w:p>
        </w:tc>
        <w:tc>
          <w:tcPr>
            <w:tcW w:w="1532" w:type="pct"/>
            <w:vMerge w:val="continue"/>
            <w:tcBorders>
              <w:top w:val="single" w:color="auto" w:sz="8" w:space="0"/>
              <w:bottom w:val="single" w:color="auto" w:sz="8" w:space="0"/>
              <w:right w:val="single" w:color="auto" w:sz="8" w:space="0"/>
            </w:tcBorders>
            <w:shd w:val="clear" w:color="auto" w:fill="auto"/>
            <w:vAlign w:val="center"/>
          </w:tcPr>
          <w:p>
            <w:pPr>
              <w:spacing w:line="240" w:lineRule="auto"/>
              <w:ind w:firstLine="0" w:firstLineChars="0"/>
              <w:jc w:val="center"/>
              <w:rPr>
                <w:rFonts w:ascii="Times New Roman" w:hAnsi="Times New Roman"/>
                <w:sz w:val="21"/>
                <w:szCs w:val="20"/>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4" w:hRule="atLeast"/>
        </w:trPr>
        <w:tc>
          <w:tcPr>
            <w:tcW w:w="1876" w:type="pct"/>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氮氧化物</w:t>
            </w:r>
          </w:p>
        </w:tc>
        <w:tc>
          <w:tcPr>
            <w:tcW w:w="1592" w:type="pct"/>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200</w:t>
            </w:r>
          </w:p>
        </w:tc>
        <w:tc>
          <w:tcPr>
            <w:tcW w:w="1532" w:type="pct"/>
            <w:shd w:val="clear" w:color="auto" w:fill="auto"/>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烟囱或烟道</w:t>
            </w:r>
          </w:p>
        </w:tc>
      </w:tr>
    </w:tbl>
    <w:p>
      <w:pPr>
        <w:spacing w:before="156" w:beforeLines="50"/>
        <w:ind w:firstLine="480"/>
        <w:rPr>
          <w:rFonts w:ascii="Times New Roman"/>
          <w:szCs w:val="24"/>
        </w:rPr>
      </w:pPr>
      <w:r>
        <w:rPr>
          <w:rFonts w:ascii="Times New Roman"/>
          <w:szCs w:val="24"/>
        </w:rPr>
        <w:t>煤成气集输过程中挥发损失</w:t>
      </w:r>
      <w:r>
        <w:rPr>
          <w:rFonts w:hint="eastAsia" w:ascii="Times New Roman"/>
          <w:szCs w:val="24"/>
        </w:rPr>
        <w:t>的</w:t>
      </w:r>
      <w:r>
        <w:rPr>
          <w:rFonts w:ascii="Times New Roman"/>
          <w:szCs w:val="24"/>
        </w:rPr>
        <w:t>挥发性有机物气体</w:t>
      </w:r>
      <w:r>
        <w:rPr>
          <w:rFonts w:hint="eastAsia" w:ascii="Times New Roman"/>
          <w:szCs w:val="24"/>
        </w:rPr>
        <w:t>（VOCs）</w:t>
      </w:r>
      <w:r>
        <w:rPr>
          <w:rFonts w:hint="eastAsia"/>
        </w:rPr>
        <w:t>按照山西省大气污染防治工作领导组办公室文件（晋气防办</w:t>
      </w:r>
      <w:r>
        <w:t>[2017]32</w:t>
      </w:r>
      <w:r>
        <w:rPr>
          <w:rFonts w:hint="eastAsia"/>
        </w:rPr>
        <w:t>号）“关于印发《山西省重点行业挥发性有机物（</w:t>
      </w:r>
      <w:r>
        <w:t>VOCs</w:t>
      </w:r>
      <w:r>
        <w:rPr>
          <w:rFonts w:hint="eastAsia"/>
        </w:rPr>
        <w:t>）</w:t>
      </w:r>
      <w:r>
        <w:t>2017</w:t>
      </w:r>
      <w:r>
        <w:rPr>
          <w:rFonts w:hint="eastAsia"/>
        </w:rPr>
        <w:t>年专项治理方案》的通知”，</w:t>
      </w:r>
      <w:r>
        <w:t>执行</w:t>
      </w:r>
      <w:r>
        <w:rPr>
          <w:rFonts w:hint="eastAsia"/>
        </w:rPr>
        <w:t>以下标准</w:t>
      </w:r>
      <w:r>
        <w:rPr>
          <w:rFonts w:ascii="Times New Roman"/>
          <w:szCs w:val="24"/>
        </w:rPr>
        <w:t>。</w:t>
      </w:r>
    </w:p>
    <w:p>
      <w:pPr>
        <w:spacing w:before="156" w:beforeLines="50" w:line="240" w:lineRule="auto"/>
        <w:ind w:firstLine="0" w:firstLineChars="0"/>
        <w:jc w:val="center"/>
        <w:rPr>
          <w:rFonts w:ascii="Times New Roman" w:hAnsi="Times New Roman"/>
          <w:b/>
          <w:szCs w:val="24"/>
        </w:rPr>
      </w:pPr>
      <w:r>
        <w:rPr>
          <w:rFonts w:ascii="Times New Roman"/>
          <w:b/>
          <w:sz w:val="21"/>
        </w:rPr>
        <w:t>表2.4-</w:t>
      </w:r>
      <w:r>
        <w:rPr>
          <w:rFonts w:hint="eastAsia" w:ascii="Times New Roman"/>
          <w:b/>
          <w:sz w:val="21"/>
        </w:rPr>
        <w:t>6</w:t>
      </w:r>
      <w:r>
        <w:rPr>
          <w:rFonts w:ascii="Times New Roman"/>
          <w:b/>
          <w:sz w:val="21"/>
        </w:rPr>
        <w:t xml:space="preserve"> 大气污染物综合排放标准（GB16297-1996）</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7" w:type="dxa"/>
          <w:bottom w:w="0" w:type="dxa"/>
          <w:right w:w="107" w:type="dxa"/>
        </w:tblCellMar>
      </w:tblPr>
      <w:tblGrid>
        <w:gridCol w:w="1440"/>
        <w:gridCol w:w="2101"/>
        <w:gridCol w:w="2236"/>
        <w:gridCol w:w="27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340" w:hRule="atLeast"/>
          <w:jc w:val="center"/>
        </w:trPr>
        <w:tc>
          <w:tcPr>
            <w:tcW w:w="845" w:type="pct"/>
            <w:vMerge w:val="restar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污染物</w:t>
            </w:r>
          </w:p>
        </w:tc>
        <w:tc>
          <w:tcPr>
            <w:tcW w:w="1232" w:type="pct"/>
            <w:vMerge w:val="restar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最高允许排放浓度（mg/m</w:t>
            </w:r>
            <w:r>
              <w:rPr>
                <w:rFonts w:ascii="Times New Roman" w:hAnsi="Times New Roman"/>
                <w:spacing w:val="-6"/>
                <w:sz w:val="21"/>
                <w:vertAlign w:val="superscript"/>
              </w:rPr>
              <w:t>3</w:t>
            </w:r>
            <w:r>
              <w:rPr>
                <w:rFonts w:ascii="Times New Roman" w:hAnsi="Times New Roman"/>
                <w:spacing w:val="-6"/>
                <w:sz w:val="21"/>
              </w:rPr>
              <w:t>）</w:t>
            </w:r>
          </w:p>
        </w:tc>
        <w:tc>
          <w:tcPr>
            <w:tcW w:w="2923" w:type="pct"/>
            <w:gridSpan w:val="2"/>
            <w:vMerge w:val="restar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无组织排放监控浓度限值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340" w:hRule="atLeast"/>
          <w:jc w:val="center"/>
        </w:trPr>
        <w:tc>
          <w:tcPr>
            <w:tcW w:w="845" w:type="pct"/>
            <w:vMerge w:val="continue"/>
            <w:vAlign w:val="center"/>
          </w:tcPr>
          <w:p>
            <w:pPr>
              <w:spacing w:line="240" w:lineRule="auto"/>
              <w:ind w:firstLine="0" w:firstLineChars="0"/>
              <w:jc w:val="center"/>
              <w:rPr>
                <w:rFonts w:ascii="Times New Roman" w:hAnsi="Times New Roman"/>
                <w:spacing w:val="-6"/>
                <w:sz w:val="21"/>
              </w:rPr>
            </w:pPr>
          </w:p>
        </w:tc>
        <w:tc>
          <w:tcPr>
            <w:tcW w:w="1232" w:type="pct"/>
            <w:vMerge w:val="continue"/>
            <w:vAlign w:val="center"/>
          </w:tcPr>
          <w:p>
            <w:pPr>
              <w:spacing w:line="240" w:lineRule="auto"/>
              <w:ind w:firstLine="0" w:firstLineChars="0"/>
              <w:jc w:val="center"/>
              <w:rPr>
                <w:rFonts w:ascii="Times New Roman" w:hAnsi="Times New Roman"/>
                <w:spacing w:val="-6"/>
                <w:sz w:val="21"/>
              </w:rPr>
            </w:pPr>
          </w:p>
        </w:tc>
        <w:tc>
          <w:tcPr>
            <w:tcW w:w="2923" w:type="pct"/>
            <w:gridSpan w:val="2"/>
            <w:vMerge w:val="continue"/>
            <w:vAlign w:val="center"/>
          </w:tcPr>
          <w:p>
            <w:pPr>
              <w:spacing w:line="240" w:lineRule="auto"/>
              <w:ind w:firstLine="0" w:firstLineChars="0"/>
              <w:jc w:val="center"/>
              <w:rPr>
                <w:rFonts w:ascii="Times New Roman" w:hAnsi="Times New Roman"/>
                <w:spacing w:val="-6"/>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340" w:hRule="atLeast"/>
          <w:jc w:val="center"/>
        </w:trPr>
        <w:tc>
          <w:tcPr>
            <w:tcW w:w="845" w:type="pct"/>
            <w:vMerge w:val="continue"/>
            <w:vAlign w:val="center"/>
          </w:tcPr>
          <w:p>
            <w:pPr>
              <w:spacing w:line="240" w:lineRule="auto"/>
              <w:ind w:firstLine="0" w:firstLineChars="0"/>
              <w:jc w:val="center"/>
              <w:rPr>
                <w:rFonts w:ascii="Times New Roman" w:hAnsi="Times New Roman"/>
                <w:spacing w:val="-6"/>
                <w:sz w:val="21"/>
              </w:rPr>
            </w:pPr>
          </w:p>
        </w:tc>
        <w:tc>
          <w:tcPr>
            <w:tcW w:w="1232" w:type="pct"/>
            <w:vMerge w:val="continue"/>
            <w:vAlign w:val="center"/>
          </w:tcPr>
          <w:p>
            <w:pPr>
              <w:spacing w:line="240" w:lineRule="auto"/>
              <w:ind w:firstLine="0" w:firstLineChars="0"/>
              <w:jc w:val="center"/>
              <w:rPr>
                <w:rFonts w:ascii="Times New Roman" w:hAnsi="Times New Roman"/>
                <w:spacing w:val="-6"/>
                <w:sz w:val="21"/>
              </w:rPr>
            </w:pPr>
          </w:p>
        </w:tc>
        <w:tc>
          <w:tcPr>
            <w:tcW w:w="1311" w:type="pc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监测点</w:t>
            </w:r>
          </w:p>
        </w:tc>
        <w:tc>
          <w:tcPr>
            <w:tcW w:w="1612" w:type="pc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浓度限值（mg/m</w:t>
            </w:r>
            <w:r>
              <w:rPr>
                <w:rFonts w:ascii="Times New Roman" w:hAnsi="Times New Roman"/>
                <w:spacing w:val="-6"/>
                <w:sz w:val="21"/>
                <w:vertAlign w:val="superscript"/>
              </w:rPr>
              <w:t>3</w:t>
            </w:r>
            <w:r>
              <w:rPr>
                <w:rFonts w:ascii="Times New Roman" w:hAnsi="Times New Roman"/>
                <w:spacing w:val="-6"/>
                <w:sz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340" w:hRule="atLeast"/>
          <w:jc w:val="center"/>
        </w:trPr>
        <w:tc>
          <w:tcPr>
            <w:tcW w:w="845" w:type="pct"/>
            <w:vAlign w:val="center"/>
          </w:tcPr>
          <w:p>
            <w:pPr>
              <w:spacing w:line="240" w:lineRule="auto"/>
              <w:ind w:firstLine="0" w:firstLineChars="0"/>
              <w:jc w:val="center"/>
              <w:rPr>
                <w:rFonts w:ascii="Times New Roman" w:hAnsi="Times New Roman"/>
                <w:spacing w:val="-6"/>
                <w:sz w:val="21"/>
              </w:rPr>
            </w:pPr>
            <w:r>
              <w:rPr>
                <w:rFonts w:hint="eastAsia" w:ascii="Times New Roman"/>
                <w:szCs w:val="24"/>
              </w:rPr>
              <w:t>VOCs</w:t>
            </w:r>
          </w:p>
        </w:tc>
        <w:tc>
          <w:tcPr>
            <w:tcW w:w="1232" w:type="pc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120</w:t>
            </w:r>
          </w:p>
        </w:tc>
        <w:tc>
          <w:tcPr>
            <w:tcW w:w="1311" w:type="pc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周界外浓度最高点</w:t>
            </w:r>
          </w:p>
        </w:tc>
        <w:tc>
          <w:tcPr>
            <w:tcW w:w="1612" w:type="pct"/>
            <w:vAlign w:val="center"/>
          </w:tcPr>
          <w:p>
            <w:pPr>
              <w:spacing w:line="240" w:lineRule="auto"/>
              <w:ind w:firstLine="0" w:firstLineChars="0"/>
              <w:jc w:val="center"/>
              <w:rPr>
                <w:rFonts w:ascii="Times New Roman" w:hAnsi="Times New Roman"/>
                <w:spacing w:val="-6"/>
                <w:sz w:val="21"/>
              </w:rPr>
            </w:pPr>
            <w:r>
              <w:rPr>
                <w:rFonts w:ascii="Times New Roman" w:hAnsi="Times New Roman"/>
                <w:spacing w:val="-6"/>
                <w:sz w:val="21"/>
              </w:rPr>
              <w:t>4.0</w:t>
            </w:r>
          </w:p>
        </w:tc>
      </w:tr>
    </w:tbl>
    <w:p>
      <w:pPr>
        <w:snapToGrid w:val="0"/>
        <w:spacing w:before="156" w:beforeLines="50"/>
        <w:ind w:firstLine="482"/>
        <w:rPr>
          <w:rFonts w:ascii="Times New Roman" w:hAnsi="Times New Roman"/>
          <w:b/>
          <w:szCs w:val="24"/>
        </w:rPr>
      </w:pPr>
      <w:r>
        <w:rPr>
          <w:rFonts w:hint="eastAsia" w:ascii="Times New Roman" w:hAnsi="Times New Roman"/>
          <w:b/>
          <w:szCs w:val="24"/>
        </w:rPr>
        <w:t>（2）</w:t>
      </w:r>
      <w:r>
        <w:rPr>
          <w:rFonts w:ascii="Times New Roman" w:hAnsi="Times New Roman"/>
          <w:b/>
          <w:szCs w:val="24"/>
        </w:rPr>
        <w:t>废水排放标准</w:t>
      </w:r>
    </w:p>
    <w:p>
      <w:pPr>
        <w:widowControl/>
        <w:ind w:firstLine="480"/>
        <w:rPr>
          <w:rFonts w:ascii="Times New Roman" w:hAnsi="Times New Roman"/>
          <w:szCs w:val="24"/>
          <w:lang w:val="zh-CN"/>
        </w:rPr>
      </w:pPr>
      <w:r>
        <w:rPr>
          <w:rFonts w:ascii="Times New Roman"/>
          <w:szCs w:val="24"/>
          <w:lang w:val="zh-CN"/>
        </w:rPr>
        <w:t>生产</w:t>
      </w:r>
      <w:r>
        <w:rPr>
          <w:rFonts w:hint="eastAsia" w:ascii="Times New Roman"/>
          <w:szCs w:val="24"/>
          <w:lang w:val="zh-CN"/>
        </w:rPr>
        <w:t>废水全部蒸发，</w:t>
      </w:r>
      <w:r>
        <w:rPr>
          <w:rFonts w:ascii="Times New Roman"/>
          <w:szCs w:val="24"/>
          <w:lang w:val="zh-CN"/>
        </w:rPr>
        <w:t>生活废水全部回用，不外排。</w:t>
      </w:r>
    </w:p>
    <w:p>
      <w:pPr>
        <w:snapToGrid w:val="0"/>
        <w:ind w:firstLine="482"/>
        <w:rPr>
          <w:rFonts w:ascii="Times New Roman" w:hAnsi="Times New Roman"/>
          <w:b/>
          <w:szCs w:val="24"/>
        </w:rPr>
      </w:pPr>
      <w:r>
        <w:rPr>
          <w:rFonts w:hint="eastAsia" w:ascii="Times New Roman" w:hAnsi="Times New Roman"/>
          <w:b/>
          <w:szCs w:val="24"/>
        </w:rPr>
        <w:t>（3）</w:t>
      </w:r>
      <w:r>
        <w:rPr>
          <w:rFonts w:ascii="Times New Roman" w:hAnsi="Times New Roman"/>
          <w:b/>
          <w:szCs w:val="24"/>
        </w:rPr>
        <w:t>噪声排放标准</w:t>
      </w:r>
    </w:p>
    <w:p>
      <w:pPr>
        <w:widowControl/>
        <w:ind w:firstLine="480"/>
        <w:rPr>
          <w:rFonts w:ascii="Times New Roman" w:hAnsi="Times New Roman" w:eastAsia="黑体"/>
        </w:rPr>
      </w:pPr>
      <w:r>
        <w:rPr>
          <w:rFonts w:ascii="Times New Roman"/>
          <w:szCs w:val="24"/>
          <w:lang w:val="zh-CN"/>
        </w:rPr>
        <w:t>建设期的建筑施工噪声执行《建筑施工场界环境噪声排放标准》（</w:t>
      </w:r>
      <w:r>
        <w:rPr>
          <w:rFonts w:ascii="Times New Roman" w:hAnsi="Times New Roman"/>
          <w:szCs w:val="24"/>
          <w:lang w:val="zh-CN"/>
        </w:rPr>
        <w:t>GB12523-2011</w:t>
      </w:r>
      <w:r>
        <w:rPr>
          <w:rFonts w:ascii="Times New Roman"/>
          <w:szCs w:val="24"/>
          <w:lang w:val="zh-CN"/>
        </w:rPr>
        <w:t>）对应施工阶段限值要求；厂界噪声执行《工业企业厂界环境噪声排放标准》（</w:t>
      </w:r>
      <w:r>
        <w:rPr>
          <w:rFonts w:ascii="Times New Roman" w:hAnsi="Times New Roman"/>
          <w:szCs w:val="24"/>
          <w:lang w:val="zh-CN"/>
        </w:rPr>
        <w:t>GB12348-2008</w:t>
      </w:r>
      <w:r>
        <w:rPr>
          <w:rFonts w:ascii="Times New Roman"/>
          <w:szCs w:val="24"/>
          <w:lang w:val="zh-CN"/>
        </w:rPr>
        <w:t>）中</w:t>
      </w:r>
      <w:r>
        <w:rPr>
          <w:rFonts w:ascii="Times New Roman" w:hAnsi="Times New Roman"/>
          <w:szCs w:val="24"/>
          <w:lang w:val="zh-CN"/>
        </w:rPr>
        <w:t>2</w:t>
      </w:r>
      <w:r>
        <w:rPr>
          <w:rFonts w:ascii="Times New Roman"/>
          <w:szCs w:val="24"/>
          <w:lang w:val="zh-CN"/>
        </w:rPr>
        <w:t>类标准。</w:t>
      </w:r>
    </w:p>
    <w:p>
      <w:pPr>
        <w:spacing w:before="156" w:beforeLines="50" w:line="240" w:lineRule="auto"/>
        <w:ind w:firstLine="0" w:firstLineChars="0"/>
        <w:jc w:val="center"/>
        <w:rPr>
          <w:rFonts w:ascii="Times New Roman" w:hAnsi="Times New Roman"/>
          <w:b/>
        </w:rPr>
      </w:pPr>
      <w:r>
        <w:rPr>
          <w:rFonts w:hint="eastAsia" w:ascii="Times New Roman"/>
          <w:b/>
          <w:sz w:val="21"/>
        </w:rPr>
        <w:t xml:space="preserve">                           </w:t>
      </w:r>
      <w:r>
        <w:rPr>
          <w:rFonts w:ascii="Times New Roman"/>
          <w:b/>
          <w:sz w:val="21"/>
        </w:rPr>
        <w:t>表</w:t>
      </w:r>
      <w:r>
        <w:rPr>
          <w:rFonts w:hint="eastAsia" w:ascii="Times New Roman"/>
          <w:b/>
          <w:sz w:val="21"/>
        </w:rPr>
        <w:t>2.</w:t>
      </w:r>
      <w:r>
        <w:rPr>
          <w:rFonts w:ascii="Times New Roman"/>
          <w:b/>
          <w:sz w:val="21"/>
        </w:rPr>
        <w:t>4-</w:t>
      </w:r>
      <w:r>
        <w:rPr>
          <w:rFonts w:hint="eastAsia" w:ascii="Times New Roman"/>
          <w:b/>
          <w:sz w:val="21"/>
        </w:rPr>
        <w:t>7</w:t>
      </w:r>
      <w:r>
        <w:rPr>
          <w:rFonts w:ascii="Times New Roman"/>
          <w:b/>
          <w:sz w:val="21"/>
        </w:rPr>
        <w:t xml:space="preserve"> 噪声排放标准           Leq: dB（A）</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8"/>
        <w:gridCol w:w="1276"/>
        <w:gridCol w:w="1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40" w:type="pct"/>
            <w:vAlign w:val="center"/>
          </w:tcPr>
          <w:p>
            <w:pPr>
              <w:pStyle w:val="10"/>
              <w:snapToGrid w:val="0"/>
              <w:spacing w:line="240" w:lineRule="auto"/>
              <w:ind w:firstLine="0"/>
              <w:jc w:val="center"/>
              <w:rPr>
                <w:spacing w:val="6"/>
                <w:sz w:val="21"/>
              </w:rPr>
            </w:pPr>
            <w:r>
              <w:rPr>
                <w:spacing w:val="6"/>
                <w:sz w:val="21"/>
              </w:rPr>
              <w:t>标准</w:t>
            </w:r>
          </w:p>
        </w:tc>
        <w:tc>
          <w:tcPr>
            <w:tcW w:w="748" w:type="pct"/>
            <w:vAlign w:val="center"/>
          </w:tcPr>
          <w:p>
            <w:pPr>
              <w:pStyle w:val="10"/>
              <w:snapToGrid w:val="0"/>
              <w:spacing w:line="240" w:lineRule="auto"/>
              <w:ind w:firstLine="0"/>
              <w:jc w:val="center"/>
              <w:rPr>
                <w:spacing w:val="6"/>
                <w:sz w:val="21"/>
              </w:rPr>
            </w:pPr>
            <w:r>
              <w:rPr>
                <w:spacing w:val="6"/>
                <w:sz w:val="21"/>
              </w:rPr>
              <w:t>昼间</w:t>
            </w:r>
          </w:p>
        </w:tc>
        <w:tc>
          <w:tcPr>
            <w:tcW w:w="612" w:type="pct"/>
            <w:vAlign w:val="center"/>
          </w:tcPr>
          <w:p>
            <w:pPr>
              <w:pStyle w:val="10"/>
              <w:snapToGrid w:val="0"/>
              <w:spacing w:line="240" w:lineRule="auto"/>
              <w:ind w:firstLine="0"/>
              <w:jc w:val="center"/>
              <w:rPr>
                <w:spacing w:val="6"/>
                <w:sz w:val="21"/>
              </w:rPr>
            </w:pPr>
            <w:r>
              <w:rPr>
                <w:spacing w:val="6"/>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40" w:type="pct"/>
            <w:vAlign w:val="center"/>
          </w:tcPr>
          <w:p>
            <w:pPr>
              <w:pStyle w:val="10"/>
              <w:snapToGrid w:val="0"/>
              <w:spacing w:line="240" w:lineRule="auto"/>
              <w:ind w:firstLine="0"/>
              <w:jc w:val="center"/>
              <w:rPr>
                <w:spacing w:val="6"/>
                <w:sz w:val="21"/>
              </w:rPr>
            </w:pPr>
            <w:r>
              <w:rPr>
                <w:spacing w:val="6"/>
                <w:sz w:val="21"/>
              </w:rPr>
              <w:t>《建筑施工场界环境噪声排放标准》（GB12523-2011）</w:t>
            </w:r>
          </w:p>
        </w:tc>
        <w:tc>
          <w:tcPr>
            <w:tcW w:w="748" w:type="pct"/>
            <w:vAlign w:val="center"/>
          </w:tcPr>
          <w:p>
            <w:pPr>
              <w:pStyle w:val="10"/>
              <w:snapToGrid w:val="0"/>
              <w:spacing w:line="240" w:lineRule="auto"/>
              <w:ind w:firstLine="0"/>
              <w:jc w:val="center"/>
              <w:rPr>
                <w:spacing w:val="6"/>
                <w:sz w:val="21"/>
              </w:rPr>
            </w:pPr>
            <w:r>
              <w:rPr>
                <w:spacing w:val="6"/>
                <w:sz w:val="21"/>
              </w:rPr>
              <w:t>70</w:t>
            </w:r>
          </w:p>
        </w:tc>
        <w:tc>
          <w:tcPr>
            <w:tcW w:w="612" w:type="pct"/>
            <w:vAlign w:val="center"/>
          </w:tcPr>
          <w:p>
            <w:pPr>
              <w:pStyle w:val="10"/>
              <w:snapToGrid w:val="0"/>
              <w:spacing w:line="240" w:lineRule="auto"/>
              <w:ind w:firstLine="0"/>
              <w:jc w:val="center"/>
              <w:rPr>
                <w:spacing w:val="6"/>
                <w:sz w:val="21"/>
              </w:rPr>
            </w:pPr>
            <w:r>
              <w:rPr>
                <w:spacing w:val="6"/>
                <w:sz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40" w:type="pct"/>
            <w:vAlign w:val="center"/>
          </w:tcPr>
          <w:p>
            <w:pPr>
              <w:pStyle w:val="10"/>
              <w:snapToGrid w:val="0"/>
              <w:spacing w:line="240" w:lineRule="auto"/>
              <w:ind w:firstLine="0"/>
              <w:jc w:val="center"/>
              <w:rPr>
                <w:spacing w:val="6"/>
                <w:sz w:val="21"/>
              </w:rPr>
            </w:pPr>
            <w:r>
              <w:rPr>
                <w:spacing w:val="6"/>
                <w:sz w:val="21"/>
              </w:rPr>
              <w:t>《工业企业厂界环境噪声排放标准》（GB12348-2008）2类</w:t>
            </w:r>
          </w:p>
        </w:tc>
        <w:tc>
          <w:tcPr>
            <w:tcW w:w="748" w:type="pct"/>
            <w:vAlign w:val="center"/>
          </w:tcPr>
          <w:p>
            <w:pPr>
              <w:pStyle w:val="10"/>
              <w:snapToGrid w:val="0"/>
              <w:spacing w:line="240" w:lineRule="auto"/>
              <w:ind w:firstLine="0"/>
              <w:jc w:val="center"/>
              <w:rPr>
                <w:spacing w:val="6"/>
                <w:sz w:val="21"/>
              </w:rPr>
            </w:pPr>
            <w:r>
              <w:rPr>
                <w:spacing w:val="6"/>
                <w:sz w:val="21"/>
              </w:rPr>
              <w:t>60</w:t>
            </w:r>
          </w:p>
        </w:tc>
        <w:tc>
          <w:tcPr>
            <w:tcW w:w="612" w:type="pct"/>
            <w:vAlign w:val="center"/>
          </w:tcPr>
          <w:p>
            <w:pPr>
              <w:pStyle w:val="10"/>
              <w:snapToGrid w:val="0"/>
              <w:spacing w:line="240" w:lineRule="auto"/>
              <w:ind w:firstLine="0"/>
              <w:jc w:val="center"/>
              <w:rPr>
                <w:spacing w:val="6"/>
                <w:sz w:val="21"/>
              </w:rPr>
            </w:pPr>
            <w:r>
              <w:rPr>
                <w:spacing w:val="6"/>
                <w:sz w:val="21"/>
              </w:rPr>
              <w:t>50</w:t>
            </w:r>
          </w:p>
        </w:tc>
      </w:tr>
    </w:tbl>
    <w:p>
      <w:pPr>
        <w:snapToGrid w:val="0"/>
        <w:spacing w:before="156" w:beforeLines="50"/>
        <w:ind w:firstLine="482"/>
        <w:rPr>
          <w:rFonts w:ascii="Times New Roman" w:hAnsi="Times New Roman"/>
          <w:b/>
          <w:szCs w:val="24"/>
        </w:rPr>
      </w:pPr>
      <w:r>
        <w:rPr>
          <w:rFonts w:hint="eastAsia" w:ascii="Times New Roman" w:hAnsi="Times New Roman"/>
          <w:b/>
          <w:szCs w:val="24"/>
        </w:rPr>
        <w:t>（4）</w:t>
      </w:r>
      <w:r>
        <w:rPr>
          <w:rFonts w:ascii="Times New Roman" w:hAnsi="Times New Roman"/>
          <w:b/>
          <w:szCs w:val="24"/>
        </w:rPr>
        <w:t>固废排放标准</w:t>
      </w:r>
    </w:p>
    <w:p>
      <w:pPr>
        <w:ind w:firstLine="480"/>
        <w:rPr>
          <w:rFonts w:ascii="Times New Roman"/>
          <w:szCs w:val="24"/>
        </w:rPr>
      </w:pPr>
      <w:r>
        <w:rPr>
          <w:rFonts w:ascii="Times New Roman"/>
          <w:szCs w:val="24"/>
        </w:rPr>
        <w:t>固体废物处置执行《一般工业固体废物贮存、处置场污染控制标准》（</w:t>
      </w:r>
      <w:r>
        <w:rPr>
          <w:rFonts w:ascii="Times New Roman" w:hAnsi="Times New Roman"/>
          <w:szCs w:val="24"/>
        </w:rPr>
        <w:t>GB18599</w:t>
      </w:r>
      <w:r>
        <w:rPr>
          <w:rFonts w:ascii="Times New Roman"/>
          <w:szCs w:val="24"/>
        </w:rPr>
        <w:t>－</w:t>
      </w:r>
      <w:r>
        <w:rPr>
          <w:rFonts w:ascii="Times New Roman" w:hAnsi="Times New Roman"/>
          <w:szCs w:val="24"/>
        </w:rPr>
        <w:t>2001</w:t>
      </w:r>
      <w:r>
        <w:rPr>
          <w:rFonts w:ascii="Times New Roman"/>
          <w:szCs w:val="24"/>
        </w:rPr>
        <w:t>）及环境保护部公告（公告</w:t>
      </w:r>
      <w:r>
        <w:rPr>
          <w:rFonts w:ascii="Times New Roman" w:hAnsi="Times New Roman"/>
          <w:szCs w:val="24"/>
        </w:rPr>
        <w:t>2013</w:t>
      </w:r>
      <w:r>
        <w:rPr>
          <w:rFonts w:ascii="Times New Roman"/>
          <w:szCs w:val="24"/>
        </w:rPr>
        <w:t>第</w:t>
      </w:r>
      <w:r>
        <w:rPr>
          <w:rFonts w:ascii="Times New Roman" w:hAnsi="Times New Roman"/>
          <w:szCs w:val="24"/>
        </w:rPr>
        <w:t>[36</w:t>
      </w:r>
      <w:r>
        <w:rPr>
          <w:rFonts w:ascii="Times New Roman"/>
          <w:szCs w:val="24"/>
        </w:rPr>
        <w:t>号文</w:t>
      </w:r>
      <w:r>
        <w:rPr>
          <w:rFonts w:ascii="Times New Roman" w:hAnsi="Times New Roman"/>
          <w:szCs w:val="24"/>
        </w:rPr>
        <w:t>]</w:t>
      </w:r>
      <w:r>
        <w:rPr>
          <w:rFonts w:ascii="Times New Roman"/>
          <w:szCs w:val="24"/>
        </w:rPr>
        <w:t>）《关于</w:t>
      </w:r>
      <w:r>
        <w:rPr>
          <w:rFonts w:ascii="Times New Roman" w:hAnsi="Times New Roman"/>
          <w:szCs w:val="24"/>
        </w:rPr>
        <w:t>&lt;</w:t>
      </w:r>
      <w:r>
        <w:rPr>
          <w:rFonts w:ascii="Times New Roman"/>
          <w:szCs w:val="24"/>
        </w:rPr>
        <w:t>一般工业固体废物贮存、处置场污染控制标准</w:t>
      </w:r>
      <w:r>
        <w:rPr>
          <w:rFonts w:ascii="Times New Roman" w:hAnsi="Times New Roman"/>
          <w:szCs w:val="24"/>
        </w:rPr>
        <w:t>&gt;GB18599-2001</w:t>
      </w:r>
      <w:r>
        <w:rPr>
          <w:rFonts w:ascii="Times New Roman"/>
          <w:szCs w:val="24"/>
        </w:rPr>
        <w:t>）等三项国家污染物控制标准修改单的公告》。危险废物执行《危险废物贮存污染控制标准》（</w:t>
      </w:r>
      <w:r>
        <w:rPr>
          <w:rFonts w:ascii="Times New Roman" w:hAnsi="Times New Roman"/>
          <w:szCs w:val="24"/>
        </w:rPr>
        <w:t>GB18597-2001</w:t>
      </w:r>
      <w:r>
        <w:rPr>
          <w:rFonts w:ascii="Times New Roman"/>
          <w:szCs w:val="24"/>
        </w:rPr>
        <w:t>）。</w:t>
      </w:r>
    </w:p>
    <w:p>
      <w:pPr>
        <w:spacing w:before="156" w:beforeLines="50" w:after="156" w:afterLines="50"/>
        <w:ind w:firstLine="0" w:firstLineChars="0"/>
        <w:outlineLvl w:val="1"/>
        <w:rPr>
          <w:rFonts w:ascii="Times New Roman" w:hAnsi="Times New Roman"/>
          <w:b/>
          <w:sz w:val="30"/>
          <w:szCs w:val="30"/>
        </w:rPr>
      </w:pPr>
      <w:bookmarkStart w:id="25" w:name="_Toc524624560"/>
      <w:r>
        <w:rPr>
          <w:rFonts w:hint="eastAsia" w:ascii="Times New Roman" w:hAnsi="Times New Roman"/>
          <w:b/>
          <w:sz w:val="30"/>
          <w:szCs w:val="30"/>
        </w:rPr>
        <w:t>2.5 评价等级的划分</w:t>
      </w:r>
      <w:bookmarkEnd w:id="25"/>
    </w:p>
    <w:p>
      <w:pPr>
        <w:ind w:firstLine="0" w:firstLineChars="0"/>
        <w:outlineLvl w:val="2"/>
        <w:rPr>
          <w:rFonts w:ascii="Times New Roman" w:hAnsi="Times New Roman"/>
          <w:b/>
          <w:sz w:val="28"/>
          <w:szCs w:val="28"/>
        </w:rPr>
      </w:pPr>
      <w:bookmarkStart w:id="26" w:name="_Toc524624561"/>
      <w:r>
        <w:rPr>
          <w:rFonts w:hint="eastAsia" w:ascii="Times New Roman" w:hAnsi="Times New Roman"/>
          <w:b/>
          <w:sz w:val="28"/>
          <w:szCs w:val="28"/>
        </w:rPr>
        <w:t>2.5.1 大气环境</w:t>
      </w:r>
      <w:bookmarkEnd w:id="26"/>
    </w:p>
    <w:p>
      <w:pPr>
        <w:tabs>
          <w:tab w:val="left" w:pos="1045"/>
        </w:tabs>
        <w:adjustRightInd w:val="0"/>
        <w:snapToGrid w:val="0"/>
        <w:ind w:firstLine="480"/>
        <w:rPr>
          <w:rFonts w:ascii="Times New Roman" w:hAnsi="Times New Roman"/>
        </w:rPr>
      </w:pPr>
      <w:r>
        <w:rPr>
          <w:rFonts w:ascii="Times New Roman" w:hAnsi="Times New Roman"/>
        </w:rPr>
        <w:t>根据《环境影响评价技术导则大气环境》（HJ2.2-2008）中的分级方法，其污染物的最大地面浓度占标率Pi：</w:t>
      </w:r>
    </w:p>
    <w:p>
      <w:pPr>
        <w:tabs>
          <w:tab w:val="left" w:pos="1045"/>
        </w:tabs>
        <w:adjustRightInd w:val="0"/>
        <w:snapToGrid w:val="0"/>
        <w:ind w:firstLine="480"/>
        <w:jc w:val="center"/>
        <w:rPr>
          <w:rFonts w:ascii="Times New Roman" w:hAnsi="Times New Roman"/>
        </w:rPr>
      </w:pPr>
      <w:r>
        <w:rPr>
          <w:rFonts w:ascii="Times New Roman" w:hAnsi="Times New Roman"/>
        </w:rPr>
        <w:t>P</w:t>
      </w:r>
      <w:r>
        <w:rPr>
          <w:rFonts w:ascii="Times New Roman" w:hAnsi="Times New Roman"/>
          <w:vertAlign w:val="subscript"/>
        </w:rPr>
        <w:t>i</w:t>
      </w:r>
      <w:r>
        <w:rPr>
          <w:rFonts w:ascii="Times New Roman" w:hAnsi="Times New Roman"/>
        </w:rPr>
        <w:t xml:space="preserve"> =C</w:t>
      </w:r>
      <w:r>
        <w:rPr>
          <w:rFonts w:ascii="Times New Roman" w:hAnsi="Times New Roman"/>
          <w:vertAlign w:val="subscript"/>
        </w:rPr>
        <w:t>i</w:t>
      </w:r>
      <w:r>
        <w:rPr>
          <w:rFonts w:ascii="Times New Roman" w:hAnsi="Times New Roman"/>
        </w:rPr>
        <w:t>/C</w:t>
      </w:r>
      <w:r>
        <w:rPr>
          <w:rFonts w:ascii="Times New Roman" w:hAnsi="Times New Roman"/>
          <w:vertAlign w:val="subscript"/>
        </w:rPr>
        <w:t>0i</w:t>
      </w:r>
      <w:r>
        <w:rPr>
          <w:rFonts w:ascii="Times New Roman" w:hAnsi="Times New Roman"/>
        </w:rPr>
        <w:t>×100%</w:t>
      </w:r>
    </w:p>
    <w:p>
      <w:pPr>
        <w:tabs>
          <w:tab w:val="left" w:pos="1045"/>
        </w:tabs>
        <w:adjustRightInd w:val="0"/>
        <w:snapToGrid w:val="0"/>
        <w:ind w:firstLine="480"/>
        <w:rPr>
          <w:rFonts w:ascii="Times New Roman" w:hAnsi="Times New Roman"/>
        </w:rPr>
      </w:pPr>
      <w:r>
        <w:rPr>
          <w:rFonts w:ascii="Times New Roman" w:hAnsi="Times New Roman"/>
        </w:rPr>
        <w:t>式中：P</w:t>
      </w:r>
      <w:r>
        <w:rPr>
          <w:rFonts w:ascii="Times New Roman" w:hAnsi="Times New Roman"/>
          <w:vertAlign w:val="subscript"/>
        </w:rPr>
        <w:t xml:space="preserve">i  </w:t>
      </w:r>
      <w:r>
        <w:rPr>
          <w:rFonts w:ascii="Times New Roman" w:hAnsi="Times New Roman"/>
        </w:rPr>
        <w:t>—第i个污染物的最大地面浓度占标率，%；</w:t>
      </w:r>
    </w:p>
    <w:p>
      <w:pPr>
        <w:tabs>
          <w:tab w:val="left" w:pos="1045"/>
        </w:tabs>
        <w:adjustRightInd w:val="0"/>
        <w:snapToGrid w:val="0"/>
        <w:ind w:firstLine="1200" w:firstLineChars="500"/>
        <w:rPr>
          <w:rFonts w:ascii="Times New Roman" w:hAnsi="Times New Roman"/>
        </w:rPr>
      </w:pPr>
      <w:r>
        <w:rPr>
          <w:rFonts w:ascii="Times New Roman" w:hAnsi="Times New Roman"/>
        </w:rPr>
        <w:t>C</w:t>
      </w:r>
      <w:r>
        <w:rPr>
          <w:rFonts w:ascii="Times New Roman" w:hAnsi="Times New Roman"/>
          <w:vertAlign w:val="subscript"/>
        </w:rPr>
        <w:t xml:space="preserve">i  </w:t>
      </w:r>
      <w:r>
        <w:rPr>
          <w:rFonts w:ascii="Times New Roman" w:hAnsi="Times New Roman"/>
        </w:rPr>
        <w:t>—采用估算模式计算出的第i个污染物的最大地面浓度，mg/m</w:t>
      </w:r>
      <w:r>
        <w:rPr>
          <w:rFonts w:ascii="Times New Roman" w:hAnsi="Times New Roman"/>
          <w:vertAlign w:val="superscript"/>
        </w:rPr>
        <w:t>3</w:t>
      </w:r>
      <w:r>
        <w:rPr>
          <w:rFonts w:ascii="Times New Roman" w:hAnsi="Times New Roman"/>
        </w:rPr>
        <w:t>；</w:t>
      </w:r>
    </w:p>
    <w:p>
      <w:pPr>
        <w:tabs>
          <w:tab w:val="left" w:pos="1045"/>
        </w:tabs>
        <w:adjustRightInd w:val="0"/>
        <w:snapToGrid w:val="0"/>
        <w:ind w:firstLine="1200" w:firstLineChars="500"/>
        <w:rPr>
          <w:rFonts w:ascii="Times New Roman" w:hAnsi="Times New Roman"/>
        </w:rPr>
      </w:pPr>
      <w:r>
        <w:rPr>
          <w:rFonts w:ascii="Times New Roman" w:hAnsi="Times New Roman"/>
        </w:rPr>
        <w:t>C</w:t>
      </w:r>
      <w:r>
        <w:rPr>
          <w:rFonts w:ascii="Times New Roman" w:hAnsi="Times New Roman"/>
          <w:vertAlign w:val="subscript"/>
        </w:rPr>
        <w:t xml:space="preserve">0i </w:t>
      </w:r>
      <w:r>
        <w:rPr>
          <w:rFonts w:ascii="Times New Roman" w:hAnsi="Times New Roman"/>
        </w:rPr>
        <w:t>—第i个污染物的环境空气质量标准，mg/m</w:t>
      </w:r>
      <w:r>
        <w:rPr>
          <w:rFonts w:ascii="Times New Roman" w:hAnsi="Times New Roman"/>
          <w:vertAlign w:val="superscript"/>
        </w:rPr>
        <w:t>3</w:t>
      </w:r>
      <w:r>
        <w:rPr>
          <w:rFonts w:ascii="Times New Roman" w:hAnsi="Times New Roman"/>
        </w:rPr>
        <w:t>。</w:t>
      </w:r>
    </w:p>
    <w:p>
      <w:pPr>
        <w:tabs>
          <w:tab w:val="left" w:pos="1045"/>
        </w:tabs>
        <w:adjustRightInd w:val="0"/>
        <w:snapToGrid w:val="0"/>
        <w:ind w:firstLine="480"/>
        <w:rPr>
          <w:rFonts w:ascii="Times New Roman" w:hAnsi="Times New Roman"/>
        </w:rPr>
      </w:pPr>
      <w:r>
        <w:rPr>
          <w:rFonts w:ascii="Times New Roman" w:hAnsi="Times New Roman"/>
        </w:rPr>
        <w:t>根据工程分析结果，本</w:t>
      </w:r>
      <w:r>
        <w:rPr>
          <w:rFonts w:hint="eastAsia" w:ascii="Times New Roman" w:hAnsi="Times New Roman"/>
        </w:rPr>
        <w:t>扩建项目</w:t>
      </w:r>
      <w:r>
        <w:rPr>
          <w:rFonts w:ascii="Times New Roman" w:hAnsi="Times New Roman"/>
        </w:rPr>
        <w:t>产生的大气污染物主要为</w:t>
      </w:r>
      <w:r>
        <w:rPr>
          <w:rFonts w:hint="eastAsia" w:ascii="Times New Roman" w:hAnsi="Times New Roman"/>
        </w:rPr>
        <w:t>办公生活区和生产废水处理站</w:t>
      </w:r>
      <w:r>
        <w:rPr>
          <w:rFonts w:ascii="Times New Roman" w:hAnsi="Times New Roman"/>
        </w:rPr>
        <w:t>燃气锅炉烟气。各污染物最大地面浓度占标率P</w:t>
      </w:r>
      <w:r>
        <w:rPr>
          <w:rFonts w:ascii="Times New Roman" w:hAnsi="Times New Roman"/>
          <w:vertAlign w:val="subscript"/>
        </w:rPr>
        <w:t>i</w:t>
      </w:r>
      <w:r>
        <w:rPr>
          <w:rFonts w:ascii="Times New Roman" w:hAnsi="Times New Roman"/>
        </w:rPr>
        <w:t>见表2.5-1，评判标准详见下表：</w:t>
      </w:r>
    </w:p>
    <w:p>
      <w:pPr>
        <w:spacing w:line="240" w:lineRule="auto"/>
        <w:ind w:firstLine="0" w:firstLineChars="0"/>
        <w:jc w:val="center"/>
      </w:pPr>
      <w:r>
        <w:rPr>
          <w:rFonts w:ascii="Times New Roman" w:hAnsi="Times New Roman"/>
          <w:b/>
          <w:sz w:val="21"/>
        </w:rPr>
        <w:t>表2.5-1 主要污染源排放参数及估算模式计算结果</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900"/>
        <w:gridCol w:w="696"/>
        <w:gridCol w:w="697"/>
        <w:gridCol w:w="1021"/>
        <w:gridCol w:w="697"/>
        <w:gridCol w:w="697"/>
        <w:gridCol w:w="899"/>
        <w:gridCol w:w="1126"/>
        <w:gridCol w:w="7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25" w:type="pct"/>
            <w:shd w:val="clear" w:color="auto" w:fill="auto"/>
            <w:vAlign w:val="center"/>
          </w:tcPr>
          <w:p>
            <w:pPr>
              <w:pStyle w:val="27"/>
            </w:pPr>
            <w:r>
              <w:t>污染源</w:t>
            </w:r>
          </w:p>
        </w:tc>
        <w:tc>
          <w:tcPr>
            <w:tcW w:w="419" w:type="pct"/>
            <w:shd w:val="clear" w:color="auto" w:fill="auto"/>
            <w:vAlign w:val="center"/>
          </w:tcPr>
          <w:p>
            <w:pPr>
              <w:pStyle w:val="27"/>
            </w:pPr>
            <w:r>
              <w:t>烟囱</w:t>
            </w:r>
          </w:p>
          <w:p>
            <w:pPr>
              <w:pStyle w:val="27"/>
            </w:pPr>
            <w:r>
              <w:t>高度</w:t>
            </w:r>
          </w:p>
          <w:p>
            <w:pPr>
              <w:pStyle w:val="27"/>
            </w:pPr>
            <w:r>
              <w:t>(m)</w:t>
            </w:r>
          </w:p>
        </w:tc>
        <w:tc>
          <w:tcPr>
            <w:tcW w:w="420" w:type="pct"/>
            <w:shd w:val="clear" w:color="auto" w:fill="auto"/>
            <w:vAlign w:val="center"/>
          </w:tcPr>
          <w:p>
            <w:pPr>
              <w:pStyle w:val="27"/>
            </w:pPr>
            <w:r>
              <w:t>出口</w:t>
            </w:r>
          </w:p>
          <w:p>
            <w:pPr>
              <w:pStyle w:val="27"/>
            </w:pPr>
            <w:r>
              <w:t>内径</w:t>
            </w:r>
          </w:p>
          <w:p>
            <w:pPr>
              <w:pStyle w:val="27"/>
            </w:pPr>
            <w:r>
              <w:t>(m)</w:t>
            </w:r>
          </w:p>
        </w:tc>
        <w:tc>
          <w:tcPr>
            <w:tcW w:w="610" w:type="pct"/>
            <w:shd w:val="clear" w:color="auto" w:fill="auto"/>
            <w:vAlign w:val="center"/>
          </w:tcPr>
          <w:p>
            <w:pPr>
              <w:pStyle w:val="27"/>
            </w:pPr>
            <w:r>
              <w:t>废气</w:t>
            </w:r>
          </w:p>
          <w:p>
            <w:pPr>
              <w:pStyle w:val="27"/>
            </w:pPr>
            <w:r>
              <w:t>量(m³/s)</w:t>
            </w:r>
          </w:p>
        </w:tc>
        <w:tc>
          <w:tcPr>
            <w:tcW w:w="420" w:type="pct"/>
            <w:shd w:val="clear" w:color="auto" w:fill="auto"/>
            <w:vAlign w:val="center"/>
          </w:tcPr>
          <w:p>
            <w:pPr>
              <w:pStyle w:val="27"/>
            </w:pPr>
            <w:r>
              <w:t>烟气</w:t>
            </w:r>
          </w:p>
          <w:p>
            <w:pPr>
              <w:pStyle w:val="27"/>
            </w:pPr>
            <w:r>
              <w:t>温度</w:t>
            </w:r>
          </w:p>
          <w:p>
            <w:pPr>
              <w:pStyle w:val="27"/>
            </w:pPr>
            <w:r>
              <w:t>(</w:t>
            </w:r>
            <w:r>
              <w:rPr>
                <w:rFonts w:hint="eastAsia" w:ascii="宋体" w:cs="宋体"/>
              </w:rPr>
              <w:t>℃</w:t>
            </w:r>
            <w:r>
              <w:t>)</w:t>
            </w:r>
          </w:p>
        </w:tc>
        <w:tc>
          <w:tcPr>
            <w:tcW w:w="420" w:type="pct"/>
            <w:shd w:val="clear" w:color="auto" w:fill="auto"/>
            <w:vAlign w:val="center"/>
          </w:tcPr>
          <w:p>
            <w:pPr>
              <w:pStyle w:val="27"/>
            </w:pPr>
            <w:r>
              <w:t>污染</w:t>
            </w:r>
          </w:p>
          <w:p>
            <w:pPr>
              <w:pStyle w:val="27"/>
            </w:pPr>
            <w:r>
              <w:t>物</w:t>
            </w:r>
          </w:p>
        </w:tc>
        <w:tc>
          <w:tcPr>
            <w:tcW w:w="527" w:type="pct"/>
            <w:shd w:val="clear" w:color="auto" w:fill="auto"/>
            <w:vAlign w:val="center"/>
          </w:tcPr>
          <w:p>
            <w:pPr>
              <w:pStyle w:val="27"/>
            </w:pPr>
            <w:r>
              <w:t>排放</w:t>
            </w:r>
          </w:p>
          <w:p>
            <w:pPr>
              <w:pStyle w:val="27"/>
            </w:pPr>
            <w:r>
              <w:t>速率</w:t>
            </w:r>
          </w:p>
          <w:p>
            <w:pPr>
              <w:pStyle w:val="27"/>
            </w:pPr>
            <w:r>
              <w:t>(g/s)</w:t>
            </w:r>
          </w:p>
        </w:tc>
        <w:tc>
          <w:tcPr>
            <w:tcW w:w="671" w:type="pct"/>
            <w:shd w:val="clear" w:color="auto" w:fill="auto"/>
            <w:vAlign w:val="center"/>
          </w:tcPr>
          <w:p>
            <w:pPr>
              <w:pStyle w:val="27"/>
              <w:rPr>
                <w:vertAlign w:val="subscript"/>
              </w:rPr>
            </w:pPr>
            <w:r>
              <w:t>C</w:t>
            </w:r>
            <w:r>
              <w:rPr>
                <w:vertAlign w:val="subscript"/>
              </w:rPr>
              <w:t>maxi</w:t>
            </w:r>
          </w:p>
          <w:p>
            <w:pPr>
              <w:pStyle w:val="27"/>
            </w:pPr>
            <w:r>
              <w:t>(mg/m</w:t>
            </w:r>
            <w:r>
              <w:rPr>
                <w:vertAlign w:val="superscript"/>
              </w:rPr>
              <w:t>3</w:t>
            </w:r>
            <w:r>
              <w:t>)</w:t>
            </w:r>
          </w:p>
        </w:tc>
        <w:tc>
          <w:tcPr>
            <w:tcW w:w="389" w:type="pct"/>
            <w:shd w:val="clear" w:color="auto" w:fill="auto"/>
            <w:vAlign w:val="center"/>
          </w:tcPr>
          <w:p>
            <w:pPr>
              <w:pStyle w:val="27"/>
              <w:rPr>
                <w:vertAlign w:val="subscript"/>
              </w:rPr>
            </w:pPr>
            <w:r>
              <w:t>P</w:t>
            </w:r>
            <w:r>
              <w:rPr>
                <w:vertAlign w:val="subscript"/>
              </w:rPr>
              <w:t>i</w:t>
            </w:r>
          </w:p>
          <w:p>
            <w:pPr>
              <w:pStyle w:val="27"/>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25" w:type="pct"/>
            <w:shd w:val="clear" w:color="auto" w:fill="auto"/>
            <w:vAlign w:val="center"/>
          </w:tcPr>
          <w:p>
            <w:pPr>
              <w:pStyle w:val="27"/>
            </w:pPr>
            <w:r>
              <w:rPr>
                <w:rFonts w:hint="eastAsia"/>
              </w:rPr>
              <w:t>办公生活区</w:t>
            </w:r>
            <w:r>
              <w:t>燃气锅炉排气筒</w:t>
            </w:r>
          </w:p>
        </w:tc>
        <w:tc>
          <w:tcPr>
            <w:tcW w:w="419" w:type="pct"/>
            <w:shd w:val="clear" w:color="auto" w:fill="auto"/>
            <w:vAlign w:val="center"/>
          </w:tcPr>
          <w:p>
            <w:pPr>
              <w:pStyle w:val="27"/>
            </w:pPr>
            <w:r>
              <w:rPr>
                <w:rFonts w:hint="eastAsia"/>
              </w:rPr>
              <w:t>15</w:t>
            </w:r>
          </w:p>
        </w:tc>
        <w:tc>
          <w:tcPr>
            <w:tcW w:w="420" w:type="pct"/>
            <w:shd w:val="clear" w:color="auto" w:fill="auto"/>
            <w:vAlign w:val="center"/>
          </w:tcPr>
          <w:p>
            <w:pPr>
              <w:pStyle w:val="27"/>
            </w:pPr>
            <w:r>
              <w:rPr>
                <w:rFonts w:hint="eastAsia"/>
              </w:rPr>
              <w:t>0.438</w:t>
            </w:r>
          </w:p>
        </w:tc>
        <w:tc>
          <w:tcPr>
            <w:tcW w:w="610" w:type="pct"/>
            <w:shd w:val="clear" w:color="auto" w:fill="auto"/>
            <w:vAlign w:val="center"/>
          </w:tcPr>
          <w:p>
            <w:pPr>
              <w:pStyle w:val="27"/>
            </w:pPr>
            <w:r>
              <w:rPr>
                <w:rFonts w:hint="eastAsia"/>
              </w:rPr>
              <w:t>0.074</w:t>
            </w:r>
          </w:p>
        </w:tc>
        <w:tc>
          <w:tcPr>
            <w:tcW w:w="420" w:type="pct"/>
            <w:shd w:val="clear" w:color="auto" w:fill="auto"/>
            <w:vAlign w:val="center"/>
          </w:tcPr>
          <w:p>
            <w:pPr>
              <w:pStyle w:val="27"/>
            </w:pPr>
            <w:r>
              <w:rPr>
                <w:rFonts w:hint="eastAsia"/>
              </w:rPr>
              <w:t>85</w:t>
            </w:r>
          </w:p>
        </w:tc>
        <w:tc>
          <w:tcPr>
            <w:tcW w:w="420" w:type="pct"/>
            <w:shd w:val="clear" w:color="auto" w:fill="auto"/>
            <w:vAlign w:val="center"/>
          </w:tcPr>
          <w:p>
            <w:pPr>
              <w:pStyle w:val="27"/>
            </w:pPr>
            <w:r>
              <w:t>NO</w:t>
            </w:r>
            <w:r>
              <w:rPr>
                <w:vertAlign w:val="subscript"/>
              </w:rPr>
              <w:t>x</w:t>
            </w:r>
          </w:p>
        </w:tc>
        <w:tc>
          <w:tcPr>
            <w:tcW w:w="527" w:type="pct"/>
            <w:shd w:val="clear" w:color="auto" w:fill="auto"/>
            <w:vAlign w:val="center"/>
          </w:tcPr>
          <w:p>
            <w:pPr>
              <w:pStyle w:val="27"/>
            </w:pPr>
            <w:r>
              <w:t>0.</w:t>
            </w:r>
            <w:r>
              <w:rPr>
                <w:rFonts w:hint="eastAsia"/>
              </w:rPr>
              <w:t>01923</w:t>
            </w:r>
          </w:p>
        </w:tc>
        <w:tc>
          <w:tcPr>
            <w:tcW w:w="671" w:type="pct"/>
            <w:shd w:val="clear" w:color="auto" w:fill="auto"/>
            <w:vAlign w:val="center"/>
          </w:tcPr>
          <w:p>
            <w:pPr>
              <w:pStyle w:val="27"/>
            </w:pPr>
            <w:r>
              <w:rPr>
                <w:rFonts w:hint="eastAsia"/>
              </w:rPr>
              <w:t>0.009558</w:t>
            </w:r>
          </w:p>
        </w:tc>
        <w:tc>
          <w:tcPr>
            <w:tcW w:w="389" w:type="pct"/>
            <w:shd w:val="clear" w:color="auto" w:fill="auto"/>
            <w:vAlign w:val="center"/>
          </w:tcPr>
          <w:p>
            <w:pPr>
              <w:pStyle w:val="27"/>
            </w:pPr>
            <w:r>
              <w:rPr>
                <w:rFonts w:hint="eastAsia"/>
              </w:rPr>
              <w:t>3.9825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25"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净化处理站</w:t>
            </w:r>
          </w:p>
        </w:tc>
        <w:tc>
          <w:tcPr>
            <w:tcW w:w="419" w:type="pct"/>
            <w:shd w:val="clear" w:color="auto" w:fill="auto"/>
            <w:vAlign w:val="center"/>
          </w:tcPr>
          <w:p>
            <w:pPr>
              <w:pStyle w:val="27"/>
            </w:pPr>
            <w:r>
              <w:rPr>
                <w:rFonts w:hint="eastAsia"/>
              </w:rPr>
              <w:t>15</w:t>
            </w:r>
          </w:p>
        </w:tc>
        <w:tc>
          <w:tcPr>
            <w:tcW w:w="420" w:type="pct"/>
            <w:shd w:val="clear" w:color="auto" w:fill="auto"/>
            <w:vAlign w:val="center"/>
          </w:tcPr>
          <w:p>
            <w:pPr>
              <w:pStyle w:val="27"/>
            </w:pPr>
            <w:r>
              <w:rPr>
                <w:rFonts w:hint="eastAsia"/>
              </w:rPr>
              <w:t>0.2</w:t>
            </w:r>
          </w:p>
        </w:tc>
        <w:tc>
          <w:tcPr>
            <w:tcW w:w="610" w:type="pct"/>
            <w:shd w:val="clear" w:color="auto" w:fill="auto"/>
            <w:vAlign w:val="center"/>
          </w:tcPr>
          <w:p>
            <w:pPr>
              <w:pStyle w:val="27"/>
            </w:pPr>
            <w:r>
              <w:rPr>
                <w:rFonts w:hint="eastAsia"/>
              </w:rPr>
              <w:t>0.1</w:t>
            </w:r>
          </w:p>
        </w:tc>
        <w:tc>
          <w:tcPr>
            <w:tcW w:w="420" w:type="pct"/>
            <w:shd w:val="clear" w:color="auto" w:fill="auto"/>
            <w:vAlign w:val="center"/>
          </w:tcPr>
          <w:p>
            <w:pPr>
              <w:pStyle w:val="27"/>
            </w:pPr>
            <w:r>
              <w:rPr>
                <w:rFonts w:hint="eastAsia"/>
              </w:rPr>
              <w:t>85</w:t>
            </w:r>
          </w:p>
        </w:tc>
        <w:tc>
          <w:tcPr>
            <w:tcW w:w="420" w:type="pct"/>
            <w:shd w:val="clear" w:color="auto" w:fill="auto"/>
            <w:vAlign w:val="center"/>
          </w:tcPr>
          <w:p>
            <w:pPr>
              <w:pStyle w:val="27"/>
            </w:pPr>
            <w:r>
              <w:t>NO</w:t>
            </w:r>
            <w:r>
              <w:rPr>
                <w:vertAlign w:val="subscript"/>
              </w:rPr>
              <w:t>x</w:t>
            </w:r>
          </w:p>
        </w:tc>
        <w:tc>
          <w:tcPr>
            <w:tcW w:w="527" w:type="pct"/>
            <w:shd w:val="clear" w:color="auto" w:fill="auto"/>
            <w:vAlign w:val="center"/>
          </w:tcPr>
          <w:p>
            <w:pPr>
              <w:pStyle w:val="27"/>
            </w:pPr>
            <w:r>
              <w:rPr>
                <w:rFonts w:hint="eastAsia"/>
              </w:rPr>
              <w:t>0.02599</w:t>
            </w:r>
          </w:p>
        </w:tc>
        <w:tc>
          <w:tcPr>
            <w:tcW w:w="671" w:type="pct"/>
            <w:shd w:val="clear" w:color="auto" w:fill="auto"/>
            <w:vAlign w:val="center"/>
          </w:tcPr>
          <w:p>
            <w:pPr>
              <w:pStyle w:val="27"/>
            </w:pPr>
            <w:r>
              <w:rPr>
                <w:rFonts w:hint="eastAsia"/>
              </w:rPr>
              <w:t>0.01086</w:t>
            </w:r>
          </w:p>
        </w:tc>
        <w:tc>
          <w:tcPr>
            <w:tcW w:w="389" w:type="pct"/>
            <w:shd w:val="clear" w:color="auto" w:fill="auto"/>
            <w:vAlign w:val="center"/>
          </w:tcPr>
          <w:p>
            <w:pPr>
              <w:pStyle w:val="27"/>
            </w:pPr>
            <w:r>
              <w:rPr>
                <w:rFonts w:hint="eastAsia"/>
              </w:rPr>
              <w:t>4.525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25"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蒸发处理站</w:t>
            </w:r>
          </w:p>
        </w:tc>
        <w:tc>
          <w:tcPr>
            <w:tcW w:w="419" w:type="pct"/>
            <w:shd w:val="clear" w:color="auto" w:fill="auto"/>
            <w:vAlign w:val="center"/>
          </w:tcPr>
          <w:p>
            <w:pPr>
              <w:pStyle w:val="27"/>
            </w:pPr>
            <w:r>
              <w:rPr>
                <w:rFonts w:hint="eastAsia"/>
              </w:rPr>
              <w:t>15</w:t>
            </w:r>
          </w:p>
        </w:tc>
        <w:tc>
          <w:tcPr>
            <w:tcW w:w="420" w:type="pct"/>
            <w:shd w:val="clear" w:color="auto" w:fill="auto"/>
            <w:vAlign w:val="center"/>
          </w:tcPr>
          <w:p>
            <w:pPr>
              <w:pStyle w:val="27"/>
            </w:pPr>
            <w:r>
              <w:rPr>
                <w:rFonts w:hint="eastAsia"/>
              </w:rPr>
              <w:t>0.2</w:t>
            </w:r>
          </w:p>
        </w:tc>
        <w:tc>
          <w:tcPr>
            <w:tcW w:w="610" w:type="pct"/>
            <w:shd w:val="clear" w:color="auto" w:fill="auto"/>
            <w:vAlign w:val="center"/>
          </w:tcPr>
          <w:p>
            <w:pPr>
              <w:pStyle w:val="27"/>
            </w:pPr>
            <w:r>
              <w:rPr>
                <w:rFonts w:hint="eastAsia"/>
              </w:rPr>
              <w:t>0.1</w:t>
            </w:r>
          </w:p>
        </w:tc>
        <w:tc>
          <w:tcPr>
            <w:tcW w:w="420" w:type="pct"/>
            <w:shd w:val="clear" w:color="auto" w:fill="auto"/>
            <w:vAlign w:val="center"/>
          </w:tcPr>
          <w:p>
            <w:pPr>
              <w:pStyle w:val="27"/>
            </w:pPr>
            <w:r>
              <w:rPr>
                <w:rFonts w:hint="eastAsia"/>
              </w:rPr>
              <w:t>85</w:t>
            </w:r>
          </w:p>
        </w:tc>
        <w:tc>
          <w:tcPr>
            <w:tcW w:w="420" w:type="pct"/>
            <w:shd w:val="clear" w:color="auto" w:fill="auto"/>
            <w:vAlign w:val="center"/>
          </w:tcPr>
          <w:p>
            <w:pPr>
              <w:pStyle w:val="27"/>
            </w:pPr>
            <w:r>
              <w:t>NO</w:t>
            </w:r>
            <w:r>
              <w:rPr>
                <w:vertAlign w:val="subscript"/>
              </w:rPr>
              <w:t>x</w:t>
            </w:r>
          </w:p>
        </w:tc>
        <w:tc>
          <w:tcPr>
            <w:tcW w:w="527" w:type="pct"/>
            <w:shd w:val="clear" w:color="auto" w:fill="auto"/>
            <w:vAlign w:val="center"/>
          </w:tcPr>
          <w:p>
            <w:pPr>
              <w:pStyle w:val="27"/>
            </w:pPr>
            <w:r>
              <w:rPr>
                <w:rFonts w:hint="eastAsia"/>
              </w:rPr>
              <w:t>0.02599</w:t>
            </w:r>
          </w:p>
        </w:tc>
        <w:tc>
          <w:tcPr>
            <w:tcW w:w="671" w:type="pct"/>
            <w:shd w:val="clear" w:color="auto" w:fill="auto"/>
            <w:vAlign w:val="center"/>
          </w:tcPr>
          <w:p>
            <w:pPr>
              <w:pStyle w:val="27"/>
            </w:pPr>
            <w:r>
              <w:rPr>
                <w:rFonts w:hint="eastAsia"/>
              </w:rPr>
              <w:t>0.01086</w:t>
            </w:r>
          </w:p>
        </w:tc>
        <w:tc>
          <w:tcPr>
            <w:tcW w:w="389" w:type="pct"/>
            <w:shd w:val="clear" w:color="auto" w:fill="auto"/>
            <w:vAlign w:val="center"/>
          </w:tcPr>
          <w:p>
            <w:pPr>
              <w:pStyle w:val="27"/>
            </w:pPr>
            <w:r>
              <w:rPr>
                <w:rFonts w:hint="eastAsia"/>
              </w:rPr>
              <w:t>4.525</w:t>
            </w:r>
          </w:p>
        </w:tc>
      </w:tr>
    </w:tbl>
    <w:p>
      <w:pPr>
        <w:pStyle w:val="27"/>
      </w:pPr>
    </w:p>
    <w:p>
      <w:pPr>
        <w:spacing w:line="240" w:lineRule="auto"/>
        <w:ind w:firstLine="0" w:firstLineChars="0"/>
        <w:jc w:val="center"/>
        <w:rPr>
          <w:snapToGrid w:val="0"/>
          <w:kern w:val="0"/>
        </w:rPr>
      </w:pPr>
      <w:r>
        <w:rPr>
          <w:rFonts w:ascii="Times New Roman" w:hAnsi="Times New Roman"/>
          <w:b/>
          <w:sz w:val="21"/>
        </w:rPr>
        <w:t>表2.5-2 评价工作等级表</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265"/>
        <w:gridCol w:w="626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328" w:type="pct"/>
            <w:vAlign w:val="center"/>
          </w:tcPr>
          <w:p>
            <w:pPr>
              <w:pStyle w:val="27"/>
              <w:rPr>
                <w:snapToGrid w:val="0"/>
              </w:rPr>
            </w:pPr>
            <w:r>
              <w:rPr>
                <w:snapToGrid w:val="0"/>
              </w:rPr>
              <w:t>评级工作等级</w:t>
            </w:r>
          </w:p>
        </w:tc>
        <w:tc>
          <w:tcPr>
            <w:tcW w:w="3672" w:type="pct"/>
            <w:vAlign w:val="center"/>
          </w:tcPr>
          <w:p>
            <w:pPr>
              <w:pStyle w:val="27"/>
              <w:rPr>
                <w:snapToGrid w:val="0"/>
              </w:rPr>
            </w:pPr>
            <w:r>
              <w:rPr>
                <w:snapToGrid w:val="0"/>
              </w:rPr>
              <w:t>评价工作分级判据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328" w:type="pct"/>
            <w:vAlign w:val="center"/>
          </w:tcPr>
          <w:p>
            <w:pPr>
              <w:pStyle w:val="27"/>
              <w:rPr>
                <w:snapToGrid w:val="0"/>
              </w:rPr>
            </w:pPr>
            <w:r>
              <w:rPr>
                <w:snapToGrid w:val="0"/>
              </w:rPr>
              <w:t>一级</w:t>
            </w:r>
          </w:p>
        </w:tc>
        <w:tc>
          <w:tcPr>
            <w:tcW w:w="3672" w:type="pct"/>
            <w:vAlign w:val="center"/>
          </w:tcPr>
          <w:p>
            <w:pPr>
              <w:pStyle w:val="27"/>
              <w:rPr>
                <w:snapToGrid w:val="0"/>
              </w:rPr>
            </w:pPr>
            <w:r>
              <w:rPr>
                <w:snapToGrid w:val="0"/>
              </w:rPr>
              <w:t>P</w:t>
            </w:r>
            <w:r>
              <w:rPr>
                <w:snapToGrid w:val="0"/>
                <w:vertAlign w:val="subscript"/>
              </w:rPr>
              <w:t>max</w:t>
            </w:r>
            <w:r>
              <w:rPr>
                <w:snapToGrid w:val="0"/>
              </w:rPr>
              <w:t>≥80%，且D</w:t>
            </w:r>
            <w:r>
              <w:rPr>
                <w:snapToGrid w:val="0"/>
                <w:vertAlign w:val="subscript"/>
              </w:rPr>
              <w:t>10%</w:t>
            </w:r>
            <w:r>
              <w:rPr>
                <w:snapToGrid w:val="0"/>
              </w:rPr>
              <w:t>≥5km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328" w:type="pct"/>
            <w:vAlign w:val="center"/>
          </w:tcPr>
          <w:p>
            <w:pPr>
              <w:pStyle w:val="27"/>
              <w:rPr>
                <w:snapToGrid w:val="0"/>
              </w:rPr>
            </w:pPr>
            <w:r>
              <w:rPr>
                <w:snapToGrid w:val="0"/>
              </w:rPr>
              <w:t>二级</w:t>
            </w:r>
          </w:p>
        </w:tc>
        <w:tc>
          <w:tcPr>
            <w:tcW w:w="3672" w:type="pct"/>
            <w:vAlign w:val="center"/>
          </w:tcPr>
          <w:p>
            <w:pPr>
              <w:pStyle w:val="27"/>
              <w:rPr>
                <w:snapToGrid w:val="0"/>
              </w:rPr>
            </w:pPr>
            <w:r>
              <w:rPr>
                <w:snapToGrid w:val="0"/>
              </w:rPr>
              <w:t>其他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1328" w:type="pct"/>
            <w:vAlign w:val="center"/>
          </w:tcPr>
          <w:p>
            <w:pPr>
              <w:pStyle w:val="27"/>
              <w:rPr>
                <w:snapToGrid w:val="0"/>
              </w:rPr>
            </w:pPr>
            <w:r>
              <w:rPr>
                <w:snapToGrid w:val="0"/>
              </w:rPr>
              <w:t>三级</w:t>
            </w:r>
          </w:p>
        </w:tc>
        <w:tc>
          <w:tcPr>
            <w:tcW w:w="3672" w:type="pct"/>
            <w:vAlign w:val="center"/>
          </w:tcPr>
          <w:p>
            <w:pPr>
              <w:pStyle w:val="27"/>
              <w:rPr>
                <w:snapToGrid w:val="0"/>
              </w:rPr>
            </w:pPr>
            <w:r>
              <w:rPr>
                <w:snapToGrid w:val="0"/>
              </w:rPr>
              <w:t>P</w:t>
            </w:r>
            <w:r>
              <w:rPr>
                <w:snapToGrid w:val="0"/>
                <w:vertAlign w:val="subscript"/>
              </w:rPr>
              <w:t>max</w:t>
            </w:r>
            <w:r>
              <w:rPr>
                <w:snapToGrid w:val="0"/>
              </w:rPr>
              <w:t>＜10%或D</w:t>
            </w:r>
            <w:r>
              <w:rPr>
                <w:snapToGrid w:val="0"/>
                <w:vertAlign w:val="subscript"/>
              </w:rPr>
              <w:t>10%</w:t>
            </w:r>
            <w:r>
              <w:rPr>
                <w:snapToGrid w:val="0"/>
              </w:rPr>
              <w:t>＜污染源距厂界最近距离</w:t>
            </w:r>
          </w:p>
        </w:tc>
      </w:tr>
    </w:tbl>
    <w:p>
      <w:pPr>
        <w:spacing w:before="156" w:beforeLines="50"/>
        <w:ind w:firstLine="480"/>
        <w:rPr>
          <w:rFonts w:ascii="Times New Roman" w:hAnsi="Times New Roman"/>
          <w:szCs w:val="24"/>
        </w:rPr>
      </w:pPr>
      <w:r>
        <w:rPr>
          <w:rFonts w:ascii="Times New Roman" w:hAnsi="Times New Roman"/>
        </w:rPr>
        <w:t>经估算模式计算得出，工程各污染物排放的</w:t>
      </w:r>
      <w:r>
        <w:rPr>
          <w:rFonts w:ascii="Times New Roman" w:hAnsi="Times New Roman"/>
          <w:szCs w:val="24"/>
        </w:rPr>
        <w:t>Pmax＜10%，因此评价等级为三级。确定本次环境空气影响评价的范围是以采油区边界外扩2.5</w:t>
      </w:r>
      <w:r>
        <w:rPr>
          <w:rFonts w:hint="eastAsia" w:ascii="Times New Roman" w:hAnsi="Times New Roman"/>
          <w:szCs w:val="24"/>
        </w:rPr>
        <w:t>km</w:t>
      </w:r>
      <w:r>
        <w:rPr>
          <w:rFonts w:ascii="Times New Roman" w:hAnsi="Times New Roman"/>
          <w:szCs w:val="24"/>
        </w:rPr>
        <w:t>。</w:t>
      </w:r>
    </w:p>
    <w:p>
      <w:pPr>
        <w:ind w:firstLine="0" w:firstLineChars="0"/>
        <w:outlineLvl w:val="2"/>
        <w:rPr>
          <w:rFonts w:ascii="Times New Roman" w:hAnsi="Times New Roman"/>
          <w:b/>
          <w:sz w:val="28"/>
          <w:szCs w:val="28"/>
        </w:rPr>
      </w:pPr>
      <w:bookmarkStart w:id="27" w:name="_Toc524624562"/>
      <w:r>
        <w:rPr>
          <w:rFonts w:hint="eastAsia" w:ascii="Times New Roman" w:hAnsi="Times New Roman"/>
          <w:b/>
          <w:sz w:val="28"/>
          <w:szCs w:val="28"/>
        </w:rPr>
        <w:t>2.5.2 水环境</w:t>
      </w:r>
      <w:bookmarkEnd w:id="27"/>
    </w:p>
    <w:p>
      <w:pPr>
        <w:ind w:firstLine="482"/>
        <w:rPr>
          <w:rFonts w:ascii="Times New Roman" w:hAnsi="Times New Roman"/>
          <w:b/>
        </w:rPr>
      </w:pPr>
      <w:r>
        <w:rPr>
          <w:rFonts w:hint="eastAsia" w:ascii="Times New Roman" w:hAnsi="Times New Roman"/>
          <w:b/>
        </w:rPr>
        <w:t>（1）</w:t>
      </w:r>
      <w:r>
        <w:rPr>
          <w:rFonts w:ascii="Times New Roman" w:hAnsi="Times New Roman"/>
          <w:b/>
        </w:rPr>
        <w:t>地表水</w:t>
      </w:r>
    </w:p>
    <w:p>
      <w:pPr>
        <w:ind w:firstLine="480"/>
        <w:rPr>
          <w:rFonts w:ascii="Times New Roman" w:hAnsi="Times New Roman"/>
        </w:rPr>
      </w:pPr>
      <w:r>
        <w:rPr>
          <w:rFonts w:ascii="Times New Roman" w:hAnsi="Times New Roman"/>
        </w:rPr>
        <w:t>本工程产生的</w:t>
      </w:r>
      <w:r>
        <w:rPr>
          <w:rFonts w:hint="eastAsia" w:ascii="Times New Roman" w:hAnsi="Times New Roman"/>
        </w:rPr>
        <w:t>生产废水经自然蒸发不外排；生活废水经处理达标后回用于绿化和道路洒水，不外排</w:t>
      </w:r>
      <w:r>
        <w:rPr>
          <w:rFonts w:ascii="Times New Roman" w:hAnsi="Times New Roman"/>
        </w:rPr>
        <w:t>，正常情况下对地表水环境没有影响；按照《环境影响评价技术导则》地表水环境影响评价判据，确定地表水评价工作等级为三级。考虑到全部废水均不进入水体中，因此仅做简单分析。</w:t>
      </w:r>
    </w:p>
    <w:p>
      <w:pPr>
        <w:ind w:firstLine="482"/>
        <w:rPr>
          <w:rFonts w:ascii="Times New Roman" w:hAnsi="Times New Roman"/>
          <w:b/>
        </w:rPr>
      </w:pPr>
      <w:r>
        <w:rPr>
          <w:rFonts w:hint="eastAsia" w:ascii="Times New Roman" w:hAnsi="Times New Roman"/>
          <w:b/>
        </w:rPr>
        <w:t>（2）</w:t>
      </w:r>
      <w:r>
        <w:rPr>
          <w:rFonts w:ascii="Times New Roman" w:hAnsi="Times New Roman"/>
          <w:b/>
        </w:rPr>
        <w:t>地下水</w:t>
      </w:r>
    </w:p>
    <w:p>
      <w:pPr>
        <w:ind w:firstLine="480"/>
        <w:rPr>
          <w:rFonts w:ascii="Times New Roman" w:hAnsi="Times New Roman"/>
          <w:szCs w:val="24"/>
        </w:rPr>
      </w:pPr>
      <w:r>
        <w:rPr>
          <w:rFonts w:hint="eastAsia" w:ascii="Times New Roman" w:hAnsi="Times New Roman"/>
          <w:szCs w:val="24"/>
        </w:rPr>
        <w:t>①场地类别</w:t>
      </w:r>
    </w:p>
    <w:p>
      <w:pPr>
        <w:ind w:firstLine="480"/>
        <w:rPr>
          <w:rFonts w:ascii="Times New Roman" w:hAnsi="Times New Roman"/>
          <w:szCs w:val="24"/>
        </w:rPr>
      </w:pPr>
      <w:r>
        <w:rPr>
          <w:rFonts w:hint="eastAsia" w:ascii="Times New Roman" w:hAnsi="Times New Roman"/>
          <w:szCs w:val="24"/>
        </w:rPr>
        <w:t>依据新导则中《地下水环境影响评价行业分类表》，确定临兴区块先导试验项目为石油天然气行业类中的煤成气开采项目。由于该项目涉及到两个以上场地，应分别判定评价工作等级。根据项目开发方案，确定该项目设计年生产能力为1.6亿m</w:t>
      </w:r>
      <w:r>
        <w:rPr>
          <w:rFonts w:hint="eastAsia" w:ascii="Times New Roman" w:hAnsi="Times New Roman"/>
          <w:szCs w:val="24"/>
          <w:vertAlign w:val="superscript"/>
        </w:rPr>
        <w:t>3</w:t>
      </w:r>
      <w:r>
        <w:rPr>
          <w:rFonts w:hint="eastAsia" w:ascii="Times New Roman" w:hAnsi="Times New Roman"/>
          <w:szCs w:val="24"/>
        </w:rPr>
        <w:t>/a（大于1亿m</w:t>
      </w:r>
      <w:r>
        <w:rPr>
          <w:rFonts w:hint="eastAsia" w:ascii="Times New Roman" w:hAnsi="Times New Roman"/>
          <w:szCs w:val="24"/>
          <w:vertAlign w:val="superscript"/>
        </w:rPr>
        <w:t>3</w:t>
      </w:r>
      <w:r>
        <w:rPr>
          <w:rFonts w:hint="eastAsia" w:ascii="Times New Roman" w:hAnsi="Times New Roman"/>
          <w:szCs w:val="24"/>
        </w:rPr>
        <w:t>/a），并且根据新导则中《建设项目环境影响评价分类管理名录》，所有建设场地均位于饮用水水源保护区的补给径流区，且钻井均采用水力压裂法开采。因此，该建设项目各个场地类别均确定为II类。具体场地类型划分见表2.5-3。</w:t>
      </w:r>
    </w:p>
    <w:p>
      <w:pPr>
        <w:spacing w:before="156" w:beforeLines="50" w:line="240" w:lineRule="auto"/>
        <w:ind w:firstLine="0" w:firstLineChars="0"/>
        <w:jc w:val="center"/>
        <w:rPr>
          <w:rFonts w:ascii="Times New Roman" w:hAnsi="Times New Roman"/>
          <w:b/>
          <w:sz w:val="21"/>
        </w:rPr>
      </w:pPr>
      <w:r>
        <w:rPr>
          <w:rFonts w:ascii="Times New Roman" w:hAnsi="宋体"/>
          <w:b/>
          <w:sz w:val="21"/>
        </w:rPr>
        <w:t>表</w:t>
      </w:r>
      <w:r>
        <w:rPr>
          <w:rFonts w:ascii="Times New Roman" w:hAnsi="Times New Roman"/>
          <w:b/>
          <w:sz w:val="21"/>
        </w:rPr>
        <w:t>2.5-3</w:t>
      </w:r>
      <w:r>
        <w:rPr>
          <w:rFonts w:hint="eastAsia" w:ascii="Times New Roman" w:hAnsi="Times New Roman"/>
          <w:b/>
          <w:sz w:val="21"/>
        </w:rPr>
        <w:t xml:space="preserve"> </w:t>
      </w:r>
      <w:r>
        <w:rPr>
          <w:rFonts w:ascii="Times New Roman" w:hAnsi="宋体"/>
          <w:b/>
          <w:sz w:val="21"/>
        </w:rPr>
        <w:t>建设项目各场地类别划分表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2170"/>
        <w:gridCol w:w="1970"/>
        <w:gridCol w:w="1970"/>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行业类别</w:t>
            </w: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建设场地</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是否涉及</w:t>
            </w:r>
          </w:p>
          <w:p>
            <w:pPr>
              <w:spacing w:line="240" w:lineRule="auto"/>
              <w:ind w:firstLine="0" w:firstLineChars="0"/>
              <w:jc w:val="center"/>
              <w:rPr>
                <w:rFonts w:ascii="Times New Roman" w:hAnsi="Times New Roman"/>
                <w:sz w:val="21"/>
              </w:rPr>
            </w:pPr>
            <w:r>
              <w:rPr>
                <w:rFonts w:ascii="Times New Roman"/>
                <w:sz w:val="21"/>
              </w:rPr>
              <w:t>环境敏感区</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是否为</w:t>
            </w:r>
          </w:p>
          <w:p>
            <w:pPr>
              <w:spacing w:line="240" w:lineRule="auto"/>
              <w:ind w:firstLine="0" w:firstLineChars="0"/>
              <w:jc w:val="center"/>
              <w:rPr>
                <w:rFonts w:ascii="Times New Roman" w:hAnsi="Times New Roman"/>
                <w:sz w:val="21"/>
              </w:rPr>
            </w:pPr>
            <w:r>
              <w:rPr>
                <w:rFonts w:ascii="Times New Roman"/>
                <w:sz w:val="21"/>
              </w:rPr>
              <w:t>水力压裂工艺</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场地类别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煤炭</w:t>
            </w:r>
          </w:p>
          <w:p>
            <w:pPr>
              <w:spacing w:line="240" w:lineRule="auto"/>
              <w:ind w:firstLine="0" w:firstLineChars="0"/>
              <w:jc w:val="center"/>
              <w:rPr>
                <w:rFonts w:ascii="Times New Roman" w:hAnsi="Times New Roman"/>
                <w:sz w:val="21"/>
              </w:rPr>
            </w:pPr>
            <w:r>
              <w:rPr>
                <w:rFonts w:ascii="Times New Roman"/>
                <w:sz w:val="21"/>
              </w:rPr>
              <w:t>行业</w:t>
            </w:r>
          </w:p>
          <w:p>
            <w:pPr>
              <w:spacing w:line="240" w:lineRule="auto"/>
              <w:ind w:firstLine="0" w:firstLineChars="0"/>
              <w:jc w:val="center"/>
              <w:rPr>
                <w:rFonts w:ascii="Times New Roman" w:hAnsi="Times New Roman"/>
                <w:sz w:val="21"/>
              </w:rPr>
            </w:pPr>
            <w:r>
              <w:rPr>
                <w:rFonts w:ascii="Times New Roman" w:hAnsi="Times New Roman"/>
                <w:sz w:val="21"/>
              </w:rPr>
              <w:t>——</w:t>
            </w:r>
          </w:p>
          <w:p>
            <w:pPr>
              <w:spacing w:line="240" w:lineRule="auto"/>
              <w:ind w:firstLine="0" w:firstLineChars="0"/>
              <w:jc w:val="center"/>
              <w:rPr>
                <w:rFonts w:ascii="Times New Roman" w:hAnsi="Times New Roman"/>
                <w:sz w:val="21"/>
              </w:rPr>
            </w:pPr>
            <w:r>
              <w:rPr>
                <w:rFonts w:ascii="Times New Roman"/>
                <w:sz w:val="21"/>
              </w:rPr>
              <w:t>煤成气开采项目</w:t>
            </w: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集气站</w:t>
            </w:r>
          </w:p>
          <w:p>
            <w:pPr>
              <w:spacing w:line="240" w:lineRule="auto"/>
              <w:ind w:firstLine="0" w:firstLineChars="0"/>
              <w:jc w:val="center"/>
              <w:rPr>
                <w:rFonts w:ascii="Times New Roman" w:hAnsi="Times New Roman"/>
                <w:sz w:val="21"/>
              </w:rPr>
            </w:pPr>
            <w:r>
              <w:rPr>
                <w:rFonts w:ascii="Times New Roman"/>
                <w:sz w:val="21"/>
              </w:rPr>
              <w:t>工业场地</w:t>
            </w:r>
          </w:p>
        </w:tc>
        <w:tc>
          <w:tcPr>
            <w:tcW w:w="1155"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废水处理站</w:t>
            </w:r>
          </w:p>
        </w:tc>
        <w:tc>
          <w:tcPr>
            <w:tcW w:w="1155"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155"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850"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LX-101</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LX-102</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LX-103</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LX-104</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LX-105</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LX-106</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pct"/>
            <w:vMerge w:val="continue"/>
            <w:shd w:val="clear" w:color="auto" w:fill="auto"/>
            <w:vAlign w:val="center"/>
          </w:tcPr>
          <w:p>
            <w:pPr>
              <w:spacing w:line="240" w:lineRule="auto"/>
              <w:ind w:firstLine="0" w:firstLineChars="0"/>
              <w:jc w:val="center"/>
              <w:rPr>
                <w:sz w:val="21"/>
              </w:rPr>
            </w:pPr>
          </w:p>
        </w:tc>
        <w:tc>
          <w:tcPr>
            <w:tcW w:w="12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LX-4</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1155" w:type="pct"/>
            <w:shd w:val="clear" w:color="auto" w:fill="auto"/>
            <w:vAlign w:val="center"/>
          </w:tcPr>
          <w:p>
            <w:pPr>
              <w:spacing w:line="240" w:lineRule="auto"/>
              <w:ind w:firstLine="0" w:firstLineChars="0"/>
              <w:jc w:val="center"/>
              <w:rPr>
                <w:rFonts w:ascii="Times New Roman" w:hAnsi="Times New Roman"/>
                <w:sz w:val="21"/>
              </w:rPr>
            </w:pPr>
            <w:r>
              <w:rPr>
                <w:rFonts w:ascii="Times New Roman"/>
                <w:sz w:val="21"/>
              </w:rPr>
              <w:t>是</w:t>
            </w:r>
          </w:p>
        </w:tc>
        <w:tc>
          <w:tcPr>
            <w:tcW w:w="85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r>
    </w:tbl>
    <w:p>
      <w:pPr>
        <w:ind w:firstLine="480"/>
        <w:rPr>
          <w:rFonts w:ascii="Times New Roman" w:hAnsi="Times New Roman"/>
          <w:szCs w:val="24"/>
        </w:rPr>
      </w:pPr>
      <w:r>
        <w:rPr>
          <w:rFonts w:hint="eastAsia" w:ascii="Times New Roman" w:hAnsi="Times New Roman"/>
          <w:szCs w:val="24"/>
        </w:rPr>
        <w:t>②环境敏感程度</w:t>
      </w:r>
    </w:p>
    <w:p>
      <w:pPr>
        <w:ind w:firstLine="480"/>
        <w:rPr>
          <w:rFonts w:ascii="Times New Roman" w:hAnsi="Times New Roman"/>
        </w:rPr>
      </w:pPr>
      <w:r>
        <w:rPr>
          <w:rFonts w:ascii="Times New Roman" w:hAnsi="Times New Roman"/>
        </w:rPr>
        <w:t>a.</w:t>
      </w:r>
      <w:r>
        <w:rPr>
          <w:rFonts w:ascii="Times New Roman"/>
        </w:rPr>
        <w:t>水源地更正说明</w:t>
      </w:r>
    </w:p>
    <w:p>
      <w:pPr>
        <w:ind w:firstLine="480"/>
        <w:rPr>
          <w:rFonts w:ascii="Times New Roman" w:hAnsi="Times New Roman"/>
        </w:rPr>
      </w:pPr>
      <w:r>
        <w:rPr>
          <w:rFonts w:ascii="Times New Roman"/>
        </w:rPr>
        <w:t>根据野外调查及收集到的《吕梁市兴县乡镇集中式饮用水源保护区划分技术报告》，建设项目评价范围内分布有赵家坪集中式水源地，该水源地位于临兴区块先导区外西北方向后赵家坪村，由两个水源井组成：潜水井（</w:t>
      </w:r>
      <w:r>
        <w:rPr>
          <w:rFonts w:ascii="Times New Roman" w:hAnsi="Times New Roman"/>
        </w:rPr>
        <w:t>#3</w:t>
      </w:r>
      <w:r>
        <w:rPr>
          <w:rFonts w:ascii="Times New Roman"/>
        </w:rPr>
        <w:t>）、泉水井（</w:t>
      </w:r>
      <w:r>
        <w:rPr>
          <w:rFonts w:ascii="Times New Roman" w:hAnsi="Times New Roman"/>
        </w:rPr>
        <w:t>Q29</w:t>
      </w:r>
      <w:r>
        <w:rPr>
          <w:rFonts w:ascii="Times New Roman"/>
        </w:rPr>
        <w:t>）。根据实地调查与水源地划分报告比，报告中潜水井的位置与实际位置存在偏离，经更正后并采用相同的计算方法求得潜水井的二级保护区。各水源井保护区范围如下：</w:t>
      </w:r>
    </w:p>
    <w:p>
      <w:pPr>
        <w:ind w:firstLine="480"/>
        <w:rPr>
          <w:rFonts w:ascii="Times New Roman"/>
        </w:rPr>
      </w:pPr>
      <w:r>
        <w:rPr>
          <w:rFonts w:ascii="Times New Roman"/>
        </w:rPr>
        <w:t>潜水井设有一、二级保护区：一级保护区为以井口为中心、半径</w:t>
      </w:r>
      <w:r>
        <w:rPr>
          <w:rFonts w:ascii="Times New Roman" w:hAnsi="Times New Roman"/>
        </w:rPr>
        <w:t>100m</w:t>
      </w:r>
      <w:r>
        <w:rPr>
          <w:rFonts w:ascii="Times New Roman"/>
        </w:rPr>
        <w:t>的圆形区域；二级保护区范围以供水井两翼的分水岭为边界，上游、下游分别延伸</w:t>
      </w:r>
      <w:r>
        <w:rPr>
          <w:rFonts w:ascii="Times New Roman" w:hAnsi="Times New Roman"/>
        </w:rPr>
        <w:t>1000m</w:t>
      </w:r>
      <w:r>
        <w:rPr>
          <w:rFonts w:ascii="Times New Roman"/>
        </w:rPr>
        <w:t>和</w:t>
      </w:r>
      <w:r>
        <w:rPr>
          <w:rFonts w:ascii="Times New Roman" w:hAnsi="Times New Roman"/>
        </w:rPr>
        <w:t>500m</w:t>
      </w:r>
      <w:r>
        <w:rPr>
          <w:rFonts w:ascii="Times New Roman"/>
        </w:rPr>
        <w:t>的多边形区域。具体见图</w:t>
      </w:r>
      <w:r>
        <w:rPr>
          <w:rFonts w:hint="eastAsia" w:ascii="Times New Roman" w:hAnsi="Times New Roman"/>
        </w:rPr>
        <w:t>2.5-1</w:t>
      </w:r>
      <w:r>
        <w:rPr>
          <w:rFonts w:ascii="Times New Roman"/>
        </w:rPr>
        <w:t>。</w:t>
      </w:r>
    </w:p>
    <w:p>
      <w:pPr>
        <w:spacing w:line="240" w:lineRule="auto"/>
        <w:ind w:firstLine="0" w:firstLineChars="0"/>
        <w:jc w:val="center"/>
        <w:rPr>
          <w:rFonts w:ascii="Times New Roman" w:hAnsi="Times New Roman"/>
        </w:rPr>
      </w:pPr>
      <w:r>
        <w:rPr>
          <w:rFonts w:hint="eastAsia"/>
        </w:rPr>
        <w:drawing>
          <wp:inline distT="0" distB="0" distL="0" distR="0">
            <wp:extent cx="5278120" cy="6019165"/>
            <wp:effectExtent l="0" t="0" r="0" b="0"/>
            <wp:docPr id="8" name="图片 8" descr="环境保护目标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环境保护目标图-修改"/>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8120" cy="6019226"/>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图2.5-1 地下水评价范围</w:t>
      </w:r>
    </w:p>
    <w:p>
      <w:pPr>
        <w:ind w:firstLine="480"/>
        <w:rPr>
          <w:rFonts w:ascii="Times New Roman" w:hAnsi="Times New Roman"/>
        </w:rPr>
      </w:pPr>
      <w:r>
        <w:rPr>
          <w:rFonts w:ascii="Times New Roman"/>
        </w:rPr>
        <w:t>泉水井不设二级保护区，其一级保护区为以井口为中心、半径</w:t>
      </w:r>
      <w:r>
        <w:rPr>
          <w:rFonts w:ascii="Times New Roman" w:hAnsi="Times New Roman"/>
        </w:rPr>
        <w:t>50m</w:t>
      </w:r>
      <w:r>
        <w:rPr>
          <w:rFonts w:ascii="Times New Roman"/>
        </w:rPr>
        <w:t>的圆形区域。</w:t>
      </w:r>
    </w:p>
    <w:p>
      <w:pPr>
        <w:ind w:firstLine="480"/>
        <w:rPr>
          <w:rFonts w:ascii="Times New Roman" w:hAnsi="Times New Roman"/>
        </w:rPr>
      </w:pPr>
      <w:r>
        <w:rPr>
          <w:rFonts w:hint="eastAsia" w:ascii="Times New Roman" w:hAnsi="Times New Roman"/>
        </w:rPr>
        <w:t>b</w:t>
      </w:r>
      <w:r>
        <w:rPr>
          <w:rFonts w:ascii="Times New Roman" w:hAnsi="Times New Roman"/>
        </w:rPr>
        <w:t>.</w:t>
      </w:r>
      <w:r>
        <w:rPr>
          <w:rFonts w:ascii="Times New Roman"/>
        </w:rPr>
        <w:t>环境敏感程度</w:t>
      </w:r>
    </w:p>
    <w:p>
      <w:pPr>
        <w:ind w:firstLine="480"/>
        <w:rPr>
          <w:rFonts w:ascii="Times New Roman" w:hAnsi="Times New Roman"/>
          <w:szCs w:val="24"/>
        </w:rPr>
      </w:pPr>
      <w:r>
        <w:rPr>
          <w:rFonts w:ascii="Times New Roman"/>
        </w:rPr>
        <w:t>其二级保护区距集气站工业场地最近距离约</w:t>
      </w:r>
      <w:r>
        <w:rPr>
          <w:rFonts w:ascii="Times New Roman" w:hAnsi="Times New Roman"/>
        </w:rPr>
        <w:t>3.48km</w:t>
      </w:r>
      <w:r>
        <w:rPr>
          <w:rFonts w:ascii="Times New Roman"/>
        </w:rPr>
        <w:t>，距</w:t>
      </w:r>
      <w:r>
        <w:rPr>
          <w:rFonts w:ascii="Times New Roman" w:hAnsi="Times New Roman"/>
        </w:rPr>
        <w:t>LX-104</w:t>
      </w:r>
      <w:r>
        <w:rPr>
          <w:rFonts w:ascii="Times New Roman"/>
        </w:rPr>
        <w:t>井场内废水处理站最近距离约</w:t>
      </w:r>
      <w:r>
        <w:rPr>
          <w:rFonts w:ascii="Times New Roman" w:hAnsi="Times New Roman"/>
        </w:rPr>
        <w:t>4.69km</w:t>
      </w:r>
      <w:r>
        <w:rPr>
          <w:rFonts w:ascii="Times New Roman"/>
        </w:rPr>
        <w:t>，距最近的</w:t>
      </w:r>
      <w:r>
        <w:rPr>
          <w:rFonts w:ascii="Times New Roman" w:hAnsi="Times New Roman"/>
        </w:rPr>
        <w:t>LX-101</w:t>
      </w:r>
      <w:r>
        <w:rPr>
          <w:rFonts w:ascii="Times New Roman"/>
        </w:rPr>
        <w:t>井场约</w:t>
      </w:r>
      <w:r>
        <w:rPr>
          <w:rFonts w:ascii="Times New Roman" w:hAnsi="Times New Roman"/>
        </w:rPr>
        <w:t>1.21km</w:t>
      </w:r>
      <w:r>
        <w:rPr>
          <w:rFonts w:ascii="Times New Roman"/>
        </w:rPr>
        <w:t>。根据野外调查情况以及收集的评价范围内水文地质条件，确定临兴先导试验区位于赵家坪集中式水源地的补给径流区。此外，各井场周边村庄分布有分散式饮用水井，根据新导则中地下水环境敏感程度分级表，确定该建设项目各个场地环境敏感程度均为较敏感。</w:t>
      </w:r>
    </w:p>
    <w:p>
      <w:pPr>
        <w:ind w:firstLine="480"/>
        <w:rPr>
          <w:rFonts w:ascii="Times New Roman" w:hAnsi="Times New Roman"/>
          <w:szCs w:val="24"/>
        </w:rPr>
      </w:pPr>
      <w:r>
        <w:rPr>
          <w:rFonts w:hint="eastAsia" w:ascii="Times New Roman" w:hAnsi="Times New Roman"/>
          <w:szCs w:val="24"/>
        </w:rPr>
        <w:t>③评价等级</w:t>
      </w:r>
    </w:p>
    <w:p>
      <w:pPr>
        <w:ind w:firstLine="480"/>
        <w:rPr>
          <w:rFonts w:ascii="Times New Roman" w:hAnsi="Times New Roman"/>
          <w:szCs w:val="24"/>
        </w:rPr>
      </w:pPr>
      <w:r>
        <w:rPr>
          <w:rFonts w:hint="eastAsia" w:ascii="Times New Roman" w:hAnsi="Times New Roman"/>
          <w:szCs w:val="24"/>
        </w:rPr>
        <w:t>结合之前确定的各场地项目类别与环境敏感程度判定结果，依据新地下水环评导则中评价工作等级分级表（见表2.5-4），确定项目各场地地下水环境影响评价等级，具体见表2.5-5。</w:t>
      </w:r>
    </w:p>
    <w:p>
      <w:pPr>
        <w:spacing w:before="156" w:beforeLines="50" w:line="240" w:lineRule="auto"/>
        <w:ind w:firstLine="0" w:firstLineChars="0"/>
        <w:jc w:val="center"/>
        <w:rPr>
          <w:rFonts w:ascii="Times New Roman" w:hAnsi="宋体"/>
          <w:b/>
          <w:sz w:val="21"/>
        </w:rPr>
      </w:pPr>
      <w:r>
        <w:rPr>
          <w:rFonts w:hint="eastAsia" w:ascii="Times New Roman" w:hAnsi="宋体"/>
          <w:b/>
          <w:sz w:val="21"/>
        </w:rPr>
        <w:t>表2.5-4分级判定结果</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573"/>
        <w:gridCol w:w="2081"/>
        <w:gridCol w:w="2083"/>
        <w:gridCol w:w="178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2" w:hRule="atLeast"/>
          <w:jc w:val="center"/>
        </w:trPr>
        <w:tc>
          <w:tcPr>
            <w:tcW w:w="2573" w:type="dxa"/>
            <w:vAlign w:val="center"/>
          </w:tcPr>
          <w:p>
            <w:pPr>
              <w:spacing w:line="320" w:lineRule="exact"/>
              <w:ind w:firstLine="420"/>
              <w:jc w:val="center"/>
              <w:rPr>
                <w:rFonts w:ascii="Times New Roman" w:hAnsi="Times New Roman"/>
                <w:sz w:val="21"/>
              </w:rPr>
            </w:pPr>
            <w:r>
              <w:rPr>
                <w:rFonts w:ascii="Times New Roman" w:hAnsi="Times New Roman"/>
                <w:sz w:val="21"/>
              </w:rPr>
              <mc:AlternateContent>
                <mc:Choice Requires="wps">
                  <w:drawing>
                    <wp:anchor distT="0" distB="0" distL="114300" distR="114300" simplePos="0" relativeHeight="251673600" behindDoc="0" locked="0" layoutInCell="1" allowOverlap="1">
                      <wp:simplePos x="0" y="0"/>
                      <wp:positionH relativeFrom="column">
                        <wp:posOffset>-37465</wp:posOffset>
                      </wp:positionH>
                      <wp:positionV relativeFrom="paragraph">
                        <wp:posOffset>18415</wp:posOffset>
                      </wp:positionV>
                      <wp:extent cx="1579245" cy="364490"/>
                      <wp:effectExtent l="9525" t="7620" r="11430" b="8890"/>
                      <wp:wrapNone/>
                      <wp:docPr id="197" name="自选图形 123"/>
                      <wp:cNvGraphicFramePr/>
                      <a:graphic xmlns:a="http://schemas.openxmlformats.org/drawingml/2006/main">
                        <a:graphicData uri="http://schemas.microsoft.com/office/word/2010/wordprocessingShape">
                          <wps:wsp>
                            <wps:cNvCnPr>
                              <a:cxnSpLocks noChangeShapeType="1"/>
                            </wps:cNvCnPr>
                            <wps:spPr bwMode="auto">
                              <a:xfrm>
                                <a:off x="0" y="0"/>
                                <a:ext cx="1579245" cy="364490"/>
                              </a:xfrm>
                              <a:prstGeom prst="straightConnector1">
                                <a:avLst/>
                              </a:prstGeom>
                              <a:noFill/>
                              <a:ln w="9525">
                                <a:solidFill>
                                  <a:srgbClr val="000000"/>
                                </a:solidFill>
                                <a:round/>
                              </a:ln>
                            </wps:spPr>
                            <wps:bodyPr/>
                          </wps:wsp>
                        </a:graphicData>
                      </a:graphic>
                    </wp:anchor>
                  </w:drawing>
                </mc:Choice>
                <mc:Fallback>
                  <w:pict>
                    <v:shape id="自选图形 123" o:spid="_x0000_s1026" o:spt="32" type="#_x0000_t32" style="position:absolute;left:0pt;margin-left:-2.95pt;margin-top:1.45pt;height:28.7pt;width:124.35pt;z-index:251673600;mso-width-relative:page;mso-height-relative:page;" filled="f" stroked="t" coordsize="21600,21600" o:gfxdata="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yYgnXAAAABwEAAA8AAAAAAAAAAQAgAAAAIgAAAGRycy9kb3ducmV2LnhtbFBL&#10;AQIUABQAAAAIAIdO4kBjIr4S9wEAAL4DAAAOAAAAAAAAAAEAIAAAACYBAABkcnMvZTJvRG9jLnht&#10;bFBLBQYAAAAABgAGAFkBAACPBQAAAAA=&#10;">
                      <v:fill on="f" focussize="0,0"/>
                      <v:stroke color="#000000" joinstyle="round"/>
                      <v:imagedata o:title=""/>
                      <o:lock v:ext="edit" aspectratio="f"/>
                    </v:shape>
                  </w:pict>
                </mc:Fallback>
              </mc:AlternateContent>
            </w:r>
            <w:r>
              <w:rPr>
                <w:rFonts w:ascii="Times New Roman"/>
                <w:sz w:val="21"/>
              </w:rPr>
              <w:t>项目类别</w:t>
            </w:r>
          </w:p>
          <w:p>
            <w:pPr>
              <w:spacing w:line="320" w:lineRule="exact"/>
              <w:ind w:firstLine="420"/>
              <w:rPr>
                <w:rFonts w:ascii="Times New Roman" w:hAnsi="Times New Roman"/>
                <w:sz w:val="21"/>
              </w:rPr>
            </w:pPr>
            <w:r>
              <w:rPr>
                <w:rFonts w:ascii="Times New Roman"/>
                <w:sz w:val="21"/>
              </w:rPr>
              <w:t>环境敏感程度</w:t>
            </w:r>
          </w:p>
        </w:tc>
        <w:tc>
          <w:tcPr>
            <w:tcW w:w="2081" w:type="dxa"/>
            <w:vAlign w:val="center"/>
          </w:tcPr>
          <w:p>
            <w:pPr>
              <w:spacing w:line="320" w:lineRule="exact"/>
              <w:ind w:firstLine="420"/>
              <w:jc w:val="center"/>
              <w:rPr>
                <w:rFonts w:ascii="Times New Roman" w:hAnsi="Times New Roman"/>
                <w:sz w:val="21"/>
              </w:rPr>
            </w:pPr>
            <w:r>
              <w:rPr>
                <w:rFonts w:ascii="Times New Roman" w:hAnsi="Times New Roman"/>
                <w:sz w:val="21"/>
              </w:rPr>
              <w:t>I</w:t>
            </w:r>
            <w:r>
              <w:rPr>
                <w:rFonts w:ascii="Times New Roman"/>
                <w:sz w:val="21"/>
              </w:rPr>
              <w:t>类</w:t>
            </w:r>
          </w:p>
        </w:tc>
        <w:tc>
          <w:tcPr>
            <w:tcW w:w="2083" w:type="dxa"/>
            <w:vAlign w:val="center"/>
          </w:tcPr>
          <w:p>
            <w:pPr>
              <w:spacing w:line="320" w:lineRule="exact"/>
              <w:ind w:firstLine="420"/>
              <w:jc w:val="center"/>
              <w:rPr>
                <w:rFonts w:ascii="Times New Roman" w:hAnsi="Times New Roman"/>
                <w:sz w:val="21"/>
              </w:rPr>
            </w:pPr>
            <w:r>
              <w:rPr>
                <w:rFonts w:ascii="Times New Roman" w:hAnsi="Times New Roman"/>
                <w:sz w:val="21"/>
              </w:rPr>
              <w:t>II</w:t>
            </w:r>
            <w:r>
              <w:rPr>
                <w:rFonts w:ascii="Times New Roman"/>
                <w:sz w:val="21"/>
              </w:rPr>
              <w:t>类</w:t>
            </w:r>
          </w:p>
        </w:tc>
        <w:tc>
          <w:tcPr>
            <w:tcW w:w="1786" w:type="dxa"/>
            <w:vAlign w:val="center"/>
          </w:tcPr>
          <w:p>
            <w:pPr>
              <w:spacing w:line="320" w:lineRule="exact"/>
              <w:ind w:firstLine="420"/>
              <w:jc w:val="center"/>
              <w:rPr>
                <w:rFonts w:ascii="Times New Roman" w:hAnsi="Times New Roman"/>
                <w:sz w:val="21"/>
              </w:rPr>
            </w:pPr>
            <w:r>
              <w:rPr>
                <w:rFonts w:ascii="Times New Roman" w:hAnsi="Times New Roman"/>
                <w:sz w:val="21"/>
              </w:rPr>
              <w:t>III</w:t>
            </w:r>
            <w:r>
              <w:rPr>
                <w:rFonts w:ascii="Times New Roman"/>
                <w:sz w:val="21"/>
              </w:rPr>
              <w:t>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2573" w:type="dxa"/>
            <w:vAlign w:val="center"/>
          </w:tcPr>
          <w:p>
            <w:pPr>
              <w:spacing w:line="320" w:lineRule="exact"/>
              <w:ind w:firstLine="0" w:firstLineChars="0"/>
              <w:jc w:val="center"/>
              <w:rPr>
                <w:rFonts w:ascii="Times New Roman" w:hAnsi="Times New Roman"/>
                <w:sz w:val="21"/>
              </w:rPr>
            </w:pPr>
            <w:r>
              <w:rPr>
                <w:rFonts w:ascii="Times New Roman"/>
                <w:sz w:val="21"/>
              </w:rPr>
              <w:t>敏感</w:t>
            </w:r>
          </w:p>
        </w:tc>
        <w:tc>
          <w:tcPr>
            <w:tcW w:w="2081" w:type="dxa"/>
            <w:vAlign w:val="center"/>
          </w:tcPr>
          <w:p>
            <w:pPr>
              <w:spacing w:line="320" w:lineRule="exact"/>
              <w:ind w:firstLine="0" w:firstLineChars="0"/>
              <w:jc w:val="center"/>
              <w:rPr>
                <w:rFonts w:ascii="Times New Roman" w:hAnsi="Times New Roman"/>
                <w:sz w:val="21"/>
              </w:rPr>
            </w:pPr>
            <w:r>
              <w:rPr>
                <w:rFonts w:ascii="Times New Roman"/>
                <w:sz w:val="21"/>
              </w:rPr>
              <w:t>一</w:t>
            </w:r>
          </w:p>
        </w:tc>
        <w:tc>
          <w:tcPr>
            <w:tcW w:w="2083" w:type="dxa"/>
            <w:vAlign w:val="center"/>
          </w:tcPr>
          <w:p>
            <w:pPr>
              <w:spacing w:line="320" w:lineRule="exact"/>
              <w:ind w:firstLine="0" w:firstLineChars="0"/>
              <w:jc w:val="center"/>
              <w:rPr>
                <w:rFonts w:ascii="Times New Roman" w:hAnsi="Times New Roman"/>
                <w:sz w:val="21"/>
              </w:rPr>
            </w:pPr>
            <w:r>
              <w:rPr>
                <w:rFonts w:ascii="Times New Roman"/>
                <w:sz w:val="21"/>
              </w:rPr>
              <w:t>一</w:t>
            </w:r>
          </w:p>
        </w:tc>
        <w:tc>
          <w:tcPr>
            <w:tcW w:w="1786" w:type="dxa"/>
            <w:vAlign w:val="center"/>
          </w:tcPr>
          <w:p>
            <w:pPr>
              <w:spacing w:line="320" w:lineRule="exact"/>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2573" w:type="dxa"/>
            <w:vAlign w:val="center"/>
          </w:tcPr>
          <w:p>
            <w:pPr>
              <w:spacing w:line="320" w:lineRule="exact"/>
              <w:ind w:firstLine="0" w:firstLineChars="0"/>
              <w:jc w:val="center"/>
              <w:rPr>
                <w:rFonts w:ascii="Times New Roman" w:hAnsi="Times New Roman"/>
                <w:sz w:val="21"/>
              </w:rPr>
            </w:pPr>
            <w:r>
              <w:rPr>
                <w:rFonts w:ascii="Times New Roman"/>
                <w:sz w:val="21"/>
              </w:rPr>
              <w:t>较敏感</w:t>
            </w:r>
          </w:p>
        </w:tc>
        <w:tc>
          <w:tcPr>
            <w:tcW w:w="2081" w:type="dxa"/>
            <w:vAlign w:val="center"/>
          </w:tcPr>
          <w:p>
            <w:pPr>
              <w:spacing w:line="320" w:lineRule="exact"/>
              <w:ind w:firstLine="0" w:firstLineChars="0"/>
              <w:jc w:val="center"/>
              <w:rPr>
                <w:rFonts w:ascii="Times New Roman" w:hAnsi="Times New Roman"/>
                <w:sz w:val="21"/>
              </w:rPr>
            </w:pPr>
            <w:r>
              <w:rPr>
                <w:rFonts w:ascii="Times New Roman"/>
                <w:sz w:val="21"/>
              </w:rPr>
              <w:t>一</w:t>
            </w:r>
          </w:p>
        </w:tc>
        <w:tc>
          <w:tcPr>
            <w:tcW w:w="2083" w:type="dxa"/>
            <w:vAlign w:val="center"/>
          </w:tcPr>
          <w:p>
            <w:pPr>
              <w:spacing w:line="320" w:lineRule="exact"/>
              <w:ind w:firstLine="0" w:firstLineChars="0"/>
              <w:jc w:val="center"/>
              <w:rPr>
                <w:rFonts w:ascii="Times New Roman" w:hAnsi="Times New Roman"/>
                <w:sz w:val="21"/>
              </w:rPr>
            </w:pPr>
            <w:r>
              <w:rPr>
                <w:rFonts w:ascii="Times New Roman"/>
                <w:sz w:val="21"/>
              </w:rPr>
              <w:t>二</w:t>
            </w:r>
          </w:p>
        </w:tc>
        <w:tc>
          <w:tcPr>
            <w:tcW w:w="1786" w:type="dxa"/>
            <w:vAlign w:val="center"/>
          </w:tcPr>
          <w:p>
            <w:pPr>
              <w:spacing w:line="320" w:lineRule="exact"/>
              <w:ind w:firstLine="0" w:firstLineChars="0"/>
              <w:jc w:val="center"/>
              <w:rPr>
                <w:rFonts w:ascii="Times New Roman" w:hAnsi="Times New Roman"/>
                <w:sz w:val="21"/>
              </w:rPr>
            </w:pPr>
            <w:r>
              <w:rPr>
                <w:rFonts w:ascii="Times New Roman"/>
                <w:sz w:val="21"/>
              </w:rPr>
              <w:t>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2573" w:type="dxa"/>
            <w:vAlign w:val="center"/>
          </w:tcPr>
          <w:p>
            <w:pPr>
              <w:spacing w:line="320" w:lineRule="exact"/>
              <w:ind w:firstLine="0" w:firstLineChars="0"/>
              <w:jc w:val="center"/>
              <w:rPr>
                <w:rFonts w:ascii="Times New Roman" w:hAnsi="Times New Roman"/>
                <w:sz w:val="21"/>
              </w:rPr>
            </w:pPr>
            <w:r>
              <w:rPr>
                <w:rFonts w:ascii="Times New Roman"/>
                <w:sz w:val="21"/>
              </w:rPr>
              <w:t>不敏感</w:t>
            </w:r>
          </w:p>
        </w:tc>
        <w:tc>
          <w:tcPr>
            <w:tcW w:w="2081" w:type="dxa"/>
            <w:vAlign w:val="center"/>
          </w:tcPr>
          <w:p>
            <w:pPr>
              <w:spacing w:line="320" w:lineRule="exact"/>
              <w:ind w:firstLine="0" w:firstLineChars="0"/>
              <w:jc w:val="center"/>
              <w:rPr>
                <w:rFonts w:ascii="Times New Roman" w:hAnsi="Times New Roman"/>
                <w:sz w:val="21"/>
              </w:rPr>
            </w:pPr>
            <w:r>
              <w:rPr>
                <w:rFonts w:ascii="Times New Roman"/>
                <w:sz w:val="21"/>
              </w:rPr>
              <w:t>二</w:t>
            </w:r>
          </w:p>
        </w:tc>
        <w:tc>
          <w:tcPr>
            <w:tcW w:w="2083" w:type="dxa"/>
            <w:vAlign w:val="center"/>
          </w:tcPr>
          <w:p>
            <w:pPr>
              <w:spacing w:line="320" w:lineRule="exact"/>
              <w:ind w:firstLine="0" w:firstLineChars="0"/>
              <w:jc w:val="center"/>
              <w:rPr>
                <w:rFonts w:ascii="Times New Roman" w:hAnsi="Times New Roman"/>
                <w:sz w:val="21"/>
              </w:rPr>
            </w:pPr>
            <w:r>
              <w:rPr>
                <w:rFonts w:ascii="Times New Roman"/>
                <w:sz w:val="21"/>
              </w:rPr>
              <w:t>三</w:t>
            </w:r>
          </w:p>
        </w:tc>
        <w:tc>
          <w:tcPr>
            <w:tcW w:w="1786" w:type="dxa"/>
            <w:vAlign w:val="center"/>
          </w:tcPr>
          <w:p>
            <w:pPr>
              <w:spacing w:line="320" w:lineRule="exact"/>
              <w:ind w:firstLine="0" w:firstLineChars="0"/>
              <w:jc w:val="center"/>
              <w:rPr>
                <w:rFonts w:ascii="Times New Roman" w:hAnsi="Times New Roman"/>
                <w:sz w:val="21"/>
              </w:rPr>
            </w:pPr>
            <w:r>
              <w:rPr>
                <w:rFonts w:ascii="Times New Roman"/>
                <w:sz w:val="21"/>
              </w:rPr>
              <w:t>三</w:t>
            </w:r>
          </w:p>
        </w:tc>
      </w:tr>
    </w:tbl>
    <w:p>
      <w:pPr>
        <w:spacing w:before="156" w:beforeLines="50" w:line="240" w:lineRule="auto"/>
        <w:ind w:firstLine="0" w:firstLineChars="0"/>
        <w:jc w:val="center"/>
        <w:rPr>
          <w:rFonts w:ascii="Times New Roman" w:hAnsi="宋体"/>
          <w:b/>
          <w:sz w:val="21"/>
        </w:rPr>
      </w:pPr>
      <w:r>
        <w:rPr>
          <w:rFonts w:hint="eastAsia" w:ascii="Times New Roman" w:hAnsi="宋体"/>
          <w:b/>
          <w:sz w:val="21"/>
        </w:rPr>
        <w:t>表2.5-5地下水环境评价工作等级判定表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1"/>
        <w:gridCol w:w="1841"/>
        <w:gridCol w:w="2126"/>
        <w:gridCol w:w="2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评价场地</w:t>
            </w:r>
          </w:p>
        </w:tc>
        <w:tc>
          <w:tcPr>
            <w:tcW w:w="1841" w:type="dxa"/>
            <w:vAlign w:val="center"/>
          </w:tcPr>
          <w:p>
            <w:pPr>
              <w:spacing w:line="240" w:lineRule="auto"/>
              <w:ind w:firstLine="0" w:firstLineChars="0"/>
              <w:jc w:val="center"/>
              <w:rPr>
                <w:rFonts w:ascii="Times New Roman" w:hAnsi="Times New Roman"/>
                <w:sz w:val="21"/>
              </w:rPr>
            </w:pPr>
            <w:r>
              <w:rPr>
                <w:rFonts w:ascii="Times New Roman"/>
                <w:sz w:val="21"/>
              </w:rPr>
              <w:t>项目类别</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环境敏感程度</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评价工作等级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1#集气站工业场地</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废水处理站</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LX-101井场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LX-102井场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LX-103井场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LX-104井场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LX-105井场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LX-106井场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LX-4井场</w:t>
            </w:r>
          </w:p>
        </w:tc>
        <w:tc>
          <w:tcPr>
            <w:tcW w:w="1841" w:type="dxa"/>
            <w:vAlign w:val="center"/>
          </w:tcPr>
          <w:p>
            <w:pPr>
              <w:spacing w:line="240" w:lineRule="auto"/>
              <w:ind w:firstLine="0" w:firstLineChars="0"/>
              <w:jc w:val="center"/>
              <w:rPr>
                <w:rFonts w:ascii="Times New Roman" w:hAnsi="Times New Roman"/>
                <w:sz w:val="21"/>
              </w:rPr>
            </w:pPr>
            <w:r>
              <w:rPr>
                <w:rFonts w:ascii="Times New Roman" w:hAnsi="Times New Roman"/>
                <w:sz w:val="21"/>
              </w:rPr>
              <w:t>II</w:t>
            </w:r>
          </w:p>
        </w:tc>
        <w:tc>
          <w:tcPr>
            <w:tcW w:w="2126" w:type="dxa"/>
            <w:vAlign w:val="center"/>
          </w:tcPr>
          <w:p>
            <w:pPr>
              <w:spacing w:line="240" w:lineRule="auto"/>
              <w:ind w:firstLine="0" w:firstLineChars="0"/>
              <w:jc w:val="center"/>
              <w:rPr>
                <w:rFonts w:ascii="Times New Roman" w:hAnsi="Times New Roman"/>
                <w:sz w:val="21"/>
              </w:rPr>
            </w:pPr>
            <w:r>
              <w:rPr>
                <w:rFonts w:ascii="Times New Roman"/>
                <w:sz w:val="21"/>
              </w:rPr>
              <w:t>较敏感</w:t>
            </w:r>
          </w:p>
        </w:tc>
        <w:tc>
          <w:tcPr>
            <w:tcW w:w="2127" w:type="dxa"/>
            <w:vAlign w:val="center"/>
          </w:tcPr>
          <w:p>
            <w:pPr>
              <w:spacing w:line="240" w:lineRule="auto"/>
              <w:ind w:firstLine="0" w:firstLineChars="0"/>
              <w:jc w:val="center"/>
              <w:rPr>
                <w:rFonts w:ascii="Times New Roman" w:hAnsi="Times New Roman"/>
                <w:sz w:val="21"/>
              </w:rPr>
            </w:pPr>
            <w:r>
              <w:rPr>
                <w:rFonts w:ascii="Times New Roman"/>
                <w:sz w:val="21"/>
              </w:rPr>
              <w:t>二</w:t>
            </w:r>
          </w:p>
        </w:tc>
      </w:tr>
    </w:tbl>
    <w:p>
      <w:pPr>
        <w:ind w:firstLine="480"/>
        <w:rPr>
          <w:rFonts w:ascii="Times New Roman" w:hAnsi="Times New Roman"/>
          <w:szCs w:val="24"/>
        </w:rPr>
      </w:pPr>
      <w:r>
        <w:rPr>
          <w:rFonts w:hint="eastAsia" w:ascii="Times New Roman" w:hAnsi="Times New Roman"/>
          <w:szCs w:val="24"/>
        </w:rPr>
        <w:t>④评价范围</w:t>
      </w:r>
    </w:p>
    <w:p>
      <w:pPr>
        <w:ind w:firstLine="480"/>
        <w:rPr>
          <w:rFonts w:ascii="Times New Roman" w:hAnsi="Times New Roman"/>
          <w:szCs w:val="24"/>
        </w:rPr>
      </w:pPr>
      <w:r>
        <w:rPr>
          <w:rFonts w:hint="eastAsia" w:ascii="Times New Roman" w:hAnsi="Times New Roman"/>
          <w:szCs w:val="24"/>
        </w:rPr>
        <w:t>评价范围确定的依据是项目所在地目的含水层水文地质单元。原则上，尽可能选取一个完整的水文地质单元。</w:t>
      </w:r>
    </w:p>
    <w:p>
      <w:pPr>
        <w:ind w:firstLine="480"/>
        <w:rPr>
          <w:rFonts w:ascii="Times New Roman" w:hAnsi="Times New Roman"/>
          <w:szCs w:val="24"/>
        </w:rPr>
      </w:pPr>
      <w:r>
        <w:rPr>
          <w:rFonts w:hint="eastAsia" w:ascii="Times New Roman" w:hAnsi="Times New Roman"/>
          <w:szCs w:val="24"/>
        </w:rPr>
        <w:t>地形地貌上，项目所在地属黄土塬、梁地貌单元，区内山峦起伏，沟壑纵横，河谷切割呈“树枝状”形态。地质条件上，项目区广泛分布有第四系中上更新统地层，厚度5~50m；仅在沟谷中，分布有厚度较薄的第四系全新统地层。水文地质条件上，本地区浅层地下水类型主要为砂岩裂隙水及河谷松散孔隙水，砂岩裂隙水主要接受大气降水入渗补给，少部分向深部运移，大部分在沟谷中以泉的形式排泄从而转变成地表水。地表水又是沟谷中孔隙潜水含水层的主要补给来源。</w:t>
      </w:r>
    </w:p>
    <w:p>
      <w:pPr>
        <w:ind w:firstLine="480"/>
        <w:rPr>
          <w:rFonts w:ascii="Times New Roman" w:hAnsi="Times New Roman"/>
          <w:szCs w:val="24"/>
        </w:rPr>
      </w:pPr>
      <w:r>
        <w:rPr>
          <w:rFonts w:hint="eastAsia" w:ascii="Times New Roman" w:hAnsi="Times New Roman"/>
          <w:szCs w:val="24"/>
        </w:rPr>
        <w:t>可以说，该地区浅层地下水以及地表水之间的水力联系十分密切，地下水动态变化相较于地表水滞后性小。因此，从水文地质条件概化的角度考虑，将砂岩裂隙潜水和松散孔隙潜水概化为同一地下含水层，在项目所在地是可行的。</w:t>
      </w:r>
    </w:p>
    <w:p>
      <w:pPr>
        <w:ind w:firstLine="480"/>
        <w:rPr>
          <w:rFonts w:ascii="Times New Roman" w:hAnsi="Times New Roman"/>
          <w:szCs w:val="24"/>
        </w:rPr>
      </w:pPr>
      <w:r>
        <w:rPr>
          <w:rFonts w:hint="eastAsia" w:ascii="Times New Roman" w:hAnsi="Times New Roman"/>
          <w:szCs w:val="24"/>
        </w:rPr>
        <w:t>因此，结合当地地形地貌、地质及水文地质条件，确定目的含水层为浅层孔隙—裂隙含水层。考虑到该目的含水层补给来源单一，径流途径短，地表水与地下水水力联系密切，尽可能将评价场地所在沟谷的地表分水岭范围内的区域作为一个完整的水文地质单元。据此确定出本项目地下水的评价范围。</w:t>
      </w:r>
    </w:p>
    <w:p>
      <w:pPr>
        <w:ind w:firstLine="480"/>
        <w:rPr>
          <w:rFonts w:ascii="Times New Roman" w:hAnsi="Times New Roman"/>
          <w:szCs w:val="24"/>
        </w:rPr>
      </w:pPr>
      <w:r>
        <w:rPr>
          <w:rFonts w:hint="eastAsia" w:ascii="Times New Roman" w:hAnsi="Times New Roman"/>
          <w:szCs w:val="24"/>
        </w:rPr>
        <w:t>评价范围内包含本项目集气站工业场地、废水处理站、各个井场以及管线等可能对地下水造成污染的敏感点，面积约39.8km</w:t>
      </w:r>
      <w:r>
        <w:rPr>
          <w:rFonts w:hint="eastAsia" w:ascii="Times New Roman" w:hAnsi="Times New Roman"/>
          <w:szCs w:val="24"/>
          <w:vertAlign w:val="superscript"/>
        </w:rPr>
        <w:t>2</w:t>
      </w:r>
      <w:r>
        <w:rPr>
          <w:rFonts w:hint="eastAsia" w:ascii="Times New Roman" w:hAnsi="Times New Roman"/>
          <w:szCs w:val="24"/>
        </w:rPr>
        <w:t>，评价范围见图2.5-1。</w:t>
      </w:r>
    </w:p>
    <w:p>
      <w:pPr>
        <w:ind w:firstLine="0" w:firstLineChars="0"/>
        <w:outlineLvl w:val="2"/>
        <w:rPr>
          <w:rFonts w:ascii="Times New Roman" w:hAnsi="Times New Roman"/>
          <w:b/>
          <w:sz w:val="28"/>
          <w:szCs w:val="28"/>
        </w:rPr>
      </w:pPr>
      <w:bookmarkStart w:id="28" w:name="_Toc524624563"/>
      <w:r>
        <w:rPr>
          <w:rFonts w:hint="eastAsia" w:ascii="Times New Roman" w:hAnsi="Times New Roman"/>
          <w:b/>
          <w:sz w:val="28"/>
          <w:szCs w:val="28"/>
        </w:rPr>
        <w:t>2.5.3 声环境</w:t>
      </w:r>
      <w:bookmarkEnd w:id="28"/>
    </w:p>
    <w:p>
      <w:pPr>
        <w:ind w:firstLine="480"/>
        <w:rPr>
          <w:rFonts w:ascii="Times New Roman" w:hAnsi="Times New Roman"/>
          <w:szCs w:val="24"/>
        </w:rPr>
      </w:pPr>
      <w:r>
        <w:rPr>
          <w:rFonts w:hint="eastAsia" w:ascii="Times New Roman" w:hAnsi="Times New Roman"/>
          <w:szCs w:val="24"/>
        </w:rPr>
        <w:t>依据《环境影响评价技术导则声环境》（HJ2.4-2009）中的有关规定，“建设项目所处的声环境功能区为GB3096规定的2类地区，或建设项目建设前后评价范围内敏感目标噪声级增高量达3dB（A）~5dB（A）（含5dB（A）），或受噪声影响人口数量增加较多时，按二级评价。”本扩建项目位于《声环境质量标准》（GB3096-2008）规定的2类区，因此将环境噪声评价工作级别确定为二级。考虑到拟建项目噪声源的种类少，源强小，噪声评价范围为集气站、各井场附近200m范围，道路两侧200m范围内。</w:t>
      </w:r>
    </w:p>
    <w:p>
      <w:pPr>
        <w:ind w:firstLine="0" w:firstLineChars="0"/>
        <w:outlineLvl w:val="2"/>
        <w:rPr>
          <w:rFonts w:ascii="Times New Roman" w:hAnsi="Times New Roman"/>
          <w:b/>
          <w:sz w:val="28"/>
          <w:szCs w:val="28"/>
        </w:rPr>
      </w:pPr>
      <w:bookmarkStart w:id="29" w:name="_Toc524624564"/>
      <w:r>
        <w:rPr>
          <w:rFonts w:hint="eastAsia" w:ascii="Times New Roman" w:hAnsi="Times New Roman"/>
          <w:b/>
          <w:sz w:val="28"/>
          <w:szCs w:val="28"/>
        </w:rPr>
        <w:t>2.5.4 生态环境</w:t>
      </w:r>
      <w:bookmarkEnd w:id="29"/>
    </w:p>
    <w:p>
      <w:pPr>
        <w:ind w:firstLine="480"/>
        <w:rPr>
          <w:rFonts w:ascii="Times New Roman" w:hAnsi="Times New Roman"/>
          <w:szCs w:val="24"/>
        </w:rPr>
      </w:pPr>
      <w:r>
        <w:rPr>
          <w:rFonts w:ascii="Times New Roman" w:hAnsi="Times New Roman"/>
          <w:szCs w:val="24"/>
        </w:rPr>
        <w:t>本</w:t>
      </w:r>
      <w:r>
        <w:rPr>
          <w:rFonts w:hint="eastAsia" w:ascii="Times New Roman" w:hAnsi="Times New Roman"/>
          <w:szCs w:val="24"/>
        </w:rPr>
        <w:t>扩建项目</w:t>
      </w:r>
      <w:r>
        <w:rPr>
          <w:rFonts w:ascii="Times New Roman" w:hAnsi="Times New Roman"/>
          <w:szCs w:val="24"/>
        </w:rPr>
        <w:t>总占地面积为</w:t>
      </w:r>
      <w:r>
        <w:rPr>
          <w:rFonts w:hint="eastAsia" w:ascii="Times New Roman" w:hAnsi="Times New Roman"/>
          <w:szCs w:val="24"/>
        </w:rPr>
        <w:t>25944</w:t>
      </w:r>
      <w:r>
        <w:rPr>
          <w:rFonts w:ascii="Times New Roman" w:hAnsi="Times New Roman"/>
          <w:szCs w:val="24"/>
        </w:rPr>
        <w:t>m²，其中永久占地</w:t>
      </w:r>
      <w:r>
        <w:rPr>
          <w:rFonts w:hint="eastAsia" w:ascii="Times New Roman" w:hAnsi="Times New Roman"/>
          <w:szCs w:val="24"/>
        </w:rPr>
        <w:t>16944</w:t>
      </w:r>
      <w:r>
        <w:rPr>
          <w:rFonts w:ascii="Times New Roman" w:hAnsi="Times New Roman"/>
          <w:szCs w:val="24"/>
        </w:rPr>
        <w:t>m²，临时占地</w:t>
      </w:r>
      <w:r>
        <w:rPr>
          <w:rFonts w:hint="eastAsia" w:ascii="Times New Roman" w:hAnsi="Times New Roman"/>
          <w:szCs w:val="24"/>
        </w:rPr>
        <w:t>9000</w:t>
      </w:r>
      <w:r>
        <w:rPr>
          <w:rFonts w:ascii="Times New Roman" w:hAnsi="Times New Roman"/>
          <w:szCs w:val="24"/>
        </w:rPr>
        <w:t>m²。</w:t>
      </w:r>
    </w:p>
    <w:p>
      <w:pPr>
        <w:ind w:firstLine="480"/>
        <w:rPr>
          <w:rFonts w:ascii="Times New Roman" w:hAnsi="Times New Roman"/>
          <w:szCs w:val="24"/>
        </w:rPr>
      </w:pPr>
      <w:r>
        <w:rPr>
          <w:rFonts w:hint="eastAsia" w:ascii="Times New Roman" w:hAnsi="Times New Roman"/>
          <w:szCs w:val="24"/>
        </w:rPr>
        <w:t>管线需新建集气管网1.8km、外输干线0.2km和废水管线约0.32km。</w:t>
      </w:r>
    </w:p>
    <w:p>
      <w:pPr>
        <w:ind w:firstLine="480"/>
        <w:rPr>
          <w:rFonts w:ascii="Times New Roman" w:hAnsi="Times New Roman"/>
          <w:szCs w:val="24"/>
        </w:rPr>
      </w:pPr>
      <w:r>
        <w:rPr>
          <w:rFonts w:ascii="Times New Roman" w:hAnsi="Times New Roman"/>
          <w:szCs w:val="24"/>
        </w:rPr>
        <w:t>项目不在特殊及重要生态敏感区内，属于《环境影响评价技术导则生态影响》（HJ19-2011）中4.2.1规定的一般区域，并且其占地面积≤2km</w:t>
      </w:r>
      <w:r>
        <w:rPr>
          <w:rFonts w:ascii="Times New Roman" w:hAnsi="Times New Roman"/>
          <w:szCs w:val="24"/>
          <w:vertAlign w:val="superscript"/>
        </w:rPr>
        <w:t>2</w:t>
      </w:r>
      <w:r>
        <w:rPr>
          <w:rFonts w:ascii="Times New Roman" w:hAnsi="Times New Roman"/>
          <w:szCs w:val="24"/>
        </w:rPr>
        <w:t>，新增管线总长度≤50km。故生态评价等级定为三级。根据《环境影响评价技术导则－生态环境》（HJ19－2011）中关于评价等级的规定，详见表</w:t>
      </w:r>
      <w:r>
        <w:rPr>
          <w:rFonts w:hint="eastAsia" w:ascii="Times New Roman" w:hAnsi="Times New Roman"/>
          <w:szCs w:val="24"/>
        </w:rPr>
        <w:t>2.5-6。</w:t>
      </w:r>
    </w:p>
    <w:p>
      <w:pPr>
        <w:spacing w:before="156" w:beforeLines="50" w:line="240" w:lineRule="auto"/>
        <w:ind w:firstLine="0" w:firstLineChars="0"/>
        <w:jc w:val="center"/>
      </w:pPr>
      <w:r>
        <w:rPr>
          <w:rFonts w:ascii="Times New Roman" w:hAnsi="宋体"/>
          <w:b/>
          <w:sz w:val="21"/>
        </w:rPr>
        <w:t>表2.5-</w:t>
      </w:r>
      <w:r>
        <w:rPr>
          <w:rFonts w:hint="eastAsia" w:ascii="Times New Roman" w:hAnsi="宋体"/>
          <w:b/>
          <w:sz w:val="21"/>
        </w:rPr>
        <w:t>6</w:t>
      </w:r>
      <w:r>
        <w:rPr>
          <w:rFonts w:ascii="Times New Roman" w:hAnsi="宋体"/>
          <w:b/>
          <w:sz w:val="21"/>
        </w:rPr>
        <w:t>生态影响评价工作等级划分表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2"/>
        <w:gridCol w:w="1759"/>
        <w:gridCol w:w="2455"/>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97" w:type="pct"/>
            <w:vMerge w:val="restart"/>
            <w:tcMar>
              <w:left w:w="0" w:type="dxa"/>
              <w:right w:w="0" w:type="dxa"/>
            </w:tcMar>
            <w:vAlign w:val="center"/>
          </w:tcPr>
          <w:p>
            <w:pPr>
              <w:pStyle w:val="27"/>
            </w:pPr>
            <w:r>
              <w:t>影响区域生态敏感性</w:t>
            </w:r>
          </w:p>
        </w:tc>
        <w:tc>
          <w:tcPr>
            <w:tcW w:w="3503" w:type="pct"/>
            <w:gridSpan w:val="3"/>
            <w:tcMar>
              <w:left w:w="0" w:type="dxa"/>
              <w:right w:w="0" w:type="dxa"/>
            </w:tcMar>
          </w:tcPr>
          <w:p>
            <w:pPr>
              <w:pStyle w:val="27"/>
            </w:pPr>
            <w:r>
              <w:t>工程占地（水域）范围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97" w:type="pct"/>
            <w:vMerge w:val="continue"/>
            <w:tcMar>
              <w:left w:w="0" w:type="dxa"/>
              <w:right w:w="0" w:type="dxa"/>
            </w:tcMar>
          </w:tcPr>
          <w:p>
            <w:pPr>
              <w:pStyle w:val="27"/>
            </w:pPr>
          </w:p>
        </w:tc>
        <w:tc>
          <w:tcPr>
            <w:tcW w:w="1057" w:type="pct"/>
            <w:tcMar>
              <w:left w:w="0" w:type="dxa"/>
              <w:right w:w="0" w:type="dxa"/>
            </w:tcMar>
          </w:tcPr>
          <w:p>
            <w:pPr>
              <w:pStyle w:val="27"/>
            </w:pPr>
            <w:r>
              <w:t>面积≥20km</w:t>
            </w:r>
            <w:r>
              <w:rPr>
                <w:vertAlign w:val="superscript"/>
              </w:rPr>
              <w:t>2</w:t>
            </w:r>
          </w:p>
          <w:p>
            <w:pPr>
              <w:pStyle w:val="27"/>
            </w:pPr>
            <w:r>
              <w:t>或长度≥100km</w:t>
            </w:r>
          </w:p>
        </w:tc>
        <w:tc>
          <w:tcPr>
            <w:tcW w:w="1475" w:type="pct"/>
            <w:tcMar>
              <w:left w:w="0" w:type="dxa"/>
              <w:right w:w="0" w:type="dxa"/>
            </w:tcMar>
          </w:tcPr>
          <w:p>
            <w:pPr>
              <w:pStyle w:val="27"/>
            </w:pPr>
            <w:r>
              <w:t>面积2km</w:t>
            </w:r>
            <w:r>
              <w:rPr>
                <w:vertAlign w:val="superscript"/>
              </w:rPr>
              <w:t>2</w:t>
            </w:r>
            <w:r>
              <w:t>~20km</w:t>
            </w:r>
            <w:r>
              <w:rPr>
                <w:vertAlign w:val="superscript"/>
              </w:rPr>
              <w:t>2</w:t>
            </w:r>
          </w:p>
          <w:p>
            <w:pPr>
              <w:pStyle w:val="27"/>
            </w:pPr>
            <w:r>
              <w:t>或长度50km~100km</w:t>
            </w:r>
          </w:p>
        </w:tc>
        <w:tc>
          <w:tcPr>
            <w:tcW w:w="971" w:type="pct"/>
            <w:tcMar>
              <w:left w:w="0" w:type="dxa"/>
              <w:right w:w="0" w:type="dxa"/>
            </w:tcMar>
          </w:tcPr>
          <w:p>
            <w:pPr>
              <w:pStyle w:val="27"/>
            </w:pPr>
            <w:r>
              <w:t>面积≤2km</w:t>
            </w:r>
            <w:r>
              <w:rPr>
                <w:vertAlign w:val="superscript"/>
              </w:rPr>
              <w:t>2</w:t>
            </w:r>
          </w:p>
          <w:p>
            <w:pPr>
              <w:pStyle w:val="27"/>
            </w:pPr>
            <w:r>
              <w:t>或长度≤50km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97" w:type="pct"/>
            <w:tcMar>
              <w:left w:w="0" w:type="dxa"/>
              <w:right w:w="0" w:type="dxa"/>
            </w:tcMar>
            <w:vAlign w:val="center"/>
          </w:tcPr>
          <w:p>
            <w:pPr>
              <w:pStyle w:val="27"/>
            </w:pPr>
            <w:r>
              <w:t>特殊生态敏感区</w:t>
            </w:r>
          </w:p>
        </w:tc>
        <w:tc>
          <w:tcPr>
            <w:tcW w:w="1057" w:type="pct"/>
            <w:tcMar>
              <w:left w:w="0" w:type="dxa"/>
              <w:right w:w="0" w:type="dxa"/>
            </w:tcMar>
            <w:vAlign w:val="center"/>
          </w:tcPr>
          <w:p>
            <w:pPr>
              <w:pStyle w:val="27"/>
            </w:pPr>
            <w:r>
              <w:t>一级</w:t>
            </w:r>
          </w:p>
        </w:tc>
        <w:tc>
          <w:tcPr>
            <w:tcW w:w="1475" w:type="pct"/>
            <w:tcMar>
              <w:left w:w="0" w:type="dxa"/>
              <w:right w:w="0" w:type="dxa"/>
            </w:tcMar>
            <w:vAlign w:val="center"/>
          </w:tcPr>
          <w:p>
            <w:pPr>
              <w:pStyle w:val="27"/>
            </w:pPr>
            <w:r>
              <w:t>一级</w:t>
            </w:r>
          </w:p>
        </w:tc>
        <w:tc>
          <w:tcPr>
            <w:tcW w:w="971" w:type="pct"/>
            <w:tcMar>
              <w:left w:w="0" w:type="dxa"/>
              <w:right w:w="0" w:type="dxa"/>
            </w:tcMar>
            <w:vAlign w:val="center"/>
          </w:tcPr>
          <w:p>
            <w:pPr>
              <w:pStyle w:val="27"/>
            </w:pPr>
            <w: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97" w:type="pct"/>
            <w:tcMar>
              <w:left w:w="0" w:type="dxa"/>
              <w:right w:w="0" w:type="dxa"/>
            </w:tcMar>
            <w:vAlign w:val="center"/>
          </w:tcPr>
          <w:p>
            <w:pPr>
              <w:pStyle w:val="27"/>
            </w:pPr>
            <w:r>
              <w:t>重要生态敏感区</w:t>
            </w:r>
          </w:p>
        </w:tc>
        <w:tc>
          <w:tcPr>
            <w:tcW w:w="1057" w:type="pct"/>
            <w:tcMar>
              <w:left w:w="0" w:type="dxa"/>
              <w:right w:w="0" w:type="dxa"/>
            </w:tcMar>
            <w:vAlign w:val="center"/>
          </w:tcPr>
          <w:p>
            <w:pPr>
              <w:pStyle w:val="27"/>
            </w:pPr>
            <w:r>
              <w:t>一级</w:t>
            </w:r>
          </w:p>
        </w:tc>
        <w:tc>
          <w:tcPr>
            <w:tcW w:w="1475" w:type="pct"/>
            <w:tcMar>
              <w:left w:w="0" w:type="dxa"/>
              <w:right w:w="0" w:type="dxa"/>
            </w:tcMar>
            <w:vAlign w:val="center"/>
          </w:tcPr>
          <w:p>
            <w:pPr>
              <w:pStyle w:val="27"/>
            </w:pPr>
            <w:r>
              <w:t>二级</w:t>
            </w:r>
          </w:p>
        </w:tc>
        <w:tc>
          <w:tcPr>
            <w:tcW w:w="971" w:type="pct"/>
            <w:tcMar>
              <w:left w:w="0" w:type="dxa"/>
              <w:right w:w="0" w:type="dxa"/>
            </w:tcMar>
            <w:vAlign w:val="center"/>
          </w:tcPr>
          <w:p>
            <w:pPr>
              <w:pStyle w:val="27"/>
            </w:pPr>
            <w: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97" w:type="pct"/>
            <w:tcMar>
              <w:left w:w="0" w:type="dxa"/>
              <w:right w:w="0" w:type="dxa"/>
            </w:tcMar>
            <w:vAlign w:val="center"/>
          </w:tcPr>
          <w:p>
            <w:pPr>
              <w:pStyle w:val="27"/>
            </w:pPr>
            <w:r>
              <w:t>一般区域</w:t>
            </w:r>
          </w:p>
        </w:tc>
        <w:tc>
          <w:tcPr>
            <w:tcW w:w="1057" w:type="pct"/>
            <w:tcMar>
              <w:left w:w="0" w:type="dxa"/>
              <w:right w:w="0" w:type="dxa"/>
            </w:tcMar>
            <w:vAlign w:val="center"/>
          </w:tcPr>
          <w:p>
            <w:pPr>
              <w:pStyle w:val="27"/>
            </w:pPr>
            <w:r>
              <w:t>二级</w:t>
            </w:r>
          </w:p>
        </w:tc>
        <w:tc>
          <w:tcPr>
            <w:tcW w:w="1475" w:type="pct"/>
            <w:tcMar>
              <w:left w:w="0" w:type="dxa"/>
              <w:right w:w="0" w:type="dxa"/>
            </w:tcMar>
            <w:vAlign w:val="center"/>
          </w:tcPr>
          <w:p>
            <w:pPr>
              <w:pStyle w:val="27"/>
            </w:pPr>
            <w:r>
              <w:t>三级</w:t>
            </w:r>
          </w:p>
        </w:tc>
        <w:tc>
          <w:tcPr>
            <w:tcW w:w="971" w:type="pct"/>
            <w:tcMar>
              <w:left w:w="0" w:type="dxa"/>
              <w:right w:w="0" w:type="dxa"/>
            </w:tcMar>
            <w:vAlign w:val="center"/>
          </w:tcPr>
          <w:p>
            <w:pPr>
              <w:pStyle w:val="27"/>
            </w:pPr>
            <w:r>
              <w:t>三级</w:t>
            </w:r>
          </w:p>
        </w:tc>
      </w:tr>
    </w:tbl>
    <w:p>
      <w:pPr>
        <w:ind w:firstLine="480"/>
        <w:rPr>
          <w:rFonts w:ascii="Times New Roman" w:hAnsi="Times New Roman"/>
          <w:szCs w:val="24"/>
        </w:rPr>
      </w:pPr>
      <w:r>
        <w:rPr>
          <w:rFonts w:ascii="Times New Roman" w:hAnsi="Times New Roman"/>
          <w:szCs w:val="24"/>
        </w:rPr>
        <w:t>评价范围：各采油区边界外延1km范围内的生态环境。</w:t>
      </w:r>
    </w:p>
    <w:p>
      <w:pPr>
        <w:ind w:firstLine="0" w:firstLineChars="0"/>
        <w:outlineLvl w:val="2"/>
        <w:rPr>
          <w:rFonts w:ascii="Times New Roman" w:hAnsi="Times New Roman"/>
          <w:b/>
          <w:sz w:val="28"/>
          <w:szCs w:val="28"/>
        </w:rPr>
      </w:pPr>
      <w:bookmarkStart w:id="30" w:name="_Toc524624565"/>
      <w:r>
        <w:rPr>
          <w:rFonts w:hint="eastAsia" w:ascii="Times New Roman" w:hAnsi="Times New Roman"/>
          <w:b/>
          <w:sz w:val="28"/>
          <w:szCs w:val="28"/>
        </w:rPr>
        <w:t>2.5.5 环境风险评价</w:t>
      </w:r>
      <w:bookmarkEnd w:id="30"/>
    </w:p>
    <w:p>
      <w:pPr>
        <w:ind w:firstLine="480"/>
        <w:rPr>
          <w:rFonts w:ascii="Times New Roman" w:hAnsi="Times New Roman"/>
          <w:szCs w:val="24"/>
        </w:rPr>
      </w:pPr>
      <w:r>
        <w:rPr>
          <w:szCs w:val="24"/>
        </w:rPr>
        <w:t>根</w:t>
      </w:r>
      <w:r>
        <w:rPr>
          <w:rFonts w:ascii="Times New Roman"/>
          <w:szCs w:val="24"/>
        </w:rPr>
        <w:t>据《危险化学品重大危险源辨识》（</w:t>
      </w:r>
      <w:r>
        <w:rPr>
          <w:rFonts w:ascii="Times New Roman" w:hAnsi="Times New Roman"/>
          <w:szCs w:val="24"/>
        </w:rPr>
        <w:t>GB18218-2009</w:t>
      </w:r>
      <w:r>
        <w:rPr>
          <w:rFonts w:ascii="Times New Roman"/>
          <w:szCs w:val="24"/>
        </w:rPr>
        <w:t>）的规定，重大危险源的辨识依据是物质危险特性及其数量。辨识规定，单元内存在危险物质的数量等于或超过标准（</w:t>
      </w:r>
      <w:r>
        <w:rPr>
          <w:rFonts w:ascii="Times New Roman" w:hAnsi="Times New Roman"/>
          <w:szCs w:val="24"/>
        </w:rPr>
        <w:t>GB18218-2009</w:t>
      </w:r>
      <w:r>
        <w:rPr>
          <w:rFonts w:ascii="Times New Roman"/>
          <w:szCs w:val="24"/>
        </w:rPr>
        <w:t>）中规定的临界量，即被定为重大危险源。重大危险源辨识表见表</w:t>
      </w:r>
      <w:r>
        <w:rPr>
          <w:rFonts w:ascii="Times New Roman" w:hAnsi="Times New Roman"/>
          <w:szCs w:val="24"/>
        </w:rPr>
        <w:t>2.5-7</w:t>
      </w:r>
      <w:r>
        <w:rPr>
          <w:rFonts w:ascii="Times New Roman"/>
          <w:szCs w:val="24"/>
        </w:rPr>
        <w:t>。</w:t>
      </w:r>
    </w:p>
    <w:p>
      <w:pPr>
        <w:spacing w:before="156" w:beforeLines="50" w:line="240" w:lineRule="auto"/>
        <w:ind w:firstLine="0" w:firstLineChars="0"/>
        <w:jc w:val="center"/>
      </w:pPr>
      <w:r>
        <w:rPr>
          <w:rFonts w:ascii="Times New Roman" w:hAnsi="宋体"/>
          <w:b/>
          <w:sz w:val="21"/>
        </w:rPr>
        <w:t>表2.5</w:t>
      </w:r>
      <w:r>
        <w:rPr>
          <w:rFonts w:hint="eastAsia" w:ascii="Times New Roman" w:hAnsi="宋体"/>
          <w:b/>
          <w:sz w:val="21"/>
        </w:rPr>
        <w:t>-7</w:t>
      </w:r>
      <w:r>
        <w:rPr>
          <w:rFonts w:ascii="Times New Roman" w:hAnsi="宋体"/>
          <w:b/>
          <w:sz w:val="21"/>
        </w:rPr>
        <w:t>重大危险源辨识表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5340"/>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pct"/>
            <w:tcMar>
              <w:left w:w="28" w:type="dxa"/>
              <w:right w:w="28" w:type="dxa"/>
            </w:tcMar>
            <w:vAlign w:val="center"/>
          </w:tcPr>
          <w:p>
            <w:pPr>
              <w:pStyle w:val="27"/>
            </w:pPr>
            <w:r>
              <w:t>类别</w:t>
            </w:r>
          </w:p>
        </w:tc>
        <w:tc>
          <w:tcPr>
            <w:tcW w:w="3191" w:type="pct"/>
            <w:tcMar>
              <w:left w:w="28" w:type="dxa"/>
              <w:right w:w="28" w:type="dxa"/>
            </w:tcMar>
            <w:vAlign w:val="center"/>
          </w:tcPr>
          <w:p>
            <w:pPr>
              <w:pStyle w:val="27"/>
            </w:pPr>
            <w:r>
              <w:t>危险性分类及说明</w:t>
            </w:r>
          </w:p>
        </w:tc>
        <w:tc>
          <w:tcPr>
            <w:tcW w:w="775" w:type="pct"/>
            <w:tcMar>
              <w:left w:w="28" w:type="dxa"/>
              <w:right w:w="28" w:type="dxa"/>
            </w:tcMar>
            <w:vAlign w:val="center"/>
          </w:tcPr>
          <w:p>
            <w:pPr>
              <w:pStyle w:val="27"/>
            </w:pPr>
            <w:r>
              <w:t>临界量（t）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pct"/>
            <w:tcMar>
              <w:left w:w="28" w:type="dxa"/>
              <w:right w:w="28" w:type="dxa"/>
            </w:tcMar>
            <w:vAlign w:val="center"/>
          </w:tcPr>
          <w:p>
            <w:pPr>
              <w:pStyle w:val="27"/>
            </w:pPr>
            <w:r>
              <w:t>易燃</w:t>
            </w:r>
            <w:r>
              <w:rPr>
                <w:rFonts w:hint="eastAsia"/>
              </w:rPr>
              <w:t>气</w:t>
            </w:r>
            <w:r>
              <w:t>体</w:t>
            </w:r>
          </w:p>
        </w:tc>
        <w:tc>
          <w:tcPr>
            <w:tcW w:w="3191" w:type="pct"/>
            <w:tcMar>
              <w:left w:w="28" w:type="dxa"/>
              <w:right w:w="28" w:type="dxa"/>
            </w:tcMar>
            <w:vAlign w:val="center"/>
          </w:tcPr>
          <w:p>
            <w:pPr>
              <w:pStyle w:val="27"/>
            </w:pPr>
            <w:r>
              <w:rPr>
                <w:rFonts w:hint="eastAsia"/>
              </w:rPr>
              <w:t>甲烷，天然气</w:t>
            </w:r>
          </w:p>
        </w:tc>
        <w:tc>
          <w:tcPr>
            <w:tcW w:w="775" w:type="pct"/>
            <w:tcMar>
              <w:left w:w="28" w:type="dxa"/>
              <w:right w:w="28" w:type="dxa"/>
            </w:tcMar>
            <w:vAlign w:val="center"/>
          </w:tcPr>
          <w:p>
            <w:pPr>
              <w:pStyle w:val="27"/>
            </w:pPr>
            <w:r>
              <w:rPr>
                <w:rFonts w:hint="eastAsia"/>
              </w:rPr>
              <w:t>5</w:t>
            </w:r>
            <w:r>
              <w:t>0</w:t>
            </w:r>
          </w:p>
        </w:tc>
      </w:tr>
    </w:tbl>
    <w:p>
      <w:pPr>
        <w:ind w:firstLine="480"/>
        <w:rPr>
          <w:rFonts w:ascii="Times New Roman"/>
          <w:szCs w:val="24"/>
        </w:rPr>
      </w:pPr>
      <w:r>
        <w:rPr>
          <w:rFonts w:hint="eastAsia" w:ascii="Times New Roman" w:hAnsi="Times New Roman"/>
          <w:szCs w:val="24"/>
        </w:rPr>
        <w:t>本扩建项目建成后，处理后的煤成气通过集输管网输送至</w:t>
      </w:r>
      <w:r>
        <w:rPr>
          <w:rFonts w:ascii="Times New Roman"/>
          <w:szCs w:val="24"/>
        </w:rPr>
        <w:t>兴县华盛燃气有限公司的康宁中心处理厂</w:t>
      </w:r>
      <w:r>
        <w:rPr>
          <w:rFonts w:hint="eastAsia" w:ascii="Times New Roman"/>
          <w:szCs w:val="24"/>
        </w:rPr>
        <w:t>，不在集气站暂存，因此不属于重大危险源。</w:t>
      </w:r>
    </w:p>
    <w:p>
      <w:pPr>
        <w:ind w:firstLine="480"/>
        <w:rPr>
          <w:rFonts w:ascii="Times New Roman" w:hAnsi="Times New Roman"/>
          <w:szCs w:val="24"/>
        </w:rPr>
      </w:pPr>
      <w:r>
        <w:rPr>
          <w:rFonts w:ascii="Times New Roman"/>
          <w:szCs w:val="24"/>
        </w:rPr>
        <w:t>根据《建设项目环境风险评价技术导则》</w:t>
      </w:r>
      <w:r>
        <w:rPr>
          <w:rFonts w:ascii="Times New Roman" w:hAnsi="Times New Roman"/>
          <w:szCs w:val="24"/>
        </w:rPr>
        <w:t>HJ/T169</w:t>
      </w:r>
      <w:r>
        <w:rPr>
          <w:rFonts w:ascii="Times New Roman"/>
          <w:szCs w:val="24"/>
        </w:rPr>
        <w:t>－</w:t>
      </w:r>
      <w:r>
        <w:rPr>
          <w:rFonts w:ascii="Times New Roman" w:hAnsi="Times New Roman"/>
          <w:szCs w:val="24"/>
        </w:rPr>
        <w:t>2004</w:t>
      </w:r>
      <w:r>
        <w:rPr>
          <w:rFonts w:ascii="Times New Roman"/>
          <w:szCs w:val="24"/>
        </w:rPr>
        <w:t>，风险评价的级别划分具体见表</w:t>
      </w:r>
      <w:r>
        <w:rPr>
          <w:rFonts w:hint="eastAsia" w:ascii="Times New Roman" w:hAnsi="Times New Roman"/>
          <w:szCs w:val="24"/>
        </w:rPr>
        <w:t>2.5-8</w:t>
      </w:r>
      <w:r>
        <w:rPr>
          <w:rFonts w:ascii="Times New Roman"/>
          <w:szCs w:val="24"/>
        </w:rPr>
        <w:t>。</w:t>
      </w:r>
    </w:p>
    <w:p>
      <w:pPr>
        <w:spacing w:before="156" w:beforeLines="50" w:line="240" w:lineRule="auto"/>
        <w:ind w:firstLine="0" w:firstLineChars="0"/>
        <w:jc w:val="center"/>
      </w:pPr>
      <w:r>
        <w:rPr>
          <w:rFonts w:ascii="Times New Roman" w:hAnsi="宋体"/>
          <w:b/>
          <w:sz w:val="21"/>
        </w:rPr>
        <w:t>表2</w:t>
      </w:r>
      <w:r>
        <w:rPr>
          <w:rFonts w:hint="eastAsia" w:ascii="Times New Roman" w:hAnsi="宋体"/>
          <w:b/>
          <w:sz w:val="21"/>
        </w:rPr>
        <w:t>.5-8</w:t>
      </w:r>
      <w:r>
        <w:rPr>
          <w:rFonts w:ascii="Times New Roman" w:hAnsi="宋体"/>
          <w:b/>
          <w:sz w:val="21"/>
        </w:rPr>
        <w:t>风险评价工作级别判定</w:t>
      </w:r>
    </w:p>
    <w:tbl>
      <w:tblPr>
        <w:tblStyle w:val="18"/>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050"/>
        <w:gridCol w:w="1611"/>
        <w:gridCol w:w="1611"/>
        <w:gridCol w:w="1632"/>
        <w:gridCol w:w="161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0" w:type="dxa"/>
            <w:vAlign w:val="center"/>
          </w:tcPr>
          <w:p>
            <w:pPr>
              <w:pStyle w:val="27"/>
            </w:pPr>
          </w:p>
        </w:tc>
        <w:tc>
          <w:tcPr>
            <w:tcW w:w="1611" w:type="dxa"/>
            <w:vAlign w:val="center"/>
          </w:tcPr>
          <w:p>
            <w:pPr>
              <w:pStyle w:val="27"/>
            </w:pPr>
            <w:r>
              <w:t>剧毒危险</w:t>
            </w:r>
          </w:p>
          <w:p>
            <w:pPr>
              <w:pStyle w:val="27"/>
            </w:pPr>
            <w:r>
              <w:t>性物质</w:t>
            </w:r>
          </w:p>
        </w:tc>
        <w:tc>
          <w:tcPr>
            <w:tcW w:w="1611" w:type="dxa"/>
            <w:vAlign w:val="center"/>
          </w:tcPr>
          <w:p>
            <w:pPr>
              <w:pStyle w:val="27"/>
            </w:pPr>
            <w:r>
              <w:t>一般毒性危险物质</w:t>
            </w:r>
          </w:p>
        </w:tc>
        <w:tc>
          <w:tcPr>
            <w:tcW w:w="1632" w:type="dxa"/>
            <w:vAlign w:val="center"/>
          </w:tcPr>
          <w:p>
            <w:pPr>
              <w:pStyle w:val="27"/>
            </w:pPr>
            <w:r>
              <w:t>可燃、易燃危险性物质</w:t>
            </w:r>
          </w:p>
        </w:tc>
        <w:tc>
          <w:tcPr>
            <w:tcW w:w="1611" w:type="dxa"/>
            <w:vAlign w:val="center"/>
          </w:tcPr>
          <w:p>
            <w:pPr>
              <w:pStyle w:val="27"/>
            </w:pPr>
            <w:r>
              <w:t>爆炸危险性</w:t>
            </w:r>
          </w:p>
          <w:p>
            <w:pPr>
              <w:pStyle w:val="27"/>
            </w:pPr>
            <w:r>
              <w:t>物质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0" w:type="dxa"/>
            <w:vAlign w:val="center"/>
          </w:tcPr>
          <w:p>
            <w:pPr>
              <w:pStyle w:val="27"/>
            </w:pPr>
            <w:r>
              <w:t>重大危险源</w:t>
            </w:r>
          </w:p>
        </w:tc>
        <w:tc>
          <w:tcPr>
            <w:tcW w:w="1611" w:type="dxa"/>
            <w:vAlign w:val="center"/>
          </w:tcPr>
          <w:p>
            <w:pPr>
              <w:pStyle w:val="27"/>
            </w:pPr>
            <w:r>
              <w:t>一</w:t>
            </w:r>
          </w:p>
        </w:tc>
        <w:tc>
          <w:tcPr>
            <w:tcW w:w="1611" w:type="dxa"/>
            <w:vAlign w:val="center"/>
          </w:tcPr>
          <w:p>
            <w:pPr>
              <w:pStyle w:val="27"/>
            </w:pPr>
            <w:r>
              <w:t>二</w:t>
            </w:r>
          </w:p>
        </w:tc>
        <w:tc>
          <w:tcPr>
            <w:tcW w:w="1632" w:type="dxa"/>
            <w:vAlign w:val="center"/>
          </w:tcPr>
          <w:p>
            <w:pPr>
              <w:pStyle w:val="27"/>
            </w:pPr>
            <w:r>
              <w:t>一</w:t>
            </w:r>
          </w:p>
        </w:tc>
        <w:tc>
          <w:tcPr>
            <w:tcW w:w="1611" w:type="dxa"/>
            <w:vAlign w:val="center"/>
          </w:tcPr>
          <w:p>
            <w:pPr>
              <w:pStyle w:val="27"/>
            </w:pPr>
            <w:r>
              <w:t>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0" w:type="dxa"/>
            <w:vAlign w:val="center"/>
          </w:tcPr>
          <w:p>
            <w:pPr>
              <w:pStyle w:val="27"/>
            </w:pPr>
            <w:r>
              <w:t>非重大危险源</w:t>
            </w:r>
          </w:p>
        </w:tc>
        <w:tc>
          <w:tcPr>
            <w:tcW w:w="1611" w:type="dxa"/>
            <w:vAlign w:val="center"/>
          </w:tcPr>
          <w:p>
            <w:pPr>
              <w:pStyle w:val="27"/>
            </w:pPr>
            <w:r>
              <w:t>二</w:t>
            </w:r>
          </w:p>
        </w:tc>
        <w:tc>
          <w:tcPr>
            <w:tcW w:w="1611" w:type="dxa"/>
            <w:vAlign w:val="center"/>
          </w:tcPr>
          <w:p>
            <w:pPr>
              <w:pStyle w:val="27"/>
            </w:pPr>
            <w:r>
              <w:t>二</w:t>
            </w:r>
          </w:p>
        </w:tc>
        <w:tc>
          <w:tcPr>
            <w:tcW w:w="1632" w:type="dxa"/>
            <w:vAlign w:val="center"/>
          </w:tcPr>
          <w:p>
            <w:pPr>
              <w:pStyle w:val="27"/>
            </w:pPr>
            <w:r>
              <w:t>二</w:t>
            </w:r>
          </w:p>
        </w:tc>
        <w:tc>
          <w:tcPr>
            <w:tcW w:w="1611" w:type="dxa"/>
            <w:vAlign w:val="center"/>
          </w:tcPr>
          <w:p>
            <w:pPr>
              <w:pStyle w:val="27"/>
            </w:pPr>
            <w:r>
              <w:t>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0" w:type="dxa"/>
            <w:vAlign w:val="center"/>
          </w:tcPr>
          <w:p>
            <w:pPr>
              <w:pStyle w:val="27"/>
            </w:pPr>
            <w:r>
              <w:t>环境敏感地区</w:t>
            </w:r>
          </w:p>
        </w:tc>
        <w:tc>
          <w:tcPr>
            <w:tcW w:w="1611" w:type="dxa"/>
            <w:vAlign w:val="center"/>
          </w:tcPr>
          <w:p>
            <w:pPr>
              <w:pStyle w:val="27"/>
            </w:pPr>
            <w:r>
              <w:t>一</w:t>
            </w:r>
          </w:p>
        </w:tc>
        <w:tc>
          <w:tcPr>
            <w:tcW w:w="1611" w:type="dxa"/>
            <w:vAlign w:val="center"/>
          </w:tcPr>
          <w:p>
            <w:pPr>
              <w:pStyle w:val="27"/>
            </w:pPr>
            <w:r>
              <w:t>一</w:t>
            </w:r>
          </w:p>
        </w:tc>
        <w:tc>
          <w:tcPr>
            <w:tcW w:w="1632" w:type="dxa"/>
            <w:vAlign w:val="center"/>
          </w:tcPr>
          <w:p>
            <w:pPr>
              <w:pStyle w:val="27"/>
            </w:pPr>
            <w:r>
              <w:t>一</w:t>
            </w:r>
          </w:p>
        </w:tc>
        <w:tc>
          <w:tcPr>
            <w:tcW w:w="1611" w:type="dxa"/>
            <w:vAlign w:val="center"/>
          </w:tcPr>
          <w:p>
            <w:pPr>
              <w:pStyle w:val="27"/>
            </w:pPr>
            <w:r>
              <w:t>一</w:t>
            </w:r>
          </w:p>
        </w:tc>
      </w:tr>
    </w:tbl>
    <w:p>
      <w:pPr>
        <w:ind w:firstLine="480"/>
        <w:rPr>
          <w:rFonts w:ascii="Times New Roman" w:hAnsi="Times New Roman"/>
          <w:szCs w:val="24"/>
        </w:rPr>
      </w:pPr>
      <w:r>
        <w:rPr>
          <w:szCs w:val="24"/>
        </w:rPr>
        <w:t>本</w:t>
      </w:r>
      <w:r>
        <w:rPr>
          <w:rFonts w:hint="eastAsia"/>
          <w:szCs w:val="24"/>
        </w:rPr>
        <w:t>扩建</w:t>
      </w:r>
      <w:r>
        <w:rPr>
          <w:szCs w:val="24"/>
        </w:rPr>
        <w:t>项目所处地区，无特殊保护区域与保护目标，因此</w:t>
      </w:r>
      <w:r>
        <w:rPr>
          <w:rFonts w:hint="eastAsia"/>
          <w:szCs w:val="24"/>
        </w:rPr>
        <w:t>，</w:t>
      </w:r>
      <w:r>
        <w:rPr>
          <w:szCs w:val="24"/>
        </w:rPr>
        <w:t>该区域不属于环境敏感区</w:t>
      </w:r>
      <w:r>
        <w:rPr>
          <w:rFonts w:hint="eastAsia"/>
          <w:szCs w:val="24"/>
        </w:rPr>
        <w:t>。根据风向评价工作级别判定</w:t>
      </w:r>
      <w:r>
        <w:rPr>
          <w:szCs w:val="24"/>
        </w:rPr>
        <w:t>，本</w:t>
      </w:r>
      <w:r>
        <w:rPr>
          <w:rFonts w:hint="eastAsia"/>
          <w:szCs w:val="24"/>
        </w:rPr>
        <w:t>扩建</w:t>
      </w:r>
      <w:r>
        <w:rPr>
          <w:szCs w:val="24"/>
        </w:rPr>
        <w:t>项目风险评价等级为二级。</w:t>
      </w:r>
    </w:p>
    <w:p>
      <w:pPr>
        <w:ind w:firstLine="480"/>
        <w:rPr>
          <w:rFonts w:ascii="Times New Roman" w:hAnsi="Times New Roman"/>
          <w:szCs w:val="24"/>
        </w:rPr>
      </w:pPr>
      <w:r>
        <w:rPr>
          <w:rFonts w:hint="eastAsia" w:ascii="Times New Roman" w:hAnsi="Times New Roman"/>
          <w:szCs w:val="24"/>
        </w:rPr>
        <w:t>评价范围为集气站周边3km圆形区域。</w:t>
      </w:r>
    </w:p>
    <w:p>
      <w:pPr>
        <w:spacing w:before="156" w:beforeLines="50" w:after="156" w:afterLines="50"/>
        <w:ind w:firstLine="0" w:firstLineChars="0"/>
        <w:outlineLvl w:val="1"/>
        <w:rPr>
          <w:rFonts w:ascii="Times New Roman" w:hAnsi="Times New Roman"/>
          <w:b/>
          <w:sz w:val="30"/>
          <w:szCs w:val="30"/>
        </w:rPr>
      </w:pPr>
      <w:bookmarkStart w:id="31" w:name="_Toc524624566"/>
      <w:r>
        <w:rPr>
          <w:rFonts w:hint="eastAsia" w:ascii="Times New Roman" w:hAnsi="Times New Roman"/>
          <w:b/>
          <w:sz w:val="30"/>
          <w:szCs w:val="30"/>
        </w:rPr>
        <w:t>2.6 保护目标</w:t>
      </w:r>
      <w:bookmarkEnd w:id="31"/>
    </w:p>
    <w:p>
      <w:pPr>
        <w:spacing w:before="120"/>
        <w:ind w:firstLine="480"/>
        <w:rPr>
          <w:rFonts w:ascii="Times New Roman" w:hAnsi="Times New Roman"/>
          <w:szCs w:val="24"/>
        </w:rPr>
      </w:pPr>
      <w:r>
        <w:rPr>
          <w:rFonts w:ascii="Times New Roman"/>
          <w:szCs w:val="24"/>
        </w:rPr>
        <w:t>项目周围无重点文物、自然保护区及珍贵动植物。根据本项目的特点及外环境特征，本项目主要环境保护目标为井场周边村庄居民、地表水系、集中供水水源地等，具体保护目标见表</w:t>
      </w:r>
      <w:r>
        <w:rPr>
          <w:rFonts w:hint="eastAsia" w:ascii="Times New Roman" w:hAnsi="Times New Roman"/>
          <w:szCs w:val="24"/>
        </w:rPr>
        <w:t>2.6-1</w:t>
      </w:r>
      <w:r>
        <w:rPr>
          <w:rFonts w:ascii="Times New Roman"/>
          <w:szCs w:val="24"/>
        </w:rPr>
        <w:t>，保护目标见图</w:t>
      </w:r>
      <w:r>
        <w:rPr>
          <w:rFonts w:hint="eastAsia" w:ascii="Times New Roman" w:hAnsi="Times New Roman"/>
          <w:szCs w:val="24"/>
        </w:rPr>
        <w:t>2.6-1</w:t>
      </w:r>
      <w:r>
        <w:rPr>
          <w:rFonts w:ascii="Times New Roman"/>
          <w:szCs w:val="24"/>
        </w:rPr>
        <w:t>。</w:t>
      </w:r>
    </w:p>
    <w:p>
      <w:pPr>
        <w:spacing w:before="156" w:beforeLines="50" w:line="240" w:lineRule="auto"/>
        <w:ind w:firstLine="0" w:firstLineChars="0"/>
        <w:jc w:val="center"/>
      </w:pPr>
      <w:r>
        <w:rPr>
          <w:rFonts w:ascii="Times New Roman" w:hAnsi="宋体"/>
          <w:b/>
          <w:sz w:val="21"/>
        </w:rPr>
        <w:t>表</w:t>
      </w:r>
      <w:r>
        <w:rPr>
          <w:rFonts w:hint="eastAsia" w:ascii="Times New Roman" w:hAnsi="宋体"/>
          <w:b/>
          <w:sz w:val="21"/>
        </w:rPr>
        <w:t>2.6-1</w:t>
      </w:r>
      <w:r>
        <w:rPr>
          <w:rFonts w:ascii="Times New Roman" w:hAnsi="宋体"/>
          <w:b/>
          <w:sz w:val="21"/>
        </w:rPr>
        <w:t>环境保护目标</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134"/>
        <w:gridCol w:w="3686"/>
        <w:gridCol w:w="2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7"/>
            </w:pPr>
            <w:r>
              <w:t>环境要素</w:t>
            </w:r>
          </w:p>
        </w:tc>
        <w:tc>
          <w:tcPr>
            <w:tcW w:w="1134" w:type="dxa"/>
            <w:vAlign w:val="center"/>
          </w:tcPr>
          <w:p>
            <w:pPr>
              <w:pStyle w:val="27"/>
            </w:pPr>
            <w:r>
              <w:t>保护对象</w:t>
            </w:r>
          </w:p>
        </w:tc>
        <w:tc>
          <w:tcPr>
            <w:tcW w:w="3686" w:type="dxa"/>
            <w:vAlign w:val="center"/>
          </w:tcPr>
          <w:p>
            <w:pPr>
              <w:pStyle w:val="27"/>
            </w:pPr>
            <w:r>
              <w:t>方位与距离</w:t>
            </w:r>
          </w:p>
        </w:tc>
        <w:tc>
          <w:tcPr>
            <w:tcW w:w="2970" w:type="dxa"/>
            <w:vAlign w:val="center"/>
          </w:tcPr>
          <w:p>
            <w:pPr>
              <w:pStyle w:val="27"/>
            </w:pPr>
            <w:r>
              <w:t>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pStyle w:val="27"/>
            </w:pPr>
            <w:r>
              <w:t>大气环境</w:t>
            </w:r>
          </w:p>
        </w:tc>
        <w:tc>
          <w:tcPr>
            <w:tcW w:w="1134" w:type="dxa"/>
            <w:vMerge w:val="restart"/>
            <w:vAlign w:val="center"/>
          </w:tcPr>
          <w:p>
            <w:pPr>
              <w:pStyle w:val="27"/>
            </w:pPr>
            <w:r>
              <w:t>各井场周边村庄（1km以内村庄）</w:t>
            </w:r>
          </w:p>
        </w:tc>
        <w:tc>
          <w:tcPr>
            <w:tcW w:w="3686" w:type="dxa"/>
            <w:vAlign w:val="center"/>
          </w:tcPr>
          <w:p>
            <w:pPr>
              <w:pStyle w:val="27"/>
            </w:pPr>
            <w:r>
              <w:t>LX-101西南侧545m处的上代雨店村</w:t>
            </w:r>
          </w:p>
        </w:tc>
        <w:tc>
          <w:tcPr>
            <w:tcW w:w="2970" w:type="dxa"/>
            <w:vMerge w:val="restart"/>
            <w:vAlign w:val="center"/>
          </w:tcPr>
          <w:p>
            <w:pPr>
              <w:pStyle w:val="27"/>
            </w:pPr>
            <w:r>
              <w:t>《环境空气质量标准》(GB3095-2012)中2类标准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LX-102东侧254m处的小湾则村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LX-103</w:t>
            </w:r>
            <w:r>
              <w:rPr>
                <w:rFonts w:hint="eastAsia"/>
              </w:rPr>
              <w:t>东北</w:t>
            </w:r>
            <w:r>
              <w:t>侧</w:t>
            </w:r>
            <w:r>
              <w:rPr>
                <w:rFonts w:hint="eastAsia"/>
              </w:rPr>
              <w:t>488</w:t>
            </w:r>
            <w:r>
              <w:t>m处的</w:t>
            </w:r>
            <w:r>
              <w:rPr>
                <w:rFonts w:hint="eastAsia"/>
              </w:rPr>
              <w:t>佐子坪</w:t>
            </w:r>
            <w:r>
              <w:t>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LX-10</w:t>
            </w:r>
            <w:r>
              <w:rPr>
                <w:rFonts w:hint="eastAsia"/>
              </w:rPr>
              <w:t>4</w:t>
            </w:r>
            <w:r>
              <w:t>西</w:t>
            </w:r>
            <w:r>
              <w:rPr>
                <w:rFonts w:hint="eastAsia"/>
              </w:rPr>
              <w:t>北</w:t>
            </w:r>
            <w:r>
              <w:t>侧</w:t>
            </w:r>
            <w:r>
              <w:rPr>
                <w:rFonts w:hint="eastAsia"/>
              </w:rPr>
              <w:t>790</w:t>
            </w:r>
            <w:r>
              <w:t>m处的</w:t>
            </w:r>
            <w:r>
              <w:rPr>
                <w:rFonts w:hint="eastAsia"/>
              </w:rPr>
              <w:t>佐子坪</w:t>
            </w:r>
            <w:r>
              <w:t>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LX-105北侧235m处的张家庄村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LX-106</w:t>
            </w:r>
            <w:r>
              <w:rPr>
                <w:rFonts w:hint="eastAsia"/>
              </w:rPr>
              <w:t>西</w:t>
            </w:r>
            <w:r>
              <w:t>侧</w:t>
            </w:r>
            <w:r>
              <w:rPr>
                <w:rFonts w:hint="eastAsia"/>
              </w:rPr>
              <w:t>414</w:t>
            </w:r>
            <w:r>
              <w:t>m处的</w:t>
            </w:r>
            <w:r>
              <w:rPr>
                <w:rFonts w:hint="eastAsia"/>
              </w:rPr>
              <w:t>大沟坪</w:t>
            </w:r>
            <w:r>
              <w:t>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集气站东侧</w:t>
            </w:r>
            <w:r>
              <w:rPr>
                <w:rFonts w:hint="eastAsia"/>
              </w:rPr>
              <w:t>554</w:t>
            </w:r>
            <w:r>
              <w:t>m处的佐子坪村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restart"/>
            <w:vAlign w:val="center"/>
          </w:tcPr>
          <w:p>
            <w:pPr>
              <w:pStyle w:val="27"/>
            </w:pPr>
            <w:r>
              <w:t>输气管线两侧村庄</w:t>
            </w:r>
          </w:p>
        </w:tc>
        <w:tc>
          <w:tcPr>
            <w:tcW w:w="3686" w:type="dxa"/>
            <w:vAlign w:val="center"/>
          </w:tcPr>
          <w:p>
            <w:pPr>
              <w:pStyle w:val="27"/>
            </w:pPr>
            <w:r>
              <w:t>输气管线南侧540处的上代雨店村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输气管线北侧191m处的下代雨店村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输气管线北侧165m处的小湾则村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输气管线东侧64m处的佐子坪村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输气管线西侧144m处的王家峁村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输气管线北侧300m处的张家庄村</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pStyle w:val="27"/>
            </w:pPr>
            <w:r>
              <w:t>水环境</w:t>
            </w:r>
          </w:p>
        </w:tc>
        <w:tc>
          <w:tcPr>
            <w:tcW w:w="1134" w:type="dxa"/>
            <w:vMerge w:val="restart"/>
            <w:vAlign w:val="center"/>
          </w:tcPr>
          <w:p>
            <w:pPr>
              <w:pStyle w:val="27"/>
            </w:pPr>
            <w:r>
              <w:t>赵家坪沟</w:t>
            </w:r>
          </w:p>
        </w:tc>
        <w:tc>
          <w:tcPr>
            <w:tcW w:w="3686" w:type="dxa"/>
            <w:vAlign w:val="center"/>
          </w:tcPr>
          <w:p>
            <w:pPr>
              <w:pStyle w:val="27"/>
            </w:pPr>
            <w:r>
              <w:t>井场附近</w:t>
            </w:r>
          </w:p>
        </w:tc>
        <w:tc>
          <w:tcPr>
            <w:tcW w:w="2970" w:type="dxa"/>
            <w:vMerge w:val="restart"/>
            <w:vAlign w:val="center"/>
          </w:tcPr>
          <w:p>
            <w:pPr>
              <w:pStyle w:val="27"/>
            </w:pPr>
            <w:r>
              <w:t>《地表水环境质量标准》（GB3838—2002）中</w:t>
            </w:r>
            <w:r>
              <w:rPr>
                <w:rFonts w:hint="eastAsia" w:ascii="宋体" w:hAnsi="宋体" w:cs="宋体"/>
              </w:rPr>
              <w:t>Ⅳ</w:t>
            </w:r>
            <w: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1134" w:type="dxa"/>
            <w:vMerge w:val="continue"/>
            <w:vAlign w:val="center"/>
          </w:tcPr>
          <w:p>
            <w:pPr>
              <w:pStyle w:val="27"/>
            </w:pPr>
          </w:p>
        </w:tc>
        <w:tc>
          <w:tcPr>
            <w:tcW w:w="3686" w:type="dxa"/>
            <w:vAlign w:val="center"/>
          </w:tcPr>
          <w:p>
            <w:pPr>
              <w:pStyle w:val="27"/>
            </w:pPr>
            <w:r>
              <w:t>输气管线两侧</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pStyle w:val="27"/>
            </w:pPr>
            <w:r>
              <w:t>声环境</w:t>
            </w:r>
          </w:p>
        </w:tc>
        <w:tc>
          <w:tcPr>
            <w:tcW w:w="4820" w:type="dxa"/>
            <w:gridSpan w:val="2"/>
            <w:vAlign w:val="center"/>
          </w:tcPr>
          <w:p>
            <w:pPr>
              <w:pStyle w:val="27"/>
            </w:pPr>
            <w:r>
              <w:t>各开发井周边村庄</w:t>
            </w:r>
          </w:p>
        </w:tc>
        <w:tc>
          <w:tcPr>
            <w:tcW w:w="2970" w:type="dxa"/>
            <w:vMerge w:val="restart"/>
            <w:vAlign w:val="center"/>
          </w:tcPr>
          <w:p>
            <w:pPr>
              <w:pStyle w:val="27"/>
            </w:pPr>
            <w:r>
              <w:t>《声环境质量标准》(GB3096-2008)中2类标准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7"/>
            </w:pPr>
          </w:p>
        </w:tc>
        <w:tc>
          <w:tcPr>
            <w:tcW w:w="4820" w:type="dxa"/>
            <w:gridSpan w:val="2"/>
            <w:vAlign w:val="center"/>
          </w:tcPr>
          <w:p>
            <w:pPr>
              <w:pStyle w:val="27"/>
            </w:pPr>
            <w:r>
              <w:t>输气管线周边村庄</w:t>
            </w:r>
          </w:p>
        </w:tc>
        <w:tc>
          <w:tcPr>
            <w:tcW w:w="2970" w:type="dxa"/>
            <w:vMerge w:val="continue"/>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7"/>
            </w:pPr>
            <w:r>
              <w:t>生态环境</w:t>
            </w:r>
          </w:p>
        </w:tc>
        <w:tc>
          <w:tcPr>
            <w:tcW w:w="4820" w:type="dxa"/>
            <w:gridSpan w:val="2"/>
            <w:vAlign w:val="center"/>
          </w:tcPr>
          <w:p>
            <w:pPr>
              <w:pStyle w:val="27"/>
            </w:pPr>
            <w:r>
              <w:t>井场、输气管线周边农田及灌草木</w:t>
            </w:r>
          </w:p>
        </w:tc>
        <w:tc>
          <w:tcPr>
            <w:tcW w:w="2970" w:type="dxa"/>
            <w:vAlign w:val="center"/>
          </w:tcPr>
          <w:p>
            <w:pPr>
              <w:pStyle w:val="27"/>
            </w:pPr>
          </w:p>
        </w:tc>
      </w:tr>
    </w:tbl>
    <w:p>
      <w:pPr>
        <w:ind w:firstLine="480"/>
        <w:rPr>
          <w:rFonts w:ascii="Times New Roman" w:hAnsi="Times New Roman"/>
          <w:b/>
        </w:rPr>
      </w:pPr>
      <w:r>
        <w:rPr>
          <w:rFonts w:ascii="Times New Roman"/>
        </w:rPr>
        <w:t>本项目地处兴县农村地区，各场地附近均有村庄分布，村民生活用水以地下水为主，采用集中供水与分散式居民井取水，取水层位为第四系松散孔隙水以及风化裂隙泉水。因此，本地区具有供水意义的含水层为第四系松散孔隙潜水含水层及风化裂隙泉水。根据本地区环境现状调查，地下水环境保护目标主要有两类：其一为评价范围内赵家坪乡镇水源地水井及其保护区，该水源地共两眼水源井，一眼潜水井（</w:t>
      </w:r>
      <w:r>
        <w:rPr>
          <w:rFonts w:ascii="Times New Roman" w:hAnsi="Times New Roman"/>
        </w:rPr>
        <w:t>#3</w:t>
      </w:r>
      <w:r>
        <w:rPr>
          <w:rFonts w:ascii="Times New Roman"/>
        </w:rPr>
        <w:t>），一眼泉水井（</w:t>
      </w:r>
      <w:r>
        <w:rPr>
          <w:rFonts w:ascii="Times New Roman" w:hAnsi="Times New Roman"/>
        </w:rPr>
        <w:t>Q29</w:t>
      </w:r>
      <w:r>
        <w:rPr>
          <w:rFonts w:ascii="Times New Roman"/>
        </w:rPr>
        <w:t>）；其二为分散的农村居民饮用水源。地下水</w:t>
      </w:r>
      <w:r>
        <w:rPr>
          <w:rFonts w:ascii="Times New Roman" w:hAnsi="宋体"/>
        </w:rPr>
        <w:t>具体保护目标情况详见表</w:t>
      </w:r>
      <w:r>
        <w:rPr>
          <w:rFonts w:ascii="Times New Roman" w:hAnsi="Times New Roman"/>
        </w:rPr>
        <w:t>2.6-2</w:t>
      </w:r>
      <w:r>
        <w:rPr>
          <w:rFonts w:ascii="Times New Roman" w:hAnsi="宋体"/>
        </w:rPr>
        <w:t>和图</w:t>
      </w:r>
      <w:r>
        <w:rPr>
          <w:rFonts w:hint="eastAsia" w:ascii="Times New Roman" w:hAnsi="Times New Roman"/>
        </w:rPr>
        <w:t>2.5-1</w:t>
      </w:r>
      <w:r>
        <w:rPr>
          <w:rFonts w:ascii="Times New Roman" w:hAnsi="宋体"/>
        </w:rPr>
        <w:t>。</w:t>
      </w:r>
    </w:p>
    <w:p>
      <w:pPr>
        <w:spacing w:before="156" w:beforeLines="50" w:line="240" w:lineRule="auto"/>
        <w:ind w:firstLine="0" w:firstLineChars="0"/>
        <w:jc w:val="center"/>
      </w:pPr>
      <w:r>
        <w:rPr>
          <w:rFonts w:hint="eastAsia" w:ascii="Times New Roman" w:hAnsi="宋体"/>
          <w:b/>
          <w:sz w:val="21"/>
        </w:rPr>
        <w:t>表2.6-2地下水环境保护目标表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7"/>
        <w:gridCol w:w="1059"/>
        <w:gridCol w:w="3372"/>
        <w:gridCol w:w="1610"/>
        <w:gridCol w:w="1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保护目标</w:t>
            </w:r>
          </w:p>
        </w:tc>
        <w:tc>
          <w:tcPr>
            <w:tcW w:w="621" w:type="pct"/>
            <w:vAlign w:val="center"/>
          </w:tcPr>
          <w:p>
            <w:pPr>
              <w:pStyle w:val="27"/>
            </w:pPr>
            <w:r>
              <w:rPr>
                <w:rFonts w:hint="eastAsia"/>
              </w:rPr>
              <w:t>所属村庄</w:t>
            </w:r>
          </w:p>
        </w:tc>
        <w:tc>
          <w:tcPr>
            <w:tcW w:w="1977" w:type="pct"/>
            <w:vAlign w:val="center"/>
          </w:tcPr>
          <w:p>
            <w:pPr>
              <w:pStyle w:val="27"/>
            </w:pPr>
            <w:r>
              <w:rPr>
                <w:rFonts w:hint="eastAsia"/>
              </w:rPr>
              <w:t>井（泉）特征</w:t>
            </w:r>
          </w:p>
        </w:tc>
        <w:tc>
          <w:tcPr>
            <w:tcW w:w="944" w:type="pct"/>
            <w:vAlign w:val="center"/>
          </w:tcPr>
          <w:p>
            <w:pPr>
              <w:pStyle w:val="27"/>
            </w:pPr>
            <w:r>
              <w:rPr>
                <w:rFonts w:hint="eastAsia"/>
              </w:rPr>
              <w:t>用途</w:t>
            </w:r>
          </w:p>
        </w:tc>
        <w:tc>
          <w:tcPr>
            <w:tcW w:w="768" w:type="pct"/>
            <w:vAlign w:val="center"/>
          </w:tcPr>
          <w:p>
            <w:pPr>
              <w:pStyle w:val="27"/>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#1</w:t>
            </w:r>
          </w:p>
        </w:tc>
        <w:tc>
          <w:tcPr>
            <w:tcW w:w="621" w:type="pct"/>
            <w:vAlign w:val="center"/>
          </w:tcPr>
          <w:p>
            <w:pPr>
              <w:pStyle w:val="27"/>
            </w:pPr>
            <w:r>
              <w:t>LX-SY1</w:t>
            </w:r>
          </w:p>
        </w:tc>
        <w:tc>
          <w:tcPr>
            <w:tcW w:w="1977" w:type="pct"/>
            <w:vAlign w:val="center"/>
          </w:tcPr>
          <w:p>
            <w:pPr>
              <w:pStyle w:val="27"/>
            </w:pPr>
            <w:r>
              <w:rPr>
                <w:rFonts w:hint="eastAsia"/>
              </w:rPr>
              <w:t>水井，井深</w:t>
            </w:r>
            <w:r>
              <w:t>520m</w:t>
            </w:r>
            <w:r>
              <w:rPr>
                <w:rFonts w:hint="eastAsia"/>
              </w:rPr>
              <w:t>，取自砂岩裂隙水</w:t>
            </w:r>
          </w:p>
        </w:tc>
        <w:tc>
          <w:tcPr>
            <w:tcW w:w="944" w:type="pct"/>
            <w:vAlign w:val="center"/>
          </w:tcPr>
          <w:p>
            <w:pPr>
              <w:pStyle w:val="27"/>
            </w:pPr>
            <w:r>
              <w:rPr>
                <w:rFonts w:hint="eastAsia"/>
              </w:rPr>
              <w:t>生产、生活用水</w:t>
            </w:r>
          </w:p>
        </w:tc>
        <w:tc>
          <w:tcPr>
            <w:tcW w:w="768" w:type="pct"/>
            <w:vAlign w:val="center"/>
          </w:tcPr>
          <w:p>
            <w:pPr>
              <w:pStyle w:val="27"/>
            </w:pPr>
            <w:r>
              <w:rPr>
                <w:rFonts w:hint="eastAsia"/>
              </w:rPr>
              <w:t>企业自备井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Q2</w:t>
            </w:r>
          </w:p>
        </w:tc>
        <w:tc>
          <w:tcPr>
            <w:tcW w:w="621" w:type="pct"/>
            <w:vAlign w:val="center"/>
          </w:tcPr>
          <w:p>
            <w:pPr>
              <w:pStyle w:val="27"/>
            </w:pPr>
            <w:r>
              <w:rPr>
                <w:rFonts w:hint="eastAsia"/>
              </w:rPr>
              <w:t>前赵家坪</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#3</w:t>
            </w:r>
          </w:p>
        </w:tc>
        <w:tc>
          <w:tcPr>
            <w:tcW w:w="621" w:type="pct"/>
            <w:vMerge w:val="restart"/>
            <w:vAlign w:val="center"/>
          </w:tcPr>
          <w:p>
            <w:pPr>
              <w:pStyle w:val="27"/>
            </w:pPr>
            <w:r>
              <w:rPr>
                <w:rFonts w:hint="eastAsia"/>
              </w:rPr>
              <w:t>后赵家坪</w:t>
            </w:r>
          </w:p>
        </w:tc>
        <w:tc>
          <w:tcPr>
            <w:tcW w:w="1977" w:type="pct"/>
            <w:vAlign w:val="center"/>
          </w:tcPr>
          <w:p>
            <w:pPr>
              <w:pStyle w:val="27"/>
            </w:pPr>
            <w:r>
              <w:rPr>
                <w:rFonts w:hint="eastAsia"/>
              </w:rPr>
              <w:t>水井，取自第四系松散含水层</w:t>
            </w:r>
          </w:p>
        </w:tc>
        <w:tc>
          <w:tcPr>
            <w:tcW w:w="944" w:type="pct"/>
            <w:vAlign w:val="center"/>
          </w:tcPr>
          <w:p>
            <w:pPr>
              <w:pStyle w:val="27"/>
            </w:pPr>
            <w:r>
              <w:rPr>
                <w:rFonts w:hint="eastAsia"/>
              </w:rPr>
              <w:t>农村生活用水</w:t>
            </w:r>
          </w:p>
        </w:tc>
        <w:tc>
          <w:tcPr>
            <w:tcW w:w="768" w:type="pct"/>
            <w:vAlign w:val="center"/>
          </w:tcPr>
          <w:p>
            <w:pPr>
              <w:pStyle w:val="27"/>
            </w:pPr>
            <w:r>
              <w:rPr>
                <w:rFonts w:hint="eastAsia"/>
              </w:rPr>
              <w:t>水源地水井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Q29</w:t>
            </w:r>
          </w:p>
        </w:tc>
        <w:tc>
          <w:tcPr>
            <w:tcW w:w="621" w:type="pct"/>
            <w:vMerge w:val="continue"/>
            <w:vAlign w:val="center"/>
          </w:tcPr>
          <w:p>
            <w:pPr>
              <w:pStyle w:val="27"/>
            </w:pP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r>
              <w:rPr>
                <w:rFonts w:hint="eastAsia"/>
              </w:rPr>
              <w:t>水源地水井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Q9</w:t>
            </w:r>
          </w:p>
        </w:tc>
        <w:tc>
          <w:tcPr>
            <w:tcW w:w="621" w:type="pct"/>
            <w:vAlign w:val="center"/>
          </w:tcPr>
          <w:p>
            <w:pPr>
              <w:pStyle w:val="27"/>
            </w:pPr>
            <w:r>
              <w:rPr>
                <w:rFonts w:hint="eastAsia"/>
              </w:rPr>
              <w:t>沟代店</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Q10</w:t>
            </w:r>
          </w:p>
        </w:tc>
        <w:tc>
          <w:tcPr>
            <w:tcW w:w="621" w:type="pct"/>
            <w:vAlign w:val="center"/>
          </w:tcPr>
          <w:p>
            <w:pPr>
              <w:pStyle w:val="27"/>
            </w:pPr>
            <w:r>
              <w:rPr>
                <w:rFonts w:hint="eastAsia"/>
              </w:rPr>
              <w:t>佐子坪</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Q21</w:t>
            </w:r>
          </w:p>
        </w:tc>
        <w:tc>
          <w:tcPr>
            <w:tcW w:w="621" w:type="pct"/>
            <w:vAlign w:val="center"/>
          </w:tcPr>
          <w:p>
            <w:pPr>
              <w:pStyle w:val="27"/>
            </w:pPr>
            <w:r>
              <w:rPr>
                <w:rFonts w:hint="eastAsia"/>
              </w:rPr>
              <w:t>王家峁</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Q19</w:t>
            </w:r>
          </w:p>
        </w:tc>
        <w:tc>
          <w:tcPr>
            <w:tcW w:w="621" w:type="pct"/>
            <w:vAlign w:val="center"/>
          </w:tcPr>
          <w:p>
            <w:pPr>
              <w:pStyle w:val="27"/>
            </w:pPr>
            <w:r>
              <w:rPr>
                <w:rFonts w:hint="eastAsia"/>
              </w:rPr>
              <w:t>石家墕</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#4</w:t>
            </w:r>
          </w:p>
        </w:tc>
        <w:tc>
          <w:tcPr>
            <w:tcW w:w="621" w:type="pct"/>
            <w:vAlign w:val="center"/>
          </w:tcPr>
          <w:p>
            <w:pPr>
              <w:pStyle w:val="27"/>
            </w:pPr>
            <w:r>
              <w:rPr>
                <w:rFonts w:hint="eastAsia"/>
              </w:rPr>
              <w:t>王家塔</w:t>
            </w:r>
          </w:p>
        </w:tc>
        <w:tc>
          <w:tcPr>
            <w:tcW w:w="1977" w:type="pct"/>
            <w:vAlign w:val="center"/>
          </w:tcPr>
          <w:p>
            <w:pPr>
              <w:pStyle w:val="27"/>
            </w:pPr>
            <w:r>
              <w:rPr>
                <w:rFonts w:hint="eastAsia"/>
              </w:rPr>
              <w:t>水井，取自第四系松散含水层</w:t>
            </w:r>
          </w:p>
        </w:tc>
        <w:tc>
          <w:tcPr>
            <w:tcW w:w="944" w:type="pct"/>
            <w:vAlign w:val="center"/>
          </w:tcPr>
          <w:p>
            <w:pPr>
              <w:pStyle w:val="27"/>
            </w:pPr>
            <w:r>
              <w:rPr>
                <w:rFonts w:hint="eastAsia"/>
              </w:rPr>
              <w:t>农村生活用水</w:t>
            </w:r>
          </w:p>
        </w:tc>
        <w:tc>
          <w:tcPr>
            <w:tcW w:w="768" w:type="pct"/>
            <w:vAlign w:val="center"/>
          </w:tcPr>
          <w:p>
            <w:pPr>
              <w:pStyle w:val="2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0" w:type="pct"/>
            <w:vAlign w:val="center"/>
          </w:tcPr>
          <w:p>
            <w:pPr>
              <w:pStyle w:val="27"/>
            </w:pPr>
            <w:r>
              <w:rPr>
                <w:rFonts w:hint="eastAsia"/>
              </w:rPr>
              <w:t>Q22</w:t>
            </w:r>
          </w:p>
        </w:tc>
        <w:tc>
          <w:tcPr>
            <w:tcW w:w="621" w:type="pct"/>
            <w:vAlign w:val="center"/>
          </w:tcPr>
          <w:p>
            <w:pPr>
              <w:pStyle w:val="27"/>
            </w:pPr>
            <w:r>
              <w:rPr>
                <w:rFonts w:hint="eastAsia"/>
              </w:rPr>
              <w:t>宋家塔</w:t>
            </w:r>
          </w:p>
        </w:tc>
        <w:tc>
          <w:tcPr>
            <w:tcW w:w="1977" w:type="pct"/>
            <w:vAlign w:val="center"/>
          </w:tcPr>
          <w:p>
            <w:pPr>
              <w:pStyle w:val="27"/>
            </w:pPr>
            <w:r>
              <w:rPr>
                <w:rFonts w:hint="eastAsia"/>
              </w:rPr>
              <w:t>下降泉，取自砂岩风化裂隙水</w:t>
            </w:r>
          </w:p>
        </w:tc>
        <w:tc>
          <w:tcPr>
            <w:tcW w:w="944" w:type="pct"/>
            <w:vAlign w:val="center"/>
          </w:tcPr>
          <w:p>
            <w:pPr>
              <w:pStyle w:val="27"/>
            </w:pPr>
            <w:r>
              <w:rPr>
                <w:rFonts w:hint="eastAsia"/>
              </w:rPr>
              <w:t>农村生活用水</w:t>
            </w:r>
          </w:p>
        </w:tc>
        <w:tc>
          <w:tcPr>
            <w:tcW w:w="768" w:type="pct"/>
            <w:vAlign w:val="center"/>
          </w:tcPr>
          <w:p>
            <w:pPr>
              <w:pStyle w:val="27"/>
            </w:pPr>
          </w:p>
        </w:tc>
      </w:tr>
    </w:tbl>
    <w:p>
      <w:pPr>
        <w:ind w:firstLine="480"/>
        <w:rPr>
          <w:rFonts w:ascii="Times New Roman" w:hAnsi="Times New Roman"/>
          <w:szCs w:val="24"/>
        </w:rPr>
      </w:pPr>
    </w:p>
    <w:p>
      <w:pPr>
        <w:spacing w:before="156" w:beforeLines="50" w:after="156" w:afterLines="50"/>
        <w:ind w:firstLine="0" w:firstLineChars="0"/>
        <w:outlineLvl w:val="0"/>
        <w:rPr>
          <w:rFonts w:ascii="Times New Roman" w:hAnsi="Times New Roman"/>
          <w:b/>
          <w:sz w:val="32"/>
          <w:szCs w:val="32"/>
        </w:rPr>
      </w:pPr>
      <w:r>
        <w:rPr>
          <w:rFonts w:ascii="Times New Roman"/>
          <w:szCs w:val="24"/>
        </w:rPr>
        <w:br w:type="page"/>
      </w:r>
      <w:bookmarkStart w:id="32" w:name="_Toc524624567"/>
      <w:r>
        <w:rPr>
          <w:rFonts w:ascii="Times New Roman" w:hAnsi="Times New Roman"/>
          <w:b/>
          <w:sz w:val="32"/>
          <w:szCs w:val="32"/>
        </w:rPr>
        <w:t>3 建设项目概况与工程分析</w:t>
      </w:r>
      <w:bookmarkEnd w:id="32"/>
    </w:p>
    <w:p>
      <w:pPr>
        <w:spacing w:before="156" w:beforeLines="50" w:after="156" w:afterLines="50"/>
        <w:ind w:firstLine="0" w:firstLineChars="0"/>
        <w:outlineLvl w:val="1"/>
        <w:rPr>
          <w:rFonts w:ascii="Times New Roman" w:hAnsi="Times New Roman"/>
          <w:b/>
          <w:sz w:val="30"/>
          <w:szCs w:val="30"/>
        </w:rPr>
      </w:pPr>
      <w:bookmarkStart w:id="33" w:name="_Toc524624568"/>
      <w:r>
        <w:rPr>
          <w:rFonts w:ascii="Times New Roman" w:hAnsi="Times New Roman"/>
          <w:b/>
          <w:sz w:val="30"/>
          <w:szCs w:val="30"/>
        </w:rPr>
        <w:t>3.1 现有工程概况</w:t>
      </w:r>
      <w:bookmarkEnd w:id="33"/>
    </w:p>
    <w:p>
      <w:pPr>
        <w:ind w:firstLine="0" w:firstLineChars="0"/>
        <w:outlineLvl w:val="2"/>
        <w:rPr>
          <w:rFonts w:ascii="Times New Roman" w:hAnsi="Times New Roman"/>
          <w:b/>
          <w:sz w:val="28"/>
          <w:szCs w:val="28"/>
        </w:rPr>
      </w:pPr>
      <w:bookmarkStart w:id="34" w:name="_Toc524624569"/>
      <w:r>
        <w:rPr>
          <w:rFonts w:ascii="Times New Roman" w:hAnsi="Times New Roman"/>
          <w:b/>
          <w:sz w:val="28"/>
          <w:szCs w:val="28"/>
        </w:rPr>
        <w:t>3.1.1 先导试验区概况</w:t>
      </w:r>
      <w:bookmarkEnd w:id="34"/>
    </w:p>
    <w:p>
      <w:pPr>
        <w:snapToGrid w:val="0"/>
        <w:ind w:firstLine="480"/>
        <w:rPr>
          <w:rFonts w:ascii="Times New Roman" w:hAnsi="Times New Roman"/>
          <w:szCs w:val="24"/>
        </w:rPr>
      </w:pPr>
      <w:r>
        <w:rPr>
          <w:rFonts w:ascii="Times New Roman" w:hAnsi="Times New Roman"/>
          <w:szCs w:val="24"/>
        </w:rPr>
        <w:t>2016年中联煤层气有限责任公司委托煤炭科学技术研究院有限公司编制完成了《临兴区块先导试验项目环境影响报告表》，2016年3月16日吕梁市环境保护局以吕环行审[2016]17号出具了</w:t>
      </w:r>
      <w:r>
        <w:rPr>
          <w:rFonts w:hint="eastAsia" w:ascii="Times New Roman" w:hAnsi="Times New Roman"/>
          <w:szCs w:val="24"/>
        </w:rPr>
        <w:t>“</w:t>
      </w:r>
      <w:r>
        <w:rPr>
          <w:rFonts w:ascii="Times New Roman" w:hAnsi="Times New Roman"/>
          <w:szCs w:val="24"/>
        </w:rPr>
        <w:t>关于中联煤层气有限责任公司临兴区块先导试验项目环境影响报告表的批复</w:t>
      </w:r>
      <w:r>
        <w:rPr>
          <w:rFonts w:hint="eastAsia" w:ascii="Times New Roman" w:hAnsi="Times New Roman"/>
          <w:szCs w:val="24"/>
        </w:rPr>
        <w:t>”</w:t>
      </w:r>
      <w:r>
        <w:rPr>
          <w:rFonts w:ascii="Times New Roman" w:hAnsi="Times New Roman"/>
          <w:szCs w:val="24"/>
        </w:rPr>
        <w:t>。</w:t>
      </w:r>
    </w:p>
    <w:p>
      <w:pPr>
        <w:snapToGrid w:val="0"/>
        <w:ind w:firstLine="480"/>
        <w:rPr>
          <w:rFonts w:ascii="Times New Roman" w:hAnsi="Times New Roman"/>
          <w:szCs w:val="24"/>
        </w:rPr>
      </w:pPr>
      <w:r>
        <w:rPr>
          <w:rFonts w:ascii="Times New Roman" w:hAnsi="Times New Roman"/>
          <w:szCs w:val="24"/>
        </w:rPr>
        <w:t>2016年5月14日，国家能源局以</w:t>
      </w:r>
      <w:r>
        <w:rPr>
          <w:rFonts w:hint="eastAsia" w:ascii="Times New Roman" w:hAnsi="Times New Roman"/>
          <w:szCs w:val="24"/>
        </w:rPr>
        <w:t>“</w:t>
      </w:r>
      <w:r>
        <w:rPr>
          <w:rFonts w:ascii="Times New Roman" w:hAnsi="Times New Roman"/>
          <w:szCs w:val="24"/>
        </w:rPr>
        <w:t>中海油2016年国内自营开发油气田区块产能建设项目总体开发方案备案（国能备油气[2016]）</w:t>
      </w:r>
      <w:r>
        <w:rPr>
          <w:rFonts w:hint="eastAsia" w:ascii="Times New Roman" w:hAnsi="Times New Roman"/>
          <w:szCs w:val="24"/>
        </w:rPr>
        <w:t>”</w:t>
      </w:r>
      <w:r>
        <w:rPr>
          <w:rFonts w:ascii="Times New Roman" w:hAnsi="Times New Roman"/>
          <w:szCs w:val="24"/>
        </w:rPr>
        <w:t>文件对临兴先导试验区开发项目进行了项目备案。</w:t>
      </w:r>
    </w:p>
    <w:p>
      <w:pPr>
        <w:snapToGrid w:val="0"/>
        <w:ind w:firstLine="480"/>
        <w:rPr>
          <w:rFonts w:ascii="Times New Roman" w:hAnsi="Times New Roman"/>
          <w:szCs w:val="24"/>
        </w:rPr>
      </w:pPr>
      <w:r>
        <w:rPr>
          <w:rFonts w:ascii="Times New Roman" w:hAnsi="Times New Roman"/>
          <w:szCs w:val="24"/>
        </w:rPr>
        <w:t>临兴先导试验区位于小湾子构造上，小湾子构造为北西向长轴背斜，背斜两翼近似对称。太2段、盒8段、盒4段和盒2段圈闭面积分别为34.5km</w:t>
      </w:r>
      <w:r>
        <w:rPr>
          <w:rFonts w:ascii="Times New Roman" w:hAnsi="Times New Roman"/>
          <w:szCs w:val="24"/>
          <w:vertAlign w:val="superscript"/>
        </w:rPr>
        <w:t>2</w:t>
      </w:r>
      <w:r>
        <w:rPr>
          <w:rFonts w:ascii="Times New Roman" w:hAnsi="Times New Roman"/>
          <w:szCs w:val="24"/>
        </w:rPr>
        <w:t>、33km</w:t>
      </w:r>
      <w:r>
        <w:rPr>
          <w:rFonts w:ascii="Times New Roman" w:hAnsi="Times New Roman"/>
          <w:szCs w:val="24"/>
          <w:vertAlign w:val="superscript"/>
        </w:rPr>
        <w:t>2</w:t>
      </w:r>
      <w:r>
        <w:rPr>
          <w:rFonts w:ascii="Times New Roman" w:hAnsi="Times New Roman"/>
          <w:szCs w:val="24"/>
        </w:rPr>
        <w:t>、27.9km</w:t>
      </w:r>
      <w:r>
        <w:rPr>
          <w:rFonts w:ascii="Times New Roman" w:hAnsi="Times New Roman"/>
          <w:szCs w:val="24"/>
          <w:vertAlign w:val="superscript"/>
        </w:rPr>
        <w:t>2</w:t>
      </w:r>
      <w:r>
        <w:rPr>
          <w:rFonts w:ascii="Times New Roman" w:hAnsi="Times New Roman"/>
          <w:szCs w:val="24"/>
        </w:rPr>
        <w:t>、33.3km</w:t>
      </w:r>
      <w:r>
        <w:rPr>
          <w:rFonts w:ascii="Times New Roman" w:hAnsi="Times New Roman"/>
          <w:szCs w:val="24"/>
          <w:vertAlign w:val="superscript"/>
        </w:rPr>
        <w:t>2</w:t>
      </w:r>
      <w:r>
        <w:rPr>
          <w:rFonts w:ascii="Times New Roman" w:hAnsi="Times New Roman"/>
          <w:szCs w:val="24"/>
        </w:rPr>
        <w:t>，闭合幅度为49m、52m、57m、47m。</w:t>
      </w:r>
    </w:p>
    <w:p>
      <w:pPr>
        <w:ind w:firstLine="0" w:firstLineChars="0"/>
        <w:outlineLvl w:val="2"/>
        <w:rPr>
          <w:rFonts w:ascii="Times New Roman" w:hAnsi="Times New Roman"/>
          <w:b/>
          <w:sz w:val="28"/>
          <w:szCs w:val="28"/>
        </w:rPr>
      </w:pPr>
      <w:bookmarkStart w:id="35" w:name="_Toc524624570"/>
      <w:r>
        <w:rPr>
          <w:rFonts w:ascii="Times New Roman" w:hAnsi="Times New Roman"/>
          <w:b/>
          <w:sz w:val="28"/>
          <w:szCs w:val="28"/>
        </w:rPr>
        <w:t>3.1.2 先导试验区开发现状</w:t>
      </w:r>
      <w:bookmarkEnd w:id="35"/>
    </w:p>
    <w:p>
      <w:pPr>
        <w:snapToGrid w:val="0"/>
        <w:ind w:firstLine="480"/>
        <w:rPr>
          <w:rFonts w:ascii="Times New Roman" w:hAnsi="Times New Roman"/>
          <w:szCs w:val="24"/>
        </w:rPr>
      </w:pPr>
      <w:r>
        <w:rPr>
          <w:rFonts w:ascii="Times New Roman" w:hAnsi="Times New Roman"/>
          <w:szCs w:val="24"/>
        </w:rPr>
        <w:t>目前，临兴先导试验区已建设开发井场6座，煤成气井25口，临时集气站1座，井场到临时集气站输气管线长</w:t>
      </w:r>
      <w:r>
        <w:rPr>
          <w:rFonts w:hint="eastAsia" w:ascii="Times New Roman" w:hAnsi="Times New Roman"/>
          <w:szCs w:val="24"/>
        </w:rPr>
        <w:t>13.5</w:t>
      </w:r>
      <w:r>
        <w:rPr>
          <w:rFonts w:ascii="Times New Roman" w:hAnsi="Times New Roman"/>
          <w:szCs w:val="24"/>
        </w:rPr>
        <w:t>km，临时集气站到兴县华盛燃气有限公司集输干线</w:t>
      </w:r>
      <w:r>
        <w:rPr>
          <w:rFonts w:hint="eastAsia" w:ascii="Times New Roman" w:hAnsi="Times New Roman"/>
          <w:szCs w:val="24"/>
        </w:rPr>
        <w:t>24.3</w:t>
      </w:r>
      <w:r>
        <w:rPr>
          <w:rFonts w:ascii="Times New Roman" w:hAnsi="Times New Roman"/>
          <w:szCs w:val="24"/>
        </w:rPr>
        <w:t>km，设计年产煤成气</w:t>
      </w:r>
      <w:r>
        <w:rPr>
          <w:rFonts w:hint="eastAsia" w:ascii="Times New Roman" w:hAnsi="Times New Roman"/>
          <w:szCs w:val="24"/>
        </w:rPr>
        <w:t>7920</w:t>
      </w:r>
      <w:r>
        <w:rPr>
          <w:rFonts w:ascii="Times New Roman" w:hAnsi="Times New Roman"/>
          <w:szCs w:val="24"/>
        </w:rPr>
        <w:t>万m</w:t>
      </w:r>
      <w:r>
        <w:rPr>
          <w:rFonts w:ascii="Times New Roman" w:hAnsi="Times New Roman"/>
          <w:szCs w:val="24"/>
          <w:vertAlign w:val="superscript"/>
        </w:rPr>
        <w:t>3</w:t>
      </w:r>
      <w:r>
        <w:rPr>
          <w:rFonts w:ascii="Times New Roman" w:hAnsi="Times New Roman"/>
          <w:szCs w:val="24"/>
        </w:rPr>
        <w:t>，实际年产煤成气4620万m</w:t>
      </w:r>
      <w:r>
        <w:rPr>
          <w:rFonts w:ascii="Times New Roman" w:hAnsi="Times New Roman"/>
          <w:szCs w:val="24"/>
          <w:vertAlign w:val="superscript"/>
        </w:rPr>
        <w:t>3</w:t>
      </w:r>
      <w:r>
        <w:rPr>
          <w:rFonts w:ascii="Times New Roman" w:hAnsi="Times New Roman"/>
          <w:szCs w:val="24"/>
        </w:rPr>
        <w:t>。</w:t>
      </w:r>
    </w:p>
    <w:p>
      <w:pPr>
        <w:snapToGrid w:val="0"/>
        <w:ind w:firstLine="480"/>
        <w:rPr>
          <w:rFonts w:ascii="Times New Roman" w:hAnsi="Times New Roman"/>
          <w:szCs w:val="24"/>
        </w:rPr>
      </w:pPr>
      <w:r>
        <w:rPr>
          <w:rFonts w:ascii="Times New Roman" w:hAnsi="Times New Roman"/>
          <w:szCs w:val="24"/>
        </w:rPr>
        <w:t>（1）井场建设情况</w:t>
      </w:r>
    </w:p>
    <w:p>
      <w:pPr>
        <w:snapToGrid w:val="0"/>
        <w:ind w:firstLine="480"/>
        <w:rPr>
          <w:rFonts w:ascii="Times New Roman" w:hAnsi="Times New Roman"/>
          <w:szCs w:val="24"/>
        </w:rPr>
      </w:pPr>
      <w:r>
        <w:rPr>
          <w:rFonts w:ascii="Times New Roman" w:hAnsi="Times New Roman"/>
          <w:szCs w:val="24"/>
        </w:rPr>
        <w:t>现有项目已建开发井场6座，煤成气井25口，具体情况见表3.1-1。</w:t>
      </w:r>
    </w:p>
    <w:p>
      <w:pPr>
        <w:spacing w:before="156" w:beforeLines="50" w:line="240" w:lineRule="auto"/>
        <w:ind w:firstLine="0" w:firstLineChars="0"/>
        <w:jc w:val="center"/>
      </w:pPr>
      <w:r>
        <w:rPr>
          <w:rFonts w:ascii="Times New Roman" w:hAnsi="宋体"/>
          <w:b/>
          <w:sz w:val="21"/>
        </w:rPr>
        <w:t>表3.1-1 临兴先导试验区已建井场及开发井情况</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174"/>
        <w:gridCol w:w="1239"/>
        <w:gridCol w:w="1841"/>
        <w:gridCol w:w="1733"/>
        <w:gridCol w:w="872"/>
        <w:gridCol w:w="1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vMerge w:val="restar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序号</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井场</w:t>
            </w:r>
          </w:p>
        </w:tc>
        <w:tc>
          <w:tcPr>
            <w:tcW w:w="726" w:type="pct"/>
            <w:vMerge w:val="restar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井名</w:t>
            </w:r>
          </w:p>
        </w:tc>
        <w:tc>
          <w:tcPr>
            <w:tcW w:w="2095" w:type="pct"/>
            <w:gridSpan w:val="2"/>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井口坐标（WGS84坐标系）</w:t>
            </w:r>
          </w:p>
        </w:tc>
        <w:tc>
          <w:tcPr>
            <w:tcW w:w="511" w:type="pct"/>
            <w:vMerge w:val="restar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井型</w:t>
            </w:r>
          </w:p>
        </w:tc>
        <w:tc>
          <w:tcPr>
            <w:tcW w:w="594"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完钻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vMerge w:val="continue"/>
            <w:vAlign w:val="center"/>
          </w:tcPr>
          <w:p>
            <w:pPr>
              <w:widowControl/>
              <w:spacing w:line="240" w:lineRule="auto"/>
              <w:ind w:firstLine="0" w:firstLineChars="0"/>
              <w:jc w:val="center"/>
              <w:rPr>
                <w:rFonts w:ascii="Times New Roman" w:hAnsi="Times New Roman"/>
                <w:kern w:val="0"/>
                <w:sz w:val="21"/>
              </w:rPr>
            </w:pP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vMerge w:val="continue"/>
            <w:vAlign w:val="center"/>
          </w:tcPr>
          <w:p>
            <w:pPr>
              <w:widowControl/>
              <w:spacing w:line="240" w:lineRule="auto"/>
              <w:ind w:firstLine="0" w:firstLineChars="0"/>
              <w:jc w:val="center"/>
              <w:rPr>
                <w:rFonts w:ascii="Times New Roman" w:hAnsi="Times New Roman"/>
                <w:kern w:val="0"/>
                <w:sz w:val="21"/>
              </w:rPr>
            </w:pPr>
          </w:p>
        </w:tc>
        <w:tc>
          <w:tcPr>
            <w:tcW w:w="1079"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东经</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北纬</w:t>
            </w:r>
          </w:p>
        </w:tc>
        <w:tc>
          <w:tcPr>
            <w:tcW w:w="511" w:type="pct"/>
            <w:vMerge w:val="continue"/>
            <w:vAlign w:val="center"/>
          </w:tcPr>
          <w:p>
            <w:pPr>
              <w:widowControl/>
              <w:spacing w:line="240" w:lineRule="auto"/>
              <w:ind w:firstLine="0" w:firstLineChars="0"/>
              <w:jc w:val="center"/>
              <w:rPr>
                <w:rFonts w:ascii="Times New Roman" w:hAnsi="Times New Roman"/>
                <w:kern w:val="0"/>
                <w:sz w:val="21"/>
              </w:rPr>
            </w:pPr>
          </w:p>
        </w:tc>
        <w:tc>
          <w:tcPr>
            <w:tcW w:w="594"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井深(米)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w:t>
            </w:r>
          </w:p>
        </w:tc>
        <w:tc>
          <w:tcPr>
            <w:tcW w:w="68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LX-4</w:t>
            </w: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LX-4</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110°53′26.24″</w:t>
            </w:r>
          </w:p>
        </w:tc>
        <w:tc>
          <w:tcPr>
            <w:tcW w:w="101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38°18′16.77″</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w:t>
            </w: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110°53′18.53″</w:t>
            </w:r>
          </w:p>
        </w:tc>
        <w:tc>
          <w:tcPr>
            <w:tcW w:w="101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38°20′45.02″</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LX-101-2D</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21.5521"</w:t>
            </w:r>
          </w:p>
        </w:tc>
        <w:tc>
          <w:tcPr>
            <w:tcW w:w="101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45.4383"</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4</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LX-101-3D</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110°53′19.52″</w:t>
            </w:r>
          </w:p>
        </w:tc>
        <w:tc>
          <w:tcPr>
            <w:tcW w:w="101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38°20′44.53″</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5</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LX-101-1H</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21.3043"</w:t>
            </w:r>
          </w:p>
        </w:tc>
        <w:tc>
          <w:tcPr>
            <w:tcW w:w="101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45.4947"</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6</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LX-101-4H</w:t>
            </w:r>
          </w:p>
        </w:tc>
        <w:tc>
          <w:tcPr>
            <w:tcW w:w="1079"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20.8814"</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45.6254"</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2583.7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7</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w:t>
            </w: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w:t>
            </w:r>
          </w:p>
        </w:tc>
        <w:tc>
          <w:tcPr>
            <w:tcW w:w="1079"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110°53′21.3615″</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38°19′36.9903″</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8</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LX-102-1D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22.5798"</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37.2947"</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9</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LX-102-2D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21.0878"</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36.9216"</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定向金</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10</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LX-102-3H</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23.9240"</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37.6303"</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LX-103</w:t>
            </w: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LX-103</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110°53′36.2780″</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38°19′04.9143″</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12</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LX-103-1D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35.7542"</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06.0778"</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13</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LX-103-4D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35.8429"</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05.8652"</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14</w:t>
            </w:r>
          </w:p>
        </w:tc>
        <w:tc>
          <w:tcPr>
            <w:tcW w:w="688" w:type="pct"/>
            <w:vMerge w:val="continue"/>
            <w:tcBorders>
              <w:bottom w:val="single" w:color="auto" w:sz="4" w:space="0"/>
            </w:tcBorders>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LX-103-3H</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33.715"</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19'05.9250"</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15</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w:t>
            </w: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20.6744"</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49.6598"</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1891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16</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LX-104-3D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20.7794"</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49.7926"</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17</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LX-104-6D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20.9558"</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50.0115"</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18</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LX-104-7D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20.8711"</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49.9048"</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LX-104-1H</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22.8513"</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49.5588"</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2716.9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20</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LX-104-8H</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20.5856"</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50.3988"</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21</w:t>
            </w:r>
          </w:p>
        </w:tc>
        <w:tc>
          <w:tcPr>
            <w:tcW w:w="688" w:type="pct"/>
            <w:vMerge w:val="restar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w:t>
            </w: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110°52′57.1899″</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38°18′12.3528″</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直井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22</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LX-105-2D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52' 57.5022"</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11.4585"</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23</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LX-105-3D</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52' 57.3059"</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12.0160"</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24</w:t>
            </w:r>
          </w:p>
        </w:tc>
        <w:tc>
          <w:tcPr>
            <w:tcW w:w="688" w:type="pct"/>
            <w:vMerge w:val="continue"/>
            <w:vAlign w:val="center"/>
          </w:tcPr>
          <w:p>
            <w:pPr>
              <w:widowControl/>
              <w:spacing w:line="240" w:lineRule="auto"/>
              <w:ind w:firstLine="0" w:firstLineChars="0"/>
              <w:jc w:val="center"/>
              <w:rPr>
                <w:rFonts w:ascii="Times New Roman" w:hAnsi="Times New Roman"/>
                <w:kern w:val="0"/>
                <w:sz w:val="21"/>
              </w:rPr>
            </w:pPr>
          </w:p>
        </w:tc>
        <w:tc>
          <w:tcPr>
            <w:tcW w:w="726"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LX-105-1H</w:t>
            </w:r>
          </w:p>
        </w:tc>
        <w:tc>
          <w:tcPr>
            <w:tcW w:w="1079"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52' 57.3903"</w:t>
            </w:r>
          </w:p>
        </w:tc>
        <w:tc>
          <w:tcPr>
            <w:tcW w:w="1016" w:type="pct"/>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11.7734"</w:t>
            </w:r>
          </w:p>
        </w:tc>
        <w:tc>
          <w:tcPr>
            <w:tcW w:w="511"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85"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25</w:t>
            </w:r>
          </w:p>
        </w:tc>
        <w:tc>
          <w:tcPr>
            <w:tcW w:w="688" w:type="pct"/>
            <w:vMerge w:val="continue"/>
            <w:tcBorders>
              <w:bottom w:val="single" w:color="auto" w:sz="4" w:space="0"/>
            </w:tcBorders>
            <w:vAlign w:val="center"/>
          </w:tcPr>
          <w:p>
            <w:pPr>
              <w:widowControl/>
              <w:spacing w:line="240" w:lineRule="auto"/>
              <w:ind w:firstLine="0" w:firstLineChars="0"/>
              <w:jc w:val="center"/>
              <w:rPr>
                <w:rFonts w:ascii="Times New Roman" w:hAnsi="Times New Roman"/>
                <w:kern w:val="0"/>
                <w:sz w:val="21"/>
              </w:rPr>
            </w:pPr>
          </w:p>
        </w:tc>
        <w:tc>
          <w:tcPr>
            <w:tcW w:w="726"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LX-105-5H</w:t>
            </w:r>
          </w:p>
        </w:tc>
        <w:tc>
          <w:tcPr>
            <w:tcW w:w="1079"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52' 57.3351"</w:t>
            </w:r>
          </w:p>
        </w:tc>
        <w:tc>
          <w:tcPr>
            <w:tcW w:w="1016" w:type="pct"/>
            <w:tcBorders>
              <w:bottom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13.4455"</w:t>
            </w:r>
          </w:p>
        </w:tc>
        <w:tc>
          <w:tcPr>
            <w:tcW w:w="511"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594" w:type="pct"/>
            <w:tcBorders>
              <w:bottom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3299</w:t>
            </w:r>
          </w:p>
        </w:tc>
      </w:tr>
    </w:tbl>
    <w:p>
      <w:pPr>
        <w:snapToGrid w:val="0"/>
        <w:spacing w:before="156" w:beforeLines="50"/>
        <w:ind w:firstLine="480"/>
        <w:rPr>
          <w:rFonts w:ascii="Times New Roman" w:hAnsi="Times New Roman"/>
          <w:szCs w:val="24"/>
        </w:rPr>
      </w:pPr>
      <w:r>
        <w:rPr>
          <w:rFonts w:ascii="Times New Roman" w:hAnsi="Times New Roman"/>
          <w:szCs w:val="24"/>
        </w:rPr>
        <w:t>（2）临时集气站</w:t>
      </w:r>
    </w:p>
    <w:p>
      <w:pPr>
        <w:snapToGrid w:val="0"/>
        <w:ind w:firstLine="480"/>
        <w:rPr>
          <w:rFonts w:ascii="Times New Roman" w:hAnsi="Times New Roman"/>
          <w:szCs w:val="24"/>
          <w:lang w:val="zh-CN"/>
        </w:rPr>
      </w:pPr>
      <w:r>
        <w:rPr>
          <w:rFonts w:ascii="Times New Roman"/>
          <w:szCs w:val="24"/>
          <w:lang w:val="zh-CN"/>
        </w:rPr>
        <w:t>现有项目</w:t>
      </w:r>
      <w:r>
        <w:rPr>
          <w:rFonts w:ascii="Times New Roman" w:hAnsi="Times New Roman"/>
          <w:szCs w:val="24"/>
          <w:lang w:val="zh-CN"/>
        </w:rPr>
        <w:t>已建</w:t>
      </w:r>
      <w:r>
        <w:rPr>
          <w:rFonts w:hint="eastAsia" w:ascii="Times New Roman" w:hAnsi="Times New Roman"/>
          <w:szCs w:val="24"/>
          <w:lang w:val="zh-CN"/>
        </w:rPr>
        <w:t>临时</w:t>
      </w:r>
      <w:r>
        <w:rPr>
          <w:rFonts w:ascii="Times New Roman" w:hAnsi="Times New Roman"/>
          <w:szCs w:val="24"/>
          <w:lang w:val="zh-CN"/>
        </w:rPr>
        <w:t>集气站一座，占地面积为2100m</w:t>
      </w:r>
      <w:r>
        <w:rPr>
          <w:rFonts w:ascii="Times New Roman" w:hAnsi="Times New Roman"/>
          <w:szCs w:val="24"/>
          <w:vertAlign w:val="superscript"/>
          <w:lang w:val="zh-CN"/>
        </w:rPr>
        <w:t>2</w:t>
      </w:r>
      <w:r>
        <w:rPr>
          <w:rFonts w:ascii="Times New Roman" w:hAnsi="Times New Roman"/>
          <w:szCs w:val="24"/>
          <w:lang w:val="zh-CN"/>
        </w:rPr>
        <w:t>，设计处理规模为24万Nm</w:t>
      </w:r>
      <w:r>
        <w:rPr>
          <w:rFonts w:ascii="Times New Roman" w:hAnsi="Times New Roman"/>
          <w:szCs w:val="24"/>
          <w:vertAlign w:val="superscript"/>
          <w:lang w:val="zh-CN"/>
        </w:rPr>
        <w:t>3</w:t>
      </w:r>
      <w:r>
        <w:rPr>
          <w:rFonts w:ascii="Times New Roman" w:hAnsi="Times New Roman"/>
          <w:szCs w:val="24"/>
          <w:lang w:val="zh-CN"/>
        </w:rPr>
        <w:t>/d，7920万Nm</w:t>
      </w:r>
      <w:r>
        <w:rPr>
          <w:rFonts w:ascii="Times New Roman" w:hAnsi="Times New Roman"/>
          <w:szCs w:val="24"/>
          <w:vertAlign w:val="superscript"/>
          <w:lang w:val="zh-CN"/>
        </w:rPr>
        <w:t>3</w:t>
      </w:r>
      <w:r>
        <w:rPr>
          <w:rFonts w:ascii="Times New Roman" w:hAnsi="Times New Roman"/>
          <w:szCs w:val="24"/>
          <w:lang w:val="zh-CN"/>
        </w:rPr>
        <w:t>/a，实际处理规模为14万Nm</w:t>
      </w:r>
      <w:r>
        <w:rPr>
          <w:rFonts w:ascii="Times New Roman" w:hAnsi="Times New Roman"/>
          <w:szCs w:val="24"/>
          <w:vertAlign w:val="superscript"/>
          <w:lang w:val="zh-CN"/>
        </w:rPr>
        <w:t>3</w:t>
      </w:r>
      <w:r>
        <w:rPr>
          <w:rFonts w:ascii="Times New Roman" w:hAnsi="Times New Roman"/>
          <w:szCs w:val="24"/>
          <w:lang w:val="zh-CN"/>
        </w:rPr>
        <w:t>/d，4620万Nm</w:t>
      </w:r>
      <w:r>
        <w:rPr>
          <w:rFonts w:ascii="Times New Roman" w:hAnsi="Times New Roman"/>
          <w:szCs w:val="24"/>
          <w:vertAlign w:val="superscript"/>
          <w:lang w:val="zh-CN"/>
        </w:rPr>
        <w:t>3</w:t>
      </w:r>
      <w:r>
        <w:rPr>
          <w:rFonts w:ascii="Times New Roman" w:hAnsi="Times New Roman"/>
          <w:szCs w:val="24"/>
          <w:lang w:val="zh-CN"/>
        </w:rPr>
        <w:t>/a。</w:t>
      </w:r>
      <w:r>
        <w:rPr>
          <w:rFonts w:ascii="Times New Roman"/>
          <w:szCs w:val="24"/>
          <w:lang w:val="zh-CN"/>
        </w:rPr>
        <w:t>根据生产性质和功能将集气站分为工艺生产区、生产辅助区和放空区。工艺生产区位于集气站的北部，主要包括三项分离器、计量分离器、过滤器、分子筛、轻烃罐和生产废水处理站；生产辅助区位于集气站中部，主要包括燃气发电机、柴油发电机、柴油罐区；放空区位于集气站围墙外北侧，用围墙围成一个独立区域。</w:t>
      </w:r>
      <w:r>
        <w:rPr>
          <w:rFonts w:hint="eastAsia" w:ascii="Times New Roman"/>
          <w:szCs w:val="24"/>
          <w:lang w:val="zh-CN"/>
        </w:rPr>
        <w:t>临时</w:t>
      </w:r>
      <w:r>
        <w:rPr>
          <w:rFonts w:ascii="Times New Roman"/>
          <w:szCs w:val="24"/>
          <w:lang w:val="zh-CN"/>
        </w:rPr>
        <w:t>集气站平面布置见图</w:t>
      </w:r>
      <w:r>
        <w:rPr>
          <w:rFonts w:ascii="Times New Roman" w:hAnsi="Times New Roman"/>
          <w:szCs w:val="24"/>
          <w:lang w:val="zh-CN"/>
        </w:rPr>
        <w:t>3.1-1</w:t>
      </w:r>
      <w:r>
        <w:rPr>
          <w:rFonts w:ascii="Times New Roman"/>
          <w:szCs w:val="24"/>
          <w:lang w:val="zh-CN"/>
        </w:rPr>
        <w:t>。</w:t>
      </w:r>
    </w:p>
    <w:p>
      <w:pPr>
        <w:snapToGrid w:val="0"/>
        <w:spacing w:line="240" w:lineRule="auto"/>
        <w:ind w:firstLine="0" w:firstLineChars="0"/>
        <w:jc w:val="center"/>
        <w:rPr>
          <w:rFonts w:ascii="Times New Roman" w:hAnsi="Times New Roman"/>
          <w:szCs w:val="24"/>
        </w:rPr>
      </w:pPr>
      <w:r>
        <w:rPr>
          <w:rFonts w:ascii="Times New Roman" w:hAnsi="Times New Roman"/>
          <w:szCs w:val="24"/>
        </w:rPr>
        <w:drawing>
          <wp:inline distT="0" distB="0" distL="0" distR="0">
            <wp:extent cx="4610100" cy="2550795"/>
            <wp:effectExtent l="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610100" cy="2551221"/>
                    </a:xfrm>
                    <a:prstGeom prst="rect">
                      <a:avLst/>
                    </a:prstGeom>
                    <a:noFill/>
                    <a:ln>
                      <a:noFill/>
                    </a:ln>
                    <a:effectLst/>
                  </pic:spPr>
                </pic:pic>
              </a:graphicData>
            </a:graphic>
          </wp:inline>
        </w:drawing>
      </w:r>
    </w:p>
    <w:p>
      <w:pPr>
        <w:spacing w:before="156" w:beforeLines="50" w:line="240" w:lineRule="auto"/>
        <w:ind w:firstLine="0" w:firstLineChars="0"/>
        <w:jc w:val="center"/>
      </w:pPr>
      <w:r>
        <w:rPr>
          <w:rFonts w:ascii="Times New Roman" w:hAnsi="宋体"/>
          <w:b/>
          <w:sz w:val="21"/>
        </w:rPr>
        <w:t>图3.1-1 临时集气站平面布置图</w:t>
      </w:r>
    </w:p>
    <w:p>
      <w:pPr>
        <w:snapToGrid w:val="0"/>
        <w:ind w:firstLine="480"/>
        <w:rPr>
          <w:rFonts w:ascii="Times New Roman" w:hAnsi="Times New Roman"/>
          <w:szCs w:val="24"/>
        </w:rPr>
      </w:pPr>
      <w:r>
        <w:rPr>
          <w:rFonts w:ascii="Times New Roman" w:hAnsi="Times New Roman"/>
          <w:szCs w:val="24"/>
        </w:rPr>
        <w:t>（3）集输工程</w:t>
      </w:r>
    </w:p>
    <w:p>
      <w:pPr>
        <w:snapToGrid w:val="0"/>
        <w:ind w:firstLine="480"/>
        <w:rPr>
          <w:rFonts w:ascii="Times New Roman" w:hAnsi="Times New Roman"/>
          <w:szCs w:val="24"/>
        </w:rPr>
      </w:pPr>
      <w:r>
        <w:rPr>
          <w:rFonts w:ascii="Times New Roman" w:hAnsi="Times New Roman"/>
          <w:szCs w:val="24"/>
        </w:rPr>
        <w:t>采用地埋式串接输气方式，井场到临时集气站输气管线长28.8km，临时集气站到兴县华盛燃气有限公司集输干线26km。</w:t>
      </w:r>
    </w:p>
    <w:p>
      <w:pPr>
        <w:snapToGrid w:val="0"/>
        <w:ind w:firstLine="480"/>
        <w:rPr>
          <w:rFonts w:ascii="Times New Roman" w:hAnsi="Times New Roman"/>
          <w:szCs w:val="24"/>
        </w:rPr>
      </w:pPr>
      <w:r>
        <w:rPr>
          <w:rFonts w:ascii="Times New Roman" w:hAnsi="Times New Roman"/>
          <w:szCs w:val="24"/>
        </w:rPr>
        <w:t>（4）</w:t>
      </w:r>
      <w:r>
        <w:rPr>
          <w:rFonts w:hint="eastAsia" w:ascii="Times New Roman" w:hAnsi="Times New Roman"/>
          <w:szCs w:val="24"/>
        </w:rPr>
        <w:t>采出水</w:t>
      </w:r>
      <w:r>
        <w:rPr>
          <w:rFonts w:ascii="Times New Roman" w:hAnsi="Times New Roman"/>
          <w:szCs w:val="24"/>
        </w:rPr>
        <w:t>处理工程</w:t>
      </w:r>
    </w:p>
    <w:p>
      <w:pPr>
        <w:snapToGrid w:val="0"/>
        <w:ind w:firstLine="480"/>
        <w:rPr>
          <w:rFonts w:ascii="Times New Roman" w:hAnsi="Times New Roman"/>
          <w:szCs w:val="24"/>
        </w:rPr>
      </w:pPr>
      <w:r>
        <w:rPr>
          <w:rFonts w:ascii="Times New Roman" w:hAnsi="Times New Roman"/>
          <w:szCs w:val="24"/>
        </w:rPr>
        <w:t>现有工程在</w:t>
      </w:r>
      <w:r>
        <w:rPr>
          <w:rFonts w:hint="eastAsia" w:ascii="Times New Roman" w:hAnsi="Times New Roman"/>
          <w:szCs w:val="24"/>
        </w:rPr>
        <w:t>临时</w:t>
      </w:r>
      <w:r>
        <w:rPr>
          <w:rFonts w:ascii="Times New Roman" w:hAnsi="Times New Roman"/>
          <w:szCs w:val="24"/>
        </w:rPr>
        <w:t>集气站北侧建有一座</w:t>
      </w:r>
      <w:r>
        <w:rPr>
          <w:rFonts w:hint="eastAsia" w:ascii="Times New Roman" w:hAnsi="Times New Roman"/>
          <w:szCs w:val="24"/>
        </w:rPr>
        <w:t>地下</w:t>
      </w:r>
      <w:r>
        <w:rPr>
          <w:rFonts w:ascii="Times New Roman" w:hAnsi="Times New Roman"/>
          <w:szCs w:val="24"/>
        </w:rPr>
        <w:t>蒸发池，蒸发池容积为</w:t>
      </w:r>
      <w:r>
        <w:rPr>
          <w:rFonts w:hint="eastAsia" w:ascii="Times New Roman" w:hAnsi="Times New Roman"/>
          <w:szCs w:val="24"/>
        </w:rPr>
        <w:t>1148</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w:t>
      </w:r>
      <w:r>
        <w:rPr>
          <w:rFonts w:hint="eastAsia" w:ascii="Times New Roman" w:hAnsi="Times New Roman"/>
          <w:szCs w:val="24"/>
        </w:rPr>
        <w:t>14</w:t>
      </w:r>
      <w:r>
        <w:rPr>
          <w:rFonts w:ascii="Times New Roman" w:hAnsi="Times New Roman"/>
          <w:szCs w:val="24"/>
        </w:rPr>
        <w:t>m×</w:t>
      </w:r>
      <w:r>
        <w:rPr>
          <w:rFonts w:hint="eastAsia" w:ascii="Times New Roman" w:hAnsi="Times New Roman"/>
          <w:szCs w:val="24"/>
        </w:rPr>
        <w:t>41</w:t>
      </w:r>
      <w:r>
        <w:rPr>
          <w:rFonts w:ascii="Times New Roman" w:hAnsi="Times New Roman"/>
          <w:szCs w:val="24"/>
        </w:rPr>
        <w:t>m×</w:t>
      </w:r>
      <w:r>
        <w:rPr>
          <w:rFonts w:hint="eastAsia" w:ascii="Times New Roman" w:hAnsi="Times New Roman"/>
          <w:szCs w:val="24"/>
        </w:rPr>
        <w:t>2</w:t>
      </w:r>
      <w:r>
        <w:rPr>
          <w:rFonts w:ascii="Times New Roman" w:hAnsi="Times New Roman"/>
          <w:szCs w:val="24"/>
        </w:rPr>
        <w:t>m），蒸发池底部及池四周均铺设有防渗布。</w:t>
      </w:r>
      <w:r>
        <w:rPr>
          <w:rFonts w:hint="eastAsia" w:ascii="Times New Roman" w:hAnsi="Times New Roman"/>
          <w:szCs w:val="24"/>
        </w:rPr>
        <w:t>采出水</w:t>
      </w:r>
      <w:r>
        <w:rPr>
          <w:rFonts w:ascii="Times New Roman" w:hAnsi="Times New Roman"/>
          <w:szCs w:val="24"/>
        </w:rPr>
        <w:t>经罐车运输至蒸发池自然蒸发。</w:t>
      </w:r>
    </w:p>
    <w:p>
      <w:pPr>
        <w:snapToGrid w:val="0"/>
        <w:ind w:firstLine="480"/>
        <w:rPr>
          <w:rFonts w:ascii="Times New Roman" w:hAnsi="Times New Roman"/>
          <w:szCs w:val="24"/>
        </w:rPr>
      </w:pPr>
      <w:r>
        <w:rPr>
          <w:rFonts w:ascii="Times New Roman" w:hAnsi="Times New Roman"/>
          <w:szCs w:val="24"/>
        </w:rPr>
        <w:t>（5）办公生活工程</w:t>
      </w:r>
    </w:p>
    <w:p>
      <w:pPr>
        <w:snapToGrid w:val="0"/>
        <w:ind w:firstLine="480"/>
        <w:rPr>
          <w:rFonts w:ascii="Times New Roman" w:hAnsi="Times New Roman"/>
          <w:szCs w:val="24"/>
        </w:rPr>
      </w:pPr>
      <w:r>
        <w:rPr>
          <w:rFonts w:ascii="Times New Roman" w:hAnsi="Times New Roman"/>
          <w:szCs w:val="24"/>
        </w:rPr>
        <w:t>现有项目设置办公生活区1处，占地面积</w:t>
      </w:r>
      <w:r>
        <w:rPr>
          <w:rFonts w:hint="eastAsia" w:ascii="Times New Roman" w:hAnsi="Times New Roman"/>
          <w:szCs w:val="24"/>
        </w:rPr>
        <w:t>21957.16</w:t>
      </w:r>
      <w:r>
        <w:rPr>
          <w:rFonts w:ascii="Times New Roman" w:hAnsi="Times New Roman"/>
          <w:szCs w:val="24"/>
        </w:rPr>
        <w:t>m</w:t>
      </w:r>
      <w:r>
        <w:rPr>
          <w:rFonts w:ascii="Times New Roman" w:hAnsi="Times New Roman"/>
          <w:szCs w:val="24"/>
          <w:vertAlign w:val="superscript"/>
        </w:rPr>
        <w:t>2</w:t>
      </w:r>
      <w:r>
        <w:rPr>
          <w:rFonts w:ascii="Times New Roman" w:hAnsi="Times New Roman"/>
          <w:szCs w:val="24"/>
        </w:rPr>
        <w:t>。办公生活区已建综合办公楼、值班室、宿舍、食堂和锅炉房，生活区地面未硬化，生活废水处理设施未建。目前生活区正在建设中，未利用。办公生活区平面布置见图3.1-</w:t>
      </w:r>
      <w:r>
        <w:rPr>
          <w:rFonts w:hint="eastAsia" w:ascii="Times New Roman" w:hAnsi="Times New Roman"/>
          <w:szCs w:val="24"/>
        </w:rPr>
        <w:t>2。</w:t>
      </w:r>
    </w:p>
    <w:p>
      <w:pPr>
        <w:ind w:firstLine="0" w:firstLineChars="0"/>
        <w:outlineLvl w:val="2"/>
        <w:rPr>
          <w:rFonts w:ascii="Times New Roman" w:hAnsi="Times New Roman"/>
          <w:b/>
          <w:sz w:val="28"/>
          <w:szCs w:val="28"/>
        </w:rPr>
      </w:pPr>
      <w:bookmarkStart w:id="36" w:name="_Toc524624571"/>
      <w:r>
        <w:rPr>
          <w:rFonts w:ascii="Times New Roman" w:hAnsi="Times New Roman"/>
          <w:b/>
          <w:sz w:val="28"/>
          <w:szCs w:val="28"/>
        </w:rPr>
        <w:t>3.1.3 现有污染源调查</w:t>
      </w:r>
      <w:bookmarkEnd w:id="36"/>
    </w:p>
    <w:p>
      <w:pPr>
        <w:snapToGrid w:val="0"/>
        <w:ind w:firstLine="480"/>
        <w:rPr>
          <w:rFonts w:ascii="Times New Roman" w:hAnsi="Times New Roman"/>
          <w:szCs w:val="24"/>
        </w:rPr>
      </w:pPr>
      <w:r>
        <w:rPr>
          <w:rFonts w:ascii="Times New Roman" w:hAnsi="Times New Roman"/>
          <w:szCs w:val="24"/>
        </w:rPr>
        <w:t>（1）废气</w:t>
      </w:r>
    </w:p>
    <w:p>
      <w:pPr>
        <w:snapToGrid w:val="0"/>
        <w:ind w:firstLine="480"/>
        <w:rPr>
          <w:rFonts w:ascii="Times New Roman" w:hAnsi="Times New Roman"/>
          <w:szCs w:val="24"/>
        </w:rPr>
      </w:pPr>
      <w:r>
        <w:rPr>
          <w:rFonts w:ascii="Times New Roman" w:hAnsi="Times New Roman"/>
          <w:szCs w:val="24"/>
        </w:rPr>
        <w:t>现有项目仅在办公生活区设置有两台燃气锅炉（一开一备），由于办公生活区正在建设中，两台燃气锅炉未利用。现有项目大气污染主要来源于煤成气集输过程中挥发的烃类气体以及汽车运输中产生的汽车尾气。</w:t>
      </w:r>
    </w:p>
    <w:p>
      <w:pPr>
        <w:snapToGrid w:val="0"/>
        <w:ind w:firstLine="480"/>
        <w:rPr>
          <w:rFonts w:ascii="Times New Roman" w:hAnsi="Times New Roman"/>
          <w:szCs w:val="24"/>
        </w:rPr>
      </w:pPr>
      <w:r>
        <w:rPr>
          <w:rFonts w:ascii="Times New Roman" w:hAnsi="Times New Roman"/>
          <w:szCs w:val="24"/>
        </w:rPr>
        <w:t>①集输过程挥发的烃类气体</w:t>
      </w:r>
    </w:p>
    <w:p>
      <w:pPr>
        <w:snapToGrid w:val="0"/>
        <w:ind w:firstLine="480"/>
        <w:rPr>
          <w:rFonts w:ascii="Times New Roman" w:hAnsi="Times New Roman"/>
          <w:szCs w:val="24"/>
        </w:rPr>
      </w:pPr>
      <w:r>
        <w:rPr>
          <w:rFonts w:ascii="Times New Roman"/>
          <w:szCs w:val="24"/>
        </w:rPr>
        <w:t>烃类气体的挥发损失存在于煤成气生产全过程的各个节点上，主要节点为单井、集气站等。煤成气集输及处理采用全密闭流程，极大的减少了烃类气体的挥发量，从国内外有关资料和类比国内其它油气田的实际运行数据来看，总损失率可控制在</w:t>
      </w:r>
      <w:r>
        <w:rPr>
          <w:rFonts w:ascii="Times New Roman" w:hAnsi="Times New Roman"/>
          <w:szCs w:val="24"/>
        </w:rPr>
        <w:t>0.4‰</w:t>
      </w:r>
      <w:r>
        <w:rPr>
          <w:rFonts w:ascii="Times New Roman"/>
          <w:szCs w:val="24"/>
        </w:rPr>
        <w:t>以下，即现有项目烃类无组织挥发量约为</w:t>
      </w:r>
      <w:r>
        <w:rPr>
          <w:rFonts w:ascii="Times New Roman" w:hAnsi="Times New Roman"/>
          <w:szCs w:val="24"/>
        </w:rPr>
        <w:t>1.8</w:t>
      </w:r>
      <w:r>
        <w:rPr>
          <w:rFonts w:hint="eastAsia" w:ascii="Times New Roman" w:hAnsi="Times New Roman"/>
          <w:szCs w:val="24"/>
        </w:rPr>
        <w:t>5</w:t>
      </w:r>
      <w:r>
        <w:rPr>
          <w:rFonts w:ascii="Times New Roman" w:hAnsi="Times New Roman"/>
          <w:szCs w:val="24"/>
        </w:rPr>
        <w:t>万m</w:t>
      </w:r>
      <w:r>
        <w:rPr>
          <w:rFonts w:ascii="Times New Roman" w:hAnsi="Times New Roman"/>
          <w:szCs w:val="24"/>
          <w:vertAlign w:val="superscript"/>
        </w:rPr>
        <w:t>3</w:t>
      </w:r>
      <w:r>
        <w:rPr>
          <w:rFonts w:ascii="Times New Roman" w:hAnsi="Times New Roman"/>
          <w:szCs w:val="24"/>
        </w:rPr>
        <w:t>/a。</w:t>
      </w:r>
    </w:p>
    <w:p>
      <w:pPr>
        <w:snapToGrid w:val="0"/>
        <w:ind w:firstLine="480"/>
        <w:rPr>
          <w:rFonts w:ascii="Times New Roman" w:hAnsi="Times New Roman"/>
          <w:szCs w:val="24"/>
        </w:rPr>
      </w:pPr>
      <w:r>
        <w:rPr>
          <w:rFonts w:ascii="Times New Roman" w:hAnsi="Times New Roman"/>
          <w:szCs w:val="24"/>
        </w:rPr>
        <w:t>②汽车尾气</w:t>
      </w:r>
    </w:p>
    <w:p>
      <w:pPr>
        <w:snapToGrid w:val="0"/>
        <w:ind w:firstLine="480"/>
        <w:rPr>
          <w:rFonts w:ascii="Times New Roman" w:hAnsi="Times New Roman"/>
          <w:szCs w:val="24"/>
        </w:rPr>
      </w:pPr>
      <w:r>
        <w:rPr>
          <w:rFonts w:ascii="Times New Roman" w:hAnsi="Times New Roman"/>
          <w:szCs w:val="24"/>
        </w:rPr>
        <w:t>现有项目已进入生产期，期间仅有维修和运输车辆出入，车辆尾气为流动源，主要污染物为CO、NOx以及烃类污染物，污染物的排放浓度较小。</w:t>
      </w:r>
    </w:p>
    <w:p>
      <w:pPr>
        <w:snapToGrid w:val="0"/>
        <w:ind w:firstLine="480"/>
        <w:rPr>
          <w:rFonts w:ascii="Times New Roman" w:hAnsi="Times New Roman"/>
          <w:szCs w:val="24"/>
        </w:rPr>
      </w:pPr>
      <w:r>
        <w:rPr>
          <w:rFonts w:ascii="Times New Roman" w:hAnsi="Times New Roman"/>
          <w:szCs w:val="24"/>
        </w:rPr>
        <w:t>先导试验区处于空旷地带，扩散条件好，现有项目主要气体污染物均可达标排放。</w:t>
      </w:r>
    </w:p>
    <w:p>
      <w:pPr>
        <w:snapToGrid w:val="0"/>
        <w:ind w:firstLine="480"/>
        <w:rPr>
          <w:rFonts w:ascii="Times New Roman" w:hAnsi="Times New Roman"/>
          <w:szCs w:val="24"/>
        </w:rPr>
      </w:pPr>
      <w:r>
        <w:rPr>
          <w:rFonts w:ascii="Times New Roman" w:hAnsi="Times New Roman"/>
          <w:szCs w:val="24"/>
        </w:rPr>
        <w:t>（2）废水</w:t>
      </w:r>
    </w:p>
    <w:p>
      <w:pPr>
        <w:snapToGrid w:val="0"/>
        <w:ind w:firstLine="480"/>
        <w:rPr>
          <w:rFonts w:ascii="Times New Roman" w:hAnsi="Times New Roman"/>
          <w:szCs w:val="24"/>
        </w:rPr>
      </w:pPr>
      <w:r>
        <w:rPr>
          <w:rFonts w:hint="eastAsia" w:ascii="Times New Roman" w:hAnsi="Times New Roman"/>
          <w:szCs w:val="24"/>
        </w:rPr>
        <w:t>①工业废水</w:t>
      </w:r>
    </w:p>
    <w:p>
      <w:pPr>
        <w:snapToGrid w:val="0"/>
        <w:ind w:firstLine="480"/>
        <w:rPr>
          <w:rFonts w:ascii="Times New Roman" w:hAnsi="Times New Roman"/>
          <w:szCs w:val="24"/>
        </w:rPr>
      </w:pPr>
      <w:r>
        <w:rPr>
          <w:rFonts w:ascii="Times New Roman" w:hAnsi="Times New Roman"/>
          <w:szCs w:val="24"/>
        </w:rPr>
        <w:t>现有项目运营期间</w:t>
      </w:r>
      <w:r>
        <w:rPr>
          <w:rFonts w:hint="eastAsia" w:ascii="Times New Roman" w:hAnsi="Times New Roman"/>
          <w:szCs w:val="24"/>
        </w:rPr>
        <w:t>生产</w:t>
      </w:r>
      <w:r>
        <w:rPr>
          <w:rFonts w:ascii="Times New Roman" w:hAnsi="Times New Roman"/>
          <w:szCs w:val="24"/>
        </w:rPr>
        <w:t>废水主要来自采出水，产生量为</w:t>
      </w:r>
      <w:r>
        <w:rPr>
          <w:rFonts w:hint="eastAsia" w:ascii="Times New Roman" w:hAnsi="Times New Roman"/>
          <w:szCs w:val="24"/>
        </w:rPr>
        <w:t>942</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/a，采出水经罐车运输至</w:t>
      </w:r>
      <w:r>
        <w:rPr>
          <w:rFonts w:hint="eastAsia" w:ascii="Times New Roman" w:hAnsi="Times New Roman"/>
          <w:szCs w:val="24"/>
        </w:rPr>
        <w:t>地下</w:t>
      </w:r>
      <w:r>
        <w:rPr>
          <w:rFonts w:ascii="Times New Roman" w:hAnsi="Times New Roman"/>
          <w:szCs w:val="24"/>
        </w:rPr>
        <w:t>蒸发池自燃蒸发，不外排。</w:t>
      </w:r>
      <w:r>
        <w:rPr>
          <w:rFonts w:hint="eastAsia" w:ascii="Times New Roman" w:hAnsi="Times New Roman"/>
          <w:szCs w:val="24"/>
        </w:rPr>
        <w:t>地下蒸发池内现存有采出水875m</w:t>
      </w:r>
      <w:r>
        <w:rPr>
          <w:rFonts w:hint="eastAsia" w:ascii="Times New Roman" w:hAnsi="Times New Roman"/>
          <w:szCs w:val="24"/>
          <w:vertAlign w:val="superscript"/>
        </w:rPr>
        <w:t>3</w:t>
      </w:r>
      <w:r>
        <w:rPr>
          <w:rFonts w:hint="eastAsia" w:ascii="Times New Roman" w:hAnsi="Times New Roman"/>
          <w:szCs w:val="24"/>
        </w:rPr>
        <w:t>，2018年7月采出水全部抽至地上3000m</w:t>
      </w:r>
      <w:r>
        <w:rPr>
          <w:rFonts w:hint="eastAsia" w:ascii="Times New Roman" w:hAnsi="Times New Roman"/>
          <w:szCs w:val="24"/>
          <w:vertAlign w:val="superscript"/>
        </w:rPr>
        <w:t>3</w:t>
      </w:r>
      <w:r>
        <w:rPr>
          <w:rFonts w:hint="eastAsia" w:ascii="Times New Roman" w:hAnsi="Times New Roman"/>
          <w:szCs w:val="24"/>
        </w:rPr>
        <w:t>铁皮蒸发池内。</w:t>
      </w:r>
      <w:r>
        <w:rPr>
          <w:rFonts w:ascii="Times New Roman" w:hAnsi="Times New Roman"/>
          <w:szCs w:val="24"/>
        </w:rPr>
        <w:t>现有采出水水质见表3.1-</w:t>
      </w:r>
      <w:r>
        <w:rPr>
          <w:rFonts w:hint="eastAsia" w:ascii="Times New Roman" w:hAnsi="Times New Roman"/>
          <w:szCs w:val="24"/>
        </w:rPr>
        <w:t>2。</w:t>
      </w:r>
    </w:p>
    <w:p>
      <w:pPr>
        <w:spacing w:before="156" w:beforeLines="50" w:line="240" w:lineRule="auto"/>
        <w:ind w:firstLine="0" w:firstLineChars="0"/>
        <w:jc w:val="center"/>
      </w:pPr>
      <w:r>
        <w:rPr>
          <w:rFonts w:hint="eastAsia" w:ascii="Times New Roman" w:hAnsi="宋体"/>
          <w:b/>
          <w:sz w:val="21"/>
        </w:rPr>
        <w:t xml:space="preserve">                     </w:t>
      </w:r>
      <w:r>
        <w:rPr>
          <w:rFonts w:ascii="Times New Roman" w:hAnsi="宋体"/>
          <w:b/>
          <w:sz w:val="21"/>
        </w:rPr>
        <w:t>表3.1-</w:t>
      </w:r>
      <w:r>
        <w:rPr>
          <w:rFonts w:hint="eastAsia" w:ascii="Times New Roman" w:hAnsi="宋体"/>
          <w:b/>
          <w:sz w:val="21"/>
        </w:rPr>
        <w:t xml:space="preserve">2 </w:t>
      </w:r>
      <w:r>
        <w:rPr>
          <w:rFonts w:ascii="Times New Roman" w:hAnsi="宋体"/>
          <w:b/>
          <w:sz w:val="21"/>
        </w:rPr>
        <w:t>现有采出水水质</w:t>
      </w:r>
      <w:r>
        <w:rPr>
          <w:rFonts w:hint="eastAsia" w:ascii="Times New Roman" w:hAnsi="宋体"/>
          <w:b/>
          <w:sz w:val="21"/>
        </w:rPr>
        <w:t xml:space="preserve">        单位：</w:t>
      </w:r>
      <w:r>
        <w:rPr>
          <w:rFonts w:ascii="Times New Roman" w:hAnsi="宋体"/>
          <w:b/>
          <w:sz w:val="21"/>
        </w:rPr>
        <w:t>mg/L</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723"/>
        <w:gridCol w:w="994"/>
        <w:gridCol w:w="994"/>
        <w:gridCol w:w="1102"/>
        <w:gridCol w:w="877"/>
        <w:gridCol w:w="877"/>
        <w:gridCol w:w="994"/>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1"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检测项目</w:t>
            </w:r>
          </w:p>
        </w:tc>
        <w:tc>
          <w:tcPr>
            <w:tcW w:w="42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PH</w:t>
            </w:r>
          </w:p>
        </w:tc>
        <w:tc>
          <w:tcPr>
            <w:tcW w:w="58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COD</w:t>
            </w:r>
          </w:p>
        </w:tc>
        <w:tc>
          <w:tcPr>
            <w:tcW w:w="583" w:type="pct"/>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SS</w:t>
            </w:r>
          </w:p>
        </w:tc>
        <w:tc>
          <w:tcPr>
            <w:tcW w:w="646" w:type="pct"/>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氨氮</w:t>
            </w:r>
          </w:p>
        </w:tc>
        <w:tc>
          <w:tcPr>
            <w:tcW w:w="51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硫酸盐</w:t>
            </w:r>
          </w:p>
        </w:tc>
        <w:tc>
          <w:tcPr>
            <w:tcW w:w="51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总硬度</w:t>
            </w:r>
          </w:p>
        </w:tc>
        <w:tc>
          <w:tcPr>
            <w:tcW w:w="583" w:type="pct"/>
            <w:vAlign w:val="center"/>
          </w:tcPr>
          <w:p>
            <w:pPr>
              <w:spacing w:line="240" w:lineRule="auto"/>
              <w:ind w:firstLine="0" w:firstLineChars="0"/>
              <w:jc w:val="center"/>
              <w:rPr>
                <w:rFonts w:ascii="Times New Roman" w:hAnsi="Times New Roman"/>
                <w:kern w:val="0"/>
                <w:sz w:val="21"/>
              </w:rPr>
            </w:pPr>
            <w:r>
              <w:rPr>
                <w:rFonts w:ascii="Times New Roman" w:hAnsi="Times New Roman"/>
                <w:kern w:val="0"/>
                <w:sz w:val="21"/>
              </w:rPr>
              <w:t>石油类</w:t>
            </w:r>
          </w:p>
        </w:tc>
        <w:tc>
          <w:tcPr>
            <w:tcW w:w="51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矿化度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1"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数值</w:t>
            </w:r>
          </w:p>
        </w:tc>
        <w:tc>
          <w:tcPr>
            <w:tcW w:w="42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6.5~7</w:t>
            </w:r>
          </w:p>
        </w:tc>
        <w:tc>
          <w:tcPr>
            <w:tcW w:w="583" w:type="pct"/>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138~143</w:t>
            </w:r>
          </w:p>
        </w:tc>
        <w:tc>
          <w:tcPr>
            <w:tcW w:w="583" w:type="pct"/>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152~159</w:t>
            </w:r>
          </w:p>
        </w:tc>
        <w:tc>
          <w:tcPr>
            <w:tcW w:w="646" w:type="pct"/>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8.48~8.85</w:t>
            </w:r>
          </w:p>
        </w:tc>
        <w:tc>
          <w:tcPr>
            <w:tcW w:w="514" w:type="pct"/>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3127.4</w:t>
            </w:r>
          </w:p>
        </w:tc>
        <w:tc>
          <w:tcPr>
            <w:tcW w:w="514" w:type="pct"/>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528.86</w:t>
            </w:r>
          </w:p>
        </w:tc>
        <w:tc>
          <w:tcPr>
            <w:tcW w:w="583" w:type="pct"/>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0.8~0.84</w:t>
            </w:r>
          </w:p>
        </w:tc>
        <w:tc>
          <w:tcPr>
            <w:tcW w:w="514" w:type="pct"/>
          </w:tcPr>
          <w:p>
            <w:pPr>
              <w:spacing w:line="240" w:lineRule="auto"/>
              <w:ind w:firstLine="0" w:firstLineChars="0"/>
              <w:jc w:val="center"/>
              <w:rPr>
                <w:rFonts w:ascii="Times New Roman" w:hAnsi="Times New Roman"/>
                <w:sz w:val="21"/>
                <w:lang w:val="zh-CN"/>
              </w:rPr>
            </w:pPr>
            <w:r>
              <w:rPr>
                <w:rFonts w:ascii="Times New Roman" w:hAnsi="Times New Roman"/>
                <w:sz w:val="21"/>
                <w:lang w:val="zh-CN"/>
              </w:rPr>
              <w:t>36581</w:t>
            </w:r>
          </w:p>
        </w:tc>
      </w:tr>
    </w:tbl>
    <w:p>
      <w:pPr>
        <w:snapToGrid w:val="0"/>
        <w:ind w:firstLine="0" w:firstLineChars="0"/>
        <w:rPr>
          <w:rFonts w:ascii="Times New Roman" w:hAnsi="Times New Roman"/>
        </w:rPr>
      </w:pPr>
      <w:r>
        <w:rPr>
          <w:rFonts w:ascii="Times New Roman" w:hAnsi="Times New Roman"/>
        </w:rPr>
        <w:t>注，数据来源于现有项目日常检测。</w:t>
      </w:r>
    </w:p>
    <w:p>
      <w:pPr>
        <w:snapToGrid w:val="0"/>
        <w:ind w:firstLine="480"/>
        <w:rPr>
          <w:rFonts w:ascii="Times New Roman" w:hAnsi="Times New Roman"/>
          <w:szCs w:val="24"/>
        </w:rPr>
      </w:pPr>
      <w:r>
        <w:rPr>
          <w:rFonts w:hint="eastAsia" w:ascii="Times New Roman" w:hAnsi="Times New Roman"/>
          <w:szCs w:val="24"/>
        </w:rPr>
        <w:t>②生活废水</w:t>
      </w:r>
    </w:p>
    <w:p>
      <w:pPr>
        <w:snapToGrid w:val="0"/>
        <w:ind w:firstLine="480"/>
        <w:rPr>
          <w:rFonts w:ascii="Times New Roman" w:hAnsi="Times New Roman"/>
          <w:szCs w:val="24"/>
        </w:rPr>
      </w:pPr>
      <w:r>
        <w:rPr>
          <w:rFonts w:hint="eastAsia" w:ascii="Times New Roman" w:hAnsi="Times New Roman"/>
          <w:szCs w:val="24"/>
          <w:lang w:val="zh-CN"/>
        </w:rPr>
        <w:t>临时</w:t>
      </w:r>
      <w:r>
        <w:rPr>
          <w:rFonts w:ascii="Times New Roman" w:hAnsi="Times New Roman"/>
          <w:szCs w:val="24"/>
          <w:lang w:val="zh-CN"/>
        </w:rPr>
        <w:t>集气站办公人员</w:t>
      </w:r>
      <w:r>
        <w:rPr>
          <w:rFonts w:hint="eastAsia" w:ascii="Times New Roman" w:hAnsi="Times New Roman"/>
          <w:szCs w:val="24"/>
          <w:lang w:val="zh-CN"/>
        </w:rPr>
        <w:t>3</w:t>
      </w:r>
      <w:r>
        <w:rPr>
          <w:rFonts w:ascii="Times New Roman" w:hAnsi="Times New Roman"/>
          <w:szCs w:val="24"/>
          <w:lang w:val="zh-CN"/>
        </w:rPr>
        <w:t>人，每人每天用水量按100L计算，则生活用水量为0.</w:t>
      </w:r>
      <w:r>
        <w:rPr>
          <w:rFonts w:hint="eastAsia" w:ascii="Times New Roman" w:hAnsi="Times New Roman"/>
          <w:szCs w:val="24"/>
          <w:lang w:val="zh-CN"/>
        </w:rPr>
        <w:t>3</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w:t>
      </w:r>
      <w:r>
        <w:rPr>
          <w:rFonts w:hint="eastAsia" w:ascii="Times New Roman" w:hAnsi="Times New Roman"/>
          <w:szCs w:val="24"/>
        </w:rPr>
        <w:t>临时集气站无旱厕，</w:t>
      </w:r>
      <w:r>
        <w:rPr>
          <w:rFonts w:ascii="Times New Roman" w:hAnsi="Times New Roman"/>
          <w:szCs w:val="24"/>
        </w:rPr>
        <w:t>生活废水主要为盥洗废水，产生量为0.</w:t>
      </w:r>
      <w:r>
        <w:rPr>
          <w:rFonts w:hint="eastAsia" w:ascii="Times New Roman" w:hAnsi="Times New Roman"/>
          <w:szCs w:val="24"/>
        </w:rPr>
        <w:t>24</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/d</w:t>
      </w:r>
      <w:r>
        <w:rPr>
          <w:rFonts w:hint="eastAsia" w:ascii="Times New Roman" w:hAnsi="Times New Roman"/>
          <w:szCs w:val="24"/>
        </w:rPr>
        <w:t>，</w:t>
      </w:r>
      <w:r>
        <w:rPr>
          <w:rFonts w:ascii="Times New Roman" w:hAnsi="Times New Roman"/>
          <w:szCs w:val="24"/>
        </w:rPr>
        <w:t>盥洗废水作为降尘</w:t>
      </w:r>
      <w:r>
        <w:rPr>
          <w:rFonts w:hint="eastAsia" w:ascii="Times New Roman" w:hAnsi="Times New Roman"/>
          <w:szCs w:val="24"/>
        </w:rPr>
        <w:t>用</w:t>
      </w:r>
      <w:r>
        <w:rPr>
          <w:rFonts w:ascii="Times New Roman" w:hAnsi="Times New Roman"/>
          <w:szCs w:val="24"/>
        </w:rPr>
        <w:t>水，不外排。</w:t>
      </w:r>
    </w:p>
    <w:p>
      <w:pPr>
        <w:snapToGrid w:val="0"/>
        <w:spacing w:before="156" w:beforeLines="50"/>
        <w:ind w:firstLine="480"/>
        <w:rPr>
          <w:rFonts w:ascii="Times New Roman" w:hAnsi="Times New Roman"/>
          <w:szCs w:val="24"/>
        </w:rPr>
      </w:pPr>
      <w:r>
        <w:rPr>
          <w:rFonts w:ascii="Times New Roman" w:hAnsi="Times New Roman"/>
          <w:szCs w:val="24"/>
        </w:rPr>
        <w:t>（3）固体废物</w:t>
      </w:r>
    </w:p>
    <w:p>
      <w:pPr>
        <w:snapToGrid w:val="0"/>
        <w:ind w:firstLine="480"/>
        <w:rPr>
          <w:rFonts w:ascii="Times New Roman" w:hAnsi="Times New Roman"/>
          <w:szCs w:val="24"/>
        </w:rPr>
      </w:pPr>
      <w:r>
        <w:rPr>
          <w:rFonts w:ascii="Times New Roman" w:hAnsi="Times New Roman"/>
          <w:szCs w:val="24"/>
        </w:rPr>
        <w:t>①</w:t>
      </w:r>
      <w:r>
        <w:rPr>
          <w:rFonts w:hint="eastAsia" w:ascii="Times New Roman" w:hAnsi="Times New Roman"/>
          <w:szCs w:val="24"/>
        </w:rPr>
        <w:t>凝析油</w:t>
      </w:r>
    </w:p>
    <w:p>
      <w:pPr>
        <w:snapToGrid w:val="0"/>
        <w:ind w:firstLine="480"/>
        <w:rPr>
          <w:rFonts w:ascii="Times New Roman" w:hAnsi="Times New Roman"/>
          <w:szCs w:val="24"/>
        </w:rPr>
      </w:pPr>
      <w:r>
        <w:rPr>
          <w:rFonts w:ascii="Times New Roman" w:hAnsi="Times New Roman"/>
          <w:szCs w:val="24"/>
        </w:rPr>
        <w:t>煤成气中夹带有极少量的</w:t>
      </w:r>
      <w:r>
        <w:rPr>
          <w:rFonts w:hint="eastAsia" w:ascii="Times New Roman" w:hAnsi="Times New Roman"/>
          <w:szCs w:val="24"/>
        </w:rPr>
        <w:t>凝析油</w:t>
      </w:r>
      <w:r>
        <w:rPr>
          <w:rFonts w:ascii="Times New Roman" w:hAnsi="Times New Roman"/>
          <w:szCs w:val="24"/>
        </w:rPr>
        <w:t>，</w:t>
      </w:r>
      <w:r>
        <w:rPr>
          <w:rFonts w:hint="eastAsia" w:ascii="Times New Roman" w:hAnsi="Times New Roman"/>
          <w:szCs w:val="24"/>
        </w:rPr>
        <w:t>现有工程</w:t>
      </w:r>
      <w:r>
        <w:rPr>
          <w:rFonts w:ascii="Times New Roman" w:hAnsi="Times New Roman"/>
          <w:szCs w:val="24"/>
        </w:rPr>
        <w:t>煤成气经集气站</w:t>
      </w:r>
      <w:r>
        <w:rPr>
          <w:rFonts w:hint="eastAsia" w:ascii="Times New Roman" w:hAnsi="Times New Roman"/>
          <w:szCs w:val="24"/>
        </w:rPr>
        <w:t>分离撬</w:t>
      </w:r>
      <w:r>
        <w:rPr>
          <w:rFonts w:ascii="Times New Roman" w:hAnsi="Times New Roman"/>
          <w:szCs w:val="24"/>
        </w:rPr>
        <w:t>分离后产生的</w:t>
      </w:r>
      <w:r>
        <w:rPr>
          <w:rFonts w:hint="eastAsia" w:ascii="Times New Roman" w:hAnsi="Times New Roman"/>
          <w:szCs w:val="24"/>
        </w:rPr>
        <w:t>凝析油</w:t>
      </w:r>
      <w:r>
        <w:rPr>
          <w:rFonts w:ascii="Times New Roman" w:hAnsi="Times New Roman"/>
          <w:szCs w:val="24"/>
        </w:rPr>
        <w:t>为</w:t>
      </w:r>
      <w:r>
        <w:rPr>
          <w:rFonts w:hint="eastAsia" w:ascii="Times New Roman" w:hAnsi="Times New Roman"/>
          <w:szCs w:val="24"/>
        </w:rPr>
        <w:t>1</w:t>
      </w:r>
      <w:r>
        <w:rPr>
          <w:rFonts w:ascii="Times New Roman" w:hAnsi="Times New Roman"/>
          <w:szCs w:val="24"/>
        </w:rPr>
        <w:t>3m</w:t>
      </w:r>
      <w:r>
        <w:rPr>
          <w:rFonts w:ascii="Times New Roman" w:hAnsi="Times New Roman"/>
          <w:szCs w:val="24"/>
          <w:vertAlign w:val="superscript"/>
        </w:rPr>
        <w:t>3</w:t>
      </w:r>
      <w:r>
        <w:rPr>
          <w:rFonts w:ascii="Times New Roman" w:hAnsi="Times New Roman"/>
          <w:szCs w:val="24"/>
        </w:rPr>
        <w:t>/a，储存在</w:t>
      </w:r>
      <w:r>
        <w:rPr>
          <w:rFonts w:hint="eastAsia" w:ascii="Times New Roman" w:hAnsi="Times New Roman"/>
          <w:szCs w:val="24"/>
        </w:rPr>
        <w:t>3</w:t>
      </w:r>
      <w:r>
        <w:rPr>
          <w:rFonts w:ascii="Times New Roman" w:hAnsi="Times New Roman"/>
          <w:szCs w:val="24"/>
        </w:rPr>
        <w:t>0m</w:t>
      </w:r>
      <w:r>
        <w:rPr>
          <w:rFonts w:ascii="Times New Roman" w:hAnsi="Times New Roman"/>
          <w:szCs w:val="24"/>
          <w:vertAlign w:val="superscript"/>
        </w:rPr>
        <w:t>3</w:t>
      </w:r>
      <w:r>
        <w:rPr>
          <w:rFonts w:ascii="Times New Roman" w:hAnsi="Times New Roman"/>
          <w:szCs w:val="24"/>
        </w:rPr>
        <w:t>的烃储罐中。由于目前烃储罐未满，仍在使用中。</w:t>
      </w:r>
    </w:p>
    <w:p>
      <w:pPr>
        <w:snapToGrid w:val="0"/>
        <w:ind w:firstLine="480"/>
        <w:rPr>
          <w:rFonts w:ascii="Times New Roman" w:hAnsi="Times New Roman"/>
          <w:szCs w:val="24"/>
        </w:rPr>
      </w:pPr>
      <w:r>
        <w:rPr>
          <w:rFonts w:hint="eastAsia" w:ascii="Times New Roman" w:hAnsi="Times New Roman"/>
          <w:szCs w:val="24"/>
        </w:rPr>
        <w:t>②</w:t>
      </w:r>
      <w:r>
        <w:rPr>
          <w:rFonts w:ascii="Times New Roman" w:hAnsi="Times New Roman"/>
          <w:szCs w:val="24"/>
        </w:rPr>
        <w:t>废弃分子筛</w:t>
      </w:r>
    </w:p>
    <w:p>
      <w:pPr>
        <w:snapToGrid w:val="0"/>
        <w:ind w:firstLine="480"/>
        <w:rPr>
          <w:rFonts w:ascii="Times New Roman" w:hAnsi="Times New Roman"/>
          <w:szCs w:val="24"/>
        </w:rPr>
      </w:pPr>
      <w:r>
        <w:rPr>
          <w:rFonts w:ascii="Times New Roman" w:hAnsi="Times New Roman"/>
          <w:szCs w:val="24"/>
        </w:rPr>
        <w:t>集气站中净化煤成气的离子分子筛定期更换，更换下来的分子筛由厂家回收处理后重复利用，到目前为止，分子筛未进行更换。</w:t>
      </w:r>
    </w:p>
    <w:p>
      <w:pPr>
        <w:ind w:firstLine="0" w:firstLineChars="0"/>
        <w:outlineLvl w:val="2"/>
        <w:rPr>
          <w:rFonts w:ascii="Times New Roman" w:hAnsi="Times New Roman"/>
          <w:b/>
          <w:sz w:val="28"/>
          <w:szCs w:val="28"/>
        </w:rPr>
      </w:pPr>
      <w:bookmarkStart w:id="37" w:name="_Toc524624572"/>
      <w:r>
        <w:rPr>
          <w:rFonts w:ascii="Times New Roman" w:hAnsi="Times New Roman"/>
          <w:b/>
          <w:sz w:val="28"/>
          <w:szCs w:val="28"/>
        </w:rPr>
        <w:t>3.1.4 现有污染源排放汇总</w:t>
      </w:r>
      <w:bookmarkEnd w:id="37"/>
    </w:p>
    <w:p>
      <w:pPr>
        <w:ind w:firstLine="480"/>
        <w:rPr>
          <w:rFonts w:ascii="Times New Roman" w:hAnsi="Times New Roman"/>
          <w:szCs w:val="24"/>
        </w:rPr>
      </w:pPr>
      <w:r>
        <w:rPr>
          <w:rFonts w:ascii="Times New Roman" w:hAnsi="Times New Roman"/>
          <w:szCs w:val="24"/>
        </w:rPr>
        <w:t>现有工程污染物排放汇总见3.1-</w:t>
      </w:r>
      <w:r>
        <w:rPr>
          <w:rFonts w:hint="eastAsia" w:ascii="Times New Roman" w:hAnsi="Times New Roman"/>
          <w:szCs w:val="24"/>
        </w:rPr>
        <w:t>3</w:t>
      </w:r>
      <w:r>
        <w:rPr>
          <w:rFonts w:ascii="Times New Roman" w:hAnsi="Times New Roman"/>
          <w:szCs w:val="24"/>
        </w:rPr>
        <w:t>。</w:t>
      </w:r>
    </w:p>
    <w:p>
      <w:pPr>
        <w:spacing w:before="156" w:beforeLines="50" w:line="240" w:lineRule="auto"/>
        <w:ind w:firstLine="0" w:firstLineChars="0"/>
        <w:jc w:val="center"/>
      </w:pPr>
      <w:r>
        <w:rPr>
          <w:rFonts w:ascii="Times New Roman" w:hAnsi="宋体"/>
          <w:b/>
          <w:sz w:val="21"/>
        </w:rPr>
        <w:t>表3.1-</w:t>
      </w:r>
      <w:r>
        <w:rPr>
          <w:rFonts w:hint="eastAsia" w:ascii="Times New Roman" w:hAnsi="宋体"/>
          <w:b/>
          <w:sz w:val="21"/>
        </w:rPr>
        <w:t xml:space="preserve">3 </w:t>
      </w:r>
      <w:r>
        <w:rPr>
          <w:rFonts w:ascii="Times New Roman" w:hAnsi="宋体"/>
          <w:b/>
          <w:sz w:val="21"/>
        </w:rPr>
        <w:t>现有项目污染物排放汇总表</w:t>
      </w:r>
    </w:p>
    <w:tbl>
      <w:tblPr>
        <w:tblStyle w:val="1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98"/>
        <w:gridCol w:w="1613"/>
        <w:gridCol w:w="841"/>
        <w:gridCol w:w="1017"/>
        <w:gridCol w:w="814"/>
        <w:gridCol w:w="31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类别</w:t>
            </w:r>
          </w:p>
        </w:tc>
        <w:tc>
          <w:tcPr>
            <w:tcW w:w="96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名称</w:t>
            </w:r>
          </w:p>
        </w:tc>
        <w:tc>
          <w:tcPr>
            <w:tcW w:w="505"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产生量</w:t>
            </w:r>
          </w:p>
        </w:tc>
        <w:tc>
          <w:tcPr>
            <w:tcW w:w="611"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削减量</w:t>
            </w:r>
          </w:p>
        </w:tc>
        <w:tc>
          <w:tcPr>
            <w:tcW w:w="48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排放量</w:t>
            </w:r>
          </w:p>
        </w:tc>
        <w:tc>
          <w:tcPr>
            <w:tcW w:w="1886"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废气</w:t>
            </w:r>
          </w:p>
        </w:tc>
        <w:tc>
          <w:tcPr>
            <w:tcW w:w="96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总烃（万m</w:t>
            </w:r>
            <w:r>
              <w:rPr>
                <w:rFonts w:ascii="Times New Roman" w:hAnsi="Times New Roman"/>
                <w:kern w:val="0"/>
                <w:sz w:val="21"/>
                <w:vertAlign w:val="superscript"/>
              </w:rPr>
              <w:t>3</w:t>
            </w:r>
            <w:r>
              <w:rPr>
                <w:rFonts w:ascii="Times New Roman" w:hAnsi="Times New Roman"/>
                <w:kern w:val="0"/>
                <w:sz w:val="21"/>
              </w:rPr>
              <w:t>/a）</w:t>
            </w:r>
          </w:p>
        </w:tc>
        <w:tc>
          <w:tcPr>
            <w:tcW w:w="505"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1.85</w:t>
            </w:r>
          </w:p>
        </w:tc>
        <w:tc>
          <w:tcPr>
            <w:tcW w:w="611"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48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1.85</w:t>
            </w:r>
          </w:p>
        </w:tc>
        <w:tc>
          <w:tcPr>
            <w:tcW w:w="1886"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油气集输过程挥发烃类气体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vMerge w:val="restar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废水</w:t>
            </w:r>
          </w:p>
        </w:tc>
        <w:tc>
          <w:tcPr>
            <w:tcW w:w="96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采出水（m</w:t>
            </w:r>
            <w:r>
              <w:rPr>
                <w:rFonts w:ascii="Times New Roman" w:hAnsi="Times New Roman"/>
                <w:kern w:val="0"/>
                <w:sz w:val="21"/>
                <w:vertAlign w:val="superscript"/>
              </w:rPr>
              <w:t>3</w:t>
            </w:r>
            <w:r>
              <w:rPr>
                <w:rFonts w:ascii="Times New Roman" w:hAnsi="Times New Roman"/>
                <w:kern w:val="0"/>
                <w:sz w:val="21"/>
              </w:rPr>
              <w:t>/a）</w:t>
            </w:r>
          </w:p>
        </w:tc>
        <w:tc>
          <w:tcPr>
            <w:tcW w:w="505"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942</w:t>
            </w:r>
          </w:p>
        </w:tc>
        <w:tc>
          <w:tcPr>
            <w:tcW w:w="611"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942</w:t>
            </w:r>
          </w:p>
        </w:tc>
        <w:tc>
          <w:tcPr>
            <w:tcW w:w="48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w:t>
            </w:r>
          </w:p>
        </w:tc>
        <w:tc>
          <w:tcPr>
            <w:tcW w:w="1886"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采出水经蒸发池自然蒸发不外排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vMerge w:val="continue"/>
            <w:tcMar>
              <w:left w:w="0" w:type="dxa"/>
              <w:right w:w="0" w:type="dxa"/>
            </w:tcMar>
            <w:vAlign w:val="center"/>
          </w:tcPr>
          <w:p>
            <w:pPr>
              <w:widowControl/>
              <w:spacing w:line="240" w:lineRule="auto"/>
              <w:ind w:firstLine="0" w:firstLineChars="0"/>
              <w:jc w:val="center"/>
              <w:rPr>
                <w:rFonts w:ascii="Times New Roman" w:hAnsi="Times New Roman"/>
                <w:kern w:val="0"/>
                <w:sz w:val="21"/>
              </w:rPr>
            </w:pPr>
          </w:p>
        </w:tc>
        <w:tc>
          <w:tcPr>
            <w:tcW w:w="96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生活污水</w:t>
            </w:r>
            <w:r>
              <w:rPr>
                <w:rFonts w:ascii="Times New Roman" w:hAnsi="Times New Roman"/>
                <w:kern w:val="0"/>
                <w:sz w:val="21"/>
              </w:rPr>
              <w:t>（m</w:t>
            </w:r>
            <w:r>
              <w:rPr>
                <w:rFonts w:ascii="Times New Roman" w:hAnsi="Times New Roman"/>
                <w:kern w:val="0"/>
                <w:sz w:val="21"/>
                <w:vertAlign w:val="superscript"/>
              </w:rPr>
              <w:t>3</w:t>
            </w:r>
            <w:r>
              <w:rPr>
                <w:rFonts w:ascii="Times New Roman" w:hAnsi="Times New Roman"/>
                <w:kern w:val="0"/>
                <w:sz w:val="21"/>
              </w:rPr>
              <w:t>/a）</w:t>
            </w:r>
          </w:p>
        </w:tc>
        <w:tc>
          <w:tcPr>
            <w:tcW w:w="505"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79.2</w:t>
            </w:r>
          </w:p>
        </w:tc>
        <w:tc>
          <w:tcPr>
            <w:tcW w:w="611"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79.2</w:t>
            </w:r>
          </w:p>
        </w:tc>
        <w:tc>
          <w:tcPr>
            <w:tcW w:w="48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0</w:t>
            </w:r>
          </w:p>
        </w:tc>
        <w:tc>
          <w:tcPr>
            <w:tcW w:w="1886"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用作降尘用水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固体废物</w:t>
            </w:r>
          </w:p>
        </w:tc>
        <w:tc>
          <w:tcPr>
            <w:tcW w:w="96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凝析油</w:t>
            </w:r>
            <w:r>
              <w:rPr>
                <w:rFonts w:ascii="Times New Roman" w:hAnsi="Times New Roman"/>
                <w:kern w:val="0"/>
                <w:sz w:val="21"/>
              </w:rPr>
              <w:t>（m</w:t>
            </w:r>
            <w:r>
              <w:rPr>
                <w:rFonts w:ascii="Times New Roman" w:hAnsi="Times New Roman"/>
                <w:kern w:val="0"/>
                <w:sz w:val="21"/>
                <w:vertAlign w:val="superscript"/>
              </w:rPr>
              <w:t>3</w:t>
            </w:r>
            <w:r>
              <w:rPr>
                <w:rFonts w:ascii="Times New Roman" w:hAnsi="Times New Roman"/>
                <w:kern w:val="0"/>
                <w:sz w:val="21"/>
              </w:rPr>
              <w:t>/a）</w:t>
            </w:r>
          </w:p>
        </w:tc>
        <w:tc>
          <w:tcPr>
            <w:tcW w:w="505"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13</w:t>
            </w:r>
          </w:p>
        </w:tc>
        <w:tc>
          <w:tcPr>
            <w:tcW w:w="611"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w:t>
            </w:r>
          </w:p>
        </w:tc>
        <w:tc>
          <w:tcPr>
            <w:tcW w:w="489"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hint="eastAsia" w:ascii="Times New Roman" w:hAnsi="Times New Roman"/>
                <w:kern w:val="0"/>
                <w:sz w:val="21"/>
              </w:rPr>
              <w:t>13</w:t>
            </w:r>
          </w:p>
        </w:tc>
        <w:tc>
          <w:tcPr>
            <w:tcW w:w="1886" w:type="pct"/>
            <w:tcMar>
              <w:left w:w="0" w:type="dxa"/>
              <w:right w:w="0" w:type="dxa"/>
            </w:tcMar>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暂存于烃储罐内，待储罐满后委托有资质的单位进行回收处理</w:t>
            </w:r>
          </w:p>
        </w:tc>
      </w:tr>
    </w:tbl>
    <w:p>
      <w:pPr>
        <w:spacing w:before="156" w:beforeLines="50" w:after="156" w:afterLines="50"/>
        <w:ind w:firstLine="0" w:firstLineChars="0"/>
        <w:outlineLvl w:val="1"/>
        <w:rPr>
          <w:rFonts w:ascii="Times New Roman" w:hAnsi="Times New Roman"/>
          <w:b/>
          <w:sz w:val="30"/>
          <w:szCs w:val="30"/>
        </w:rPr>
      </w:pPr>
      <w:bookmarkStart w:id="38" w:name="_Toc524624573"/>
      <w:r>
        <w:rPr>
          <w:rFonts w:ascii="Times New Roman" w:hAnsi="Times New Roman"/>
          <w:b/>
          <w:sz w:val="30"/>
          <w:szCs w:val="30"/>
        </w:rPr>
        <w:t>3.2 已采取的环保措施、存在环保问题及整改措施</w:t>
      </w:r>
      <w:bookmarkEnd w:id="38"/>
    </w:p>
    <w:p>
      <w:pPr>
        <w:ind w:firstLine="0" w:firstLineChars="0"/>
        <w:outlineLvl w:val="2"/>
        <w:rPr>
          <w:rFonts w:ascii="Times New Roman" w:hAnsi="Times New Roman"/>
          <w:b/>
          <w:sz w:val="28"/>
          <w:szCs w:val="28"/>
        </w:rPr>
      </w:pPr>
      <w:bookmarkStart w:id="39" w:name="_Toc524624574"/>
      <w:r>
        <w:rPr>
          <w:rFonts w:ascii="Times New Roman" w:hAnsi="Times New Roman"/>
          <w:b/>
          <w:sz w:val="28"/>
          <w:szCs w:val="28"/>
        </w:rPr>
        <w:t>3.2.1 先导试验区环评及验收</w:t>
      </w:r>
      <w:bookmarkEnd w:id="39"/>
    </w:p>
    <w:p>
      <w:pPr>
        <w:snapToGrid w:val="0"/>
        <w:ind w:firstLine="480"/>
        <w:rPr>
          <w:rFonts w:ascii="Times New Roman" w:hAnsi="Times New Roman"/>
          <w:szCs w:val="24"/>
        </w:rPr>
      </w:pPr>
      <w:r>
        <w:rPr>
          <w:rFonts w:ascii="Times New Roman" w:hAnsi="Times New Roman"/>
          <w:szCs w:val="24"/>
        </w:rPr>
        <w:t>2015年中联煤层气有限责任公司委托煤炭科学技术研究院有限公司编制完成了《临兴区块先导试验项目环境影响报告表》；2016年3月16日吕梁市环境保护局以吕环行审[2016]17号出具了</w:t>
      </w:r>
      <w:r>
        <w:rPr>
          <w:rFonts w:asciiTheme="minorEastAsia" w:hAnsiTheme="minorEastAsia" w:eastAsiaTheme="minorEastAsia"/>
          <w:szCs w:val="24"/>
        </w:rPr>
        <w:t>“关于中联煤层气有限责任公司临兴区块先导试验项目环境影响报告表的批复”</w:t>
      </w:r>
      <w:r>
        <w:rPr>
          <w:rFonts w:ascii="Times New Roman" w:hAnsi="Times New Roman"/>
          <w:szCs w:val="24"/>
        </w:rPr>
        <w:t>。</w:t>
      </w:r>
    </w:p>
    <w:p>
      <w:pPr>
        <w:snapToGrid w:val="0"/>
        <w:ind w:firstLine="480"/>
        <w:rPr>
          <w:rFonts w:ascii="Times New Roman" w:hAnsi="Times New Roman"/>
          <w:szCs w:val="24"/>
        </w:rPr>
      </w:pPr>
      <w:r>
        <w:rPr>
          <w:rFonts w:ascii="Times New Roman" w:hAnsi="Times New Roman"/>
          <w:szCs w:val="24"/>
        </w:rPr>
        <w:t>由于《临兴区块先导试验项目环境影响报告表》中临时集气站在永久集气站建成后将拆除，办公生活区还未建成，因此建设单位未申请进行竣工验收。</w:t>
      </w:r>
    </w:p>
    <w:p>
      <w:pPr>
        <w:ind w:firstLine="0" w:firstLineChars="0"/>
        <w:outlineLvl w:val="2"/>
        <w:rPr>
          <w:rFonts w:ascii="Times New Roman" w:hAnsi="Times New Roman"/>
          <w:b/>
          <w:sz w:val="28"/>
          <w:szCs w:val="28"/>
        </w:rPr>
      </w:pPr>
      <w:bookmarkStart w:id="40" w:name="_Toc524624575"/>
      <w:r>
        <w:rPr>
          <w:rFonts w:ascii="Times New Roman" w:hAnsi="Times New Roman"/>
          <w:b/>
          <w:sz w:val="28"/>
          <w:szCs w:val="28"/>
        </w:rPr>
        <w:t>3.2.2 现有项目采取的主要环保措施</w:t>
      </w:r>
      <w:bookmarkEnd w:id="40"/>
    </w:p>
    <w:p>
      <w:pPr>
        <w:snapToGrid w:val="0"/>
        <w:ind w:firstLine="480"/>
        <w:rPr>
          <w:rFonts w:ascii="Times New Roman" w:hAnsi="Times New Roman"/>
          <w:szCs w:val="24"/>
        </w:rPr>
      </w:pPr>
      <w:r>
        <w:rPr>
          <w:rFonts w:ascii="Times New Roman" w:hAnsi="Times New Roman"/>
          <w:szCs w:val="24"/>
        </w:rPr>
        <w:t>根据对现有项目现场调查，现有项目主要采取了以下污染物控制措施：</w:t>
      </w:r>
    </w:p>
    <w:p>
      <w:pPr>
        <w:snapToGrid w:val="0"/>
        <w:ind w:firstLine="480"/>
        <w:rPr>
          <w:rFonts w:ascii="Times New Roman" w:hAnsi="Times New Roman"/>
          <w:szCs w:val="24"/>
        </w:rPr>
      </w:pPr>
      <w:r>
        <w:rPr>
          <w:rFonts w:ascii="Times New Roman" w:hAnsi="Times New Roman"/>
          <w:szCs w:val="24"/>
        </w:rPr>
        <w:t>（1）采出水经蒸发池自然蒸发不外排。</w:t>
      </w:r>
    </w:p>
    <w:p>
      <w:pPr>
        <w:snapToGrid w:val="0"/>
        <w:ind w:firstLine="480"/>
        <w:rPr>
          <w:rFonts w:ascii="Times New Roman" w:hAnsi="Times New Roman"/>
          <w:szCs w:val="24"/>
        </w:rPr>
      </w:pPr>
      <w:r>
        <w:rPr>
          <w:rFonts w:ascii="Times New Roman" w:hAnsi="Times New Roman"/>
          <w:szCs w:val="24"/>
        </w:rPr>
        <w:t>（2）钻井时，废弃泥浆均排入防渗泥浆</w:t>
      </w:r>
      <w:r>
        <w:rPr>
          <w:rFonts w:hint="eastAsia" w:ascii="Times New Roman" w:hAnsi="Times New Roman"/>
          <w:szCs w:val="24"/>
        </w:rPr>
        <w:t>池内</w:t>
      </w:r>
      <w:r>
        <w:rPr>
          <w:rFonts w:ascii="Times New Roman" w:hAnsi="Times New Roman"/>
          <w:szCs w:val="24"/>
        </w:rPr>
        <w:t>，并</w:t>
      </w:r>
      <w:r>
        <w:rPr>
          <w:rFonts w:hint="eastAsia" w:ascii="Times New Roman" w:hAnsi="Times New Roman"/>
          <w:szCs w:val="24"/>
        </w:rPr>
        <w:t>进行</w:t>
      </w:r>
      <w:r>
        <w:rPr>
          <w:rFonts w:ascii="Times New Roman" w:hAnsi="Times New Roman"/>
          <w:szCs w:val="24"/>
        </w:rPr>
        <w:t>无害化处理，</w:t>
      </w:r>
      <w:r>
        <w:rPr>
          <w:rFonts w:hint="eastAsia" w:ascii="Times New Roman" w:hAnsi="Times New Roman"/>
          <w:szCs w:val="24"/>
        </w:rPr>
        <w:t>处理后</w:t>
      </w:r>
      <w:r>
        <w:rPr>
          <w:rFonts w:ascii="Times New Roman" w:hAnsi="Times New Roman"/>
          <w:szCs w:val="24"/>
        </w:rPr>
        <w:t>覆土恢复植被。</w:t>
      </w:r>
    </w:p>
    <w:p>
      <w:pPr>
        <w:snapToGrid w:val="0"/>
        <w:ind w:firstLine="480"/>
        <w:rPr>
          <w:rFonts w:ascii="Times New Roman" w:hAnsi="Times New Roman"/>
          <w:szCs w:val="24"/>
        </w:rPr>
      </w:pPr>
      <w:r>
        <w:rPr>
          <w:rFonts w:ascii="Times New Roman" w:hAnsi="Times New Roman"/>
          <w:szCs w:val="24"/>
        </w:rPr>
        <w:t>（3）成立了由公司主管领导，采气队长及工程技术人员组成的防污染领导小组，负责污染防治工作的领导检查处理工作，特别是防止突发性泄露煤成气污染环境事故的发生做了大量细致的工作，制定了应急处理方案和措施。</w:t>
      </w:r>
    </w:p>
    <w:p>
      <w:pPr>
        <w:ind w:firstLine="0" w:firstLineChars="0"/>
        <w:outlineLvl w:val="2"/>
        <w:rPr>
          <w:rFonts w:ascii="Times New Roman" w:hAnsi="Times New Roman"/>
          <w:b/>
          <w:sz w:val="28"/>
          <w:szCs w:val="28"/>
        </w:rPr>
      </w:pPr>
      <w:bookmarkStart w:id="41" w:name="_Toc524624576"/>
      <w:r>
        <w:rPr>
          <w:rFonts w:ascii="Times New Roman" w:hAnsi="Times New Roman"/>
          <w:b/>
          <w:sz w:val="28"/>
          <w:szCs w:val="28"/>
        </w:rPr>
        <w:t>3.2.3 现有项目存在的环保问题</w:t>
      </w:r>
      <w:bookmarkEnd w:id="41"/>
    </w:p>
    <w:p>
      <w:pPr>
        <w:snapToGrid w:val="0"/>
        <w:ind w:firstLine="480"/>
        <w:rPr>
          <w:rFonts w:ascii="Times New Roman" w:hAnsi="Times New Roman"/>
          <w:szCs w:val="24"/>
        </w:rPr>
      </w:pPr>
      <w:r>
        <w:rPr>
          <w:rFonts w:hint="eastAsia" w:ascii="Times New Roman" w:hAnsi="Times New Roman"/>
          <w:szCs w:val="24"/>
        </w:rPr>
        <w:t>（1）</w:t>
      </w:r>
      <w:r>
        <w:rPr>
          <w:rFonts w:ascii="Times New Roman" w:hAnsi="Times New Roman"/>
          <w:szCs w:val="24"/>
        </w:rPr>
        <w:t>现有项目井场和集气站破坏的植被以自然恢复为主，由于当地降雨量少，植被恢复效果不明显。</w:t>
      </w:r>
    </w:p>
    <w:p>
      <w:pPr>
        <w:snapToGrid w:val="0"/>
        <w:ind w:firstLine="480"/>
        <w:rPr>
          <w:rFonts w:ascii="Times New Roman" w:hAnsi="Times New Roman"/>
          <w:szCs w:val="24"/>
        </w:rPr>
      </w:pPr>
      <w:r>
        <w:rPr>
          <w:rFonts w:hint="eastAsia" w:ascii="Times New Roman" w:hAnsi="Times New Roman"/>
          <w:szCs w:val="24"/>
        </w:rPr>
        <w:t>（2）随着项目煤成气采气量的增加，采出水量将大幅增加，现有自然蒸发池将不能满足未来采出水的处理需求，因此需新建采出水处理站。</w:t>
      </w:r>
    </w:p>
    <w:p>
      <w:pPr>
        <w:ind w:firstLine="0" w:firstLineChars="0"/>
        <w:outlineLvl w:val="2"/>
        <w:rPr>
          <w:rFonts w:ascii="Times New Roman" w:hAnsi="Times New Roman"/>
          <w:b/>
          <w:sz w:val="28"/>
          <w:szCs w:val="28"/>
        </w:rPr>
      </w:pPr>
      <w:bookmarkStart w:id="42" w:name="_Toc524624577"/>
      <w:r>
        <w:rPr>
          <w:rFonts w:ascii="Times New Roman" w:hAnsi="Times New Roman"/>
          <w:b/>
          <w:sz w:val="28"/>
          <w:szCs w:val="28"/>
        </w:rPr>
        <w:t>3.2.4 现有项目整改措施</w:t>
      </w:r>
      <w:bookmarkEnd w:id="42"/>
    </w:p>
    <w:p>
      <w:pPr>
        <w:snapToGrid w:val="0"/>
        <w:ind w:firstLine="480"/>
        <w:rPr>
          <w:rFonts w:ascii="Times New Roman" w:hAnsi="Times New Roman"/>
          <w:szCs w:val="24"/>
        </w:rPr>
      </w:pPr>
      <w:r>
        <w:rPr>
          <w:rFonts w:ascii="Times New Roman" w:hAnsi="Times New Roman"/>
          <w:szCs w:val="24"/>
        </w:rPr>
        <w:t>对现有项目引起的植被破坏区域，采用人工种植的方式，加快恢复。</w:t>
      </w:r>
      <w:r>
        <w:rPr>
          <w:rFonts w:hint="eastAsia" w:ascii="Times New Roman" w:hAnsi="Times New Roman"/>
          <w:szCs w:val="24"/>
        </w:rPr>
        <w:t>新建采出水处理站对项目采出水进行处理，保证采出水不外排。</w:t>
      </w:r>
    </w:p>
    <w:p>
      <w:pPr>
        <w:spacing w:before="156" w:beforeLines="50" w:after="156" w:afterLines="50"/>
        <w:ind w:firstLine="0" w:firstLineChars="0"/>
        <w:outlineLvl w:val="1"/>
        <w:rPr>
          <w:rFonts w:ascii="Times New Roman" w:hAnsi="Times New Roman"/>
          <w:b/>
          <w:sz w:val="30"/>
          <w:szCs w:val="30"/>
        </w:rPr>
      </w:pPr>
      <w:bookmarkStart w:id="43" w:name="_Toc524624578"/>
      <w:r>
        <w:rPr>
          <w:rFonts w:ascii="Times New Roman" w:hAnsi="Times New Roman"/>
          <w:b/>
          <w:sz w:val="30"/>
          <w:szCs w:val="30"/>
        </w:rPr>
        <w:t>3.3 扩建项目概况</w:t>
      </w:r>
      <w:bookmarkEnd w:id="43"/>
    </w:p>
    <w:p>
      <w:pPr>
        <w:snapToGrid w:val="0"/>
        <w:ind w:firstLine="480"/>
        <w:rPr>
          <w:rFonts w:ascii="Times New Roman" w:hAnsi="Times New Roman"/>
          <w:szCs w:val="24"/>
        </w:rPr>
      </w:pPr>
      <w:r>
        <w:rPr>
          <w:rFonts w:ascii="Times New Roman" w:hAnsi="Times New Roman"/>
          <w:szCs w:val="24"/>
        </w:rPr>
        <w:t>项目名称：</w:t>
      </w:r>
      <w:r>
        <w:rPr>
          <w:rFonts w:hint="eastAsia" w:ascii="Times New Roman" w:hAnsi="Times New Roman"/>
          <w:szCs w:val="24"/>
        </w:rPr>
        <w:t>临兴区块先导试验项目扩建工程</w:t>
      </w:r>
      <w:r>
        <w:rPr>
          <w:rFonts w:ascii="Times New Roman" w:hAnsi="Times New Roman"/>
          <w:szCs w:val="24"/>
        </w:rPr>
        <w:t>；</w:t>
      </w:r>
    </w:p>
    <w:p>
      <w:pPr>
        <w:snapToGrid w:val="0"/>
        <w:ind w:firstLine="480"/>
        <w:rPr>
          <w:rFonts w:ascii="Times New Roman" w:hAnsi="Times New Roman"/>
          <w:szCs w:val="24"/>
        </w:rPr>
      </w:pPr>
      <w:r>
        <w:rPr>
          <w:rFonts w:ascii="Times New Roman" w:hAnsi="Times New Roman"/>
          <w:szCs w:val="24"/>
        </w:rPr>
        <w:t>项目性质：扩建；</w:t>
      </w:r>
    </w:p>
    <w:p>
      <w:pPr>
        <w:snapToGrid w:val="0"/>
        <w:ind w:firstLine="480"/>
        <w:rPr>
          <w:rFonts w:ascii="Times New Roman" w:hAnsi="Times New Roman"/>
          <w:szCs w:val="24"/>
        </w:rPr>
      </w:pPr>
      <w:r>
        <w:rPr>
          <w:rFonts w:ascii="Times New Roman" w:hAnsi="Times New Roman"/>
          <w:szCs w:val="24"/>
        </w:rPr>
        <w:t>建设单位：中联煤层气有限责任公司；</w:t>
      </w:r>
    </w:p>
    <w:p>
      <w:pPr>
        <w:snapToGrid w:val="0"/>
        <w:ind w:firstLine="480"/>
        <w:rPr>
          <w:rFonts w:ascii="Times New Roman" w:hAnsi="Times New Roman"/>
          <w:szCs w:val="24"/>
        </w:rPr>
      </w:pPr>
      <w:r>
        <w:rPr>
          <w:rFonts w:ascii="Times New Roman" w:hAnsi="Times New Roman"/>
          <w:szCs w:val="24"/>
        </w:rPr>
        <w:t>建设规模：共建井场7座，开发井31口，其中6座井场和25口开发井为原有，1座井场和6口开发井为新建，年产气能力1.6亿m</w:t>
      </w:r>
      <w:r>
        <w:rPr>
          <w:rFonts w:ascii="Times New Roman" w:hAnsi="Times New Roman"/>
          <w:szCs w:val="24"/>
          <w:vertAlign w:val="superscript"/>
        </w:rPr>
        <w:t>3</w:t>
      </w:r>
      <w:r>
        <w:rPr>
          <w:rFonts w:ascii="Times New Roman" w:hAnsi="Times New Roman"/>
          <w:szCs w:val="24"/>
        </w:rPr>
        <w:t>。新建集气站1座，设计年处理规模为3亿m</w:t>
      </w:r>
      <w:r>
        <w:rPr>
          <w:rFonts w:ascii="Times New Roman" w:hAnsi="Times New Roman"/>
          <w:szCs w:val="24"/>
          <w:vertAlign w:val="superscript"/>
        </w:rPr>
        <w:t>3</w:t>
      </w:r>
      <w:r>
        <w:rPr>
          <w:rFonts w:ascii="Times New Roman" w:hAnsi="Times New Roman"/>
          <w:szCs w:val="24"/>
        </w:rPr>
        <w:t>。新建采气管线总长度约</w:t>
      </w:r>
      <w:r>
        <w:rPr>
          <w:rFonts w:hint="eastAsia" w:ascii="Times New Roman" w:hAnsi="Times New Roman"/>
          <w:szCs w:val="24"/>
        </w:rPr>
        <w:t>1.8</w:t>
      </w:r>
      <w:r>
        <w:rPr>
          <w:rFonts w:ascii="Times New Roman" w:hAnsi="Times New Roman"/>
          <w:szCs w:val="24"/>
        </w:rPr>
        <w:t>km，集输干线总长度约</w:t>
      </w:r>
      <w:r>
        <w:rPr>
          <w:rFonts w:hint="eastAsia" w:ascii="Times New Roman" w:hAnsi="Times New Roman"/>
          <w:szCs w:val="24"/>
        </w:rPr>
        <w:t>0.2</w:t>
      </w:r>
      <w:r>
        <w:rPr>
          <w:rFonts w:ascii="Times New Roman" w:hAnsi="Times New Roman"/>
          <w:szCs w:val="24"/>
        </w:rPr>
        <w:t>km。</w:t>
      </w:r>
    </w:p>
    <w:p>
      <w:pPr>
        <w:ind w:firstLine="480"/>
        <w:rPr>
          <w:rFonts w:ascii="Times New Roman" w:hAnsi="Times New Roman"/>
          <w:szCs w:val="24"/>
        </w:rPr>
      </w:pPr>
      <w:r>
        <w:rPr>
          <w:rFonts w:ascii="Times New Roman" w:hAnsi="Times New Roman"/>
          <w:szCs w:val="24"/>
        </w:rPr>
        <w:t>占地面积：本</w:t>
      </w:r>
      <w:r>
        <w:rPr>
          <w:rFonts w:hint="eastAsia" w:ascii="Times New Roman" w:hAnsi="Times New Roman"/>
          <w:szCs w:val="24"/>
        </w:rPr>
        <w:t>扩建项目新增</w:t>
      </w:r>
      <w:r>
        <w:rPr>
          <w:rFonts w:ascii="Times New Roman" w:hAnsi="Times New Roman"/>
          <w:szCs w:val="24"/>
        </w:rPr>
        <w:t>占地面积为</w:t>
      </w:r>
      <w:r>
        <w:rPr>
          <w:rFonts w:hint="eastAsia" w:ascii="Times New Roman" w:hAnsi="Times New Roman"/>
          <w:szCs w:val="24"/>
        </w:rPr>
        <w:t>25944</w:t>
      </w:r>
      <w:r>
        <w:rPr>
          <w:rFonts w:ascii="Times New Roman" w:hAnsi="Times New Roman"/>
          <w:szCs w:val="24"/>
        </w:rPr>
        <w:t>m</w:t>
      </w:r>
      <w:r>
        <w:rPr>
          <w:rFonts w:hint="eastAsia" w:ascii="Times New Roman" w:hAnsi="Times New Roman"/>
          <w:szCs w:val="24"/>
          <w:vertAlign w:val="superscript"/>
        </w:rPr>
        <w:t>2</w:t>
      </w:r>
      <w:r>
        <w:rPr>
          <w:rFonts w:ascii="Times New Roman" w:hAnsi="Times New Roman"/>
          <w:szCs w:val="24"/>
        </w:rPr>
        <w:t>，其中永久占地</w:t>
      </w:r>
      <w:r>
        <w:rPr>
          <w:rFonts w:hint="eastAsia" w:ascii="Times New Roman" w:hAnsi="Times New Roman"/>
          <w:szCs w:val="24"/>
        </w:rPr>
        <w:t>16944</w:t>
      </w:r>
      <w:r>
        <w:rPr>
          <w:rFonts w:ascii="Times New Roman" w:hAnsi="Times New Roman"/>
          <w:szCs w:val="24"/>
        </w:rPr>
        <w:t>m</w:t>
      </w:r>
      <w:r>
        <w:rPr>
          <w:rFonts w:hint="eastAsia" w:ascii="Times New Roman" w:hAnsi="Times New Roman"/>
          <w:szCs w:val="24"/>
          <w:vertAlign w:val="superscript"/>
        </w:rPr>
        <w:t>2</w:t>
      </w:r>
      <w:r>
        <w:rPr>
          <w:rFonts w:ascii="Times New Roman" w:hAnsi="Times New Roman"/>
          <w:szCs w:val="24"/>
        </w:rPr>
        <w:t>，临时占地</w:t>
      </w:r>
      <w:r>
        <w:rPr>
          <w:rFonts w:hint="eastAsia" w:ascii="Times New Roman" w:hAnsi="Times New Roman"/>
          <w:szCs w:val="24"/>
        </w:rPr>
        <w:t>9000</w:t>
      </w:r>
      <w:r>
        <w:rPr>
          <w:rFonts w:ascii="Times New Roman" w:hAnsi="Times New Roman"/>
          <w:szCs w:val="24"/>
        </w:rPr>
        <w:t>m²。项目占</w:t>
      </w:r>
      <w:r>
        <w:rPr>
          <w:rFonts w:hint="eastAsia" w:ascii="Times New Roman" w:hAnsi="Times New Roman"/>
          <w:szCs w:val="24"/>
        </w:rPr>
        <w:t>地</w:t>
      </w:r>
      <w:r>
        <w:rPr>
          <w:rFonts w:ascii="Times New Roman" w:hAnsi="Times New Roman"/>
          <w:szCs w:val="24"/>
        </w:rPr>
        <w:t>均为</w:t>
      </w:r>
      <w:r>
        <w:rPr>
          <w:rFonts w:hint="eastAsia" w:ascii="Times New Roman" w:hAnsi="Times New Roman"/>
          <w:szCs w:val="24"/>
        </w:rPr>
        <w:t>荒</w:t>
      </w:r>
      <w:r>
        <w:rPr>
          <w:rFonts w:ascii="Times New Roman" w:hAnsi="Times New Roman"/>
          <w:szCs w:val="24"/>
        </w:rPr>
        <w:t>草地。</w:t>
      </w:r>
    </w:p>
    <w:p>
      <w:pPr>
        <w:snapToGrid w:val="0"/>
        <w:ind w:firstLine="480"/>
        <w:rPr>
          <w:rFonts w:ascii="Times New Roman" w:hAnsi="Times New Roman"/>
          <w:szCs w:val="24"/>
        </w:rPr>
      </w:pPr>
      <w:r>
        <w:rPr>
          <w:rFonts w:ascii="Times New Roman" w:hAnsi="Times New Roman"/>
          <w:szCs w:val="24"/>
        </w:rPr>
        <w:t>建设地点：山西省吕梁市兴县赵家坪乡，</w:t>
      </w:r>
      <w:r>
        <w:rPr>
          <w:rFonts w:hint="eastAsia" w:ascii="Times New Roman" w:hAnsi="Times New Roman"/>
          <w:szCs w:val="24"/>
        </w:rPr>
        <w:t>先导试验区</w:t>
      </w:r>
      <w:r>
        <w:rPr>
          <w:rFonts w:ascii="Times New Roman" w:hAnsi="Times New Roman"/>
          <w:szCs w:val="24"/>
        </w:rPr>
        <w:t>面积为20.54km</w:t>
      </w:r>
      <w:r>
        <w:rPr>
          <w:rFonts w:ascii="Times New Roman" w:hAnsi="Times New Roman"/>
          <w:szCs w:val="24"/>
          <w:vertAlign w:val="superscript"/>
        </w:rPr>
        <w:t>2</w:t>
      </w:r>
      <w:r>
        <w:rPr>
          <w:rFonts w:ascii="Times New Roman" w:hAnsi="Times New Roman"/>
          <w:szCs w:val="24"/>
        </w:rPr>
        <w:t>，拐点坐标见表3.3-1，地理位置详见图3.3-1；</w:t>
      </w:r>
    </w:p>
    <w:p>
      <w:pPr>
        <w:snapToGrid w:val="0"/>
        <w:ind w:firstLine="480"/>
        <w:rPr>
          <w:rFonts w:ascii="Times New Roman" w:hAnsi="Times New Roman"/>
          <w:szCs w:val="24"/>
        </w:rPr>
      </w:pPr>
      <w:r>
        <w:rPr>
          <w:rFonts w:ascii="Times New Roman" w:hAnsi="Times New Roman"/>
          <w:szCs w:val="24"/>
        </w:rPr>
        <w:t>工程投资：</w:t>
      </w:r>
      <w:r>
        <w:rPr>
          <w:rFonts w:hint="eastAsia" w:ascii="Times New Roman" w:hAnsi="Times New Roman"/>
          <w:szCs w:val="24"/>
        </w:rPr>
        <w:t>2988</w:t>
      </w:r>
      <w:r>
        <w:rPr>
          <w:rFonts w:ascii="Times New Roman" w:hAnsi="Times New Roman"/>
          <w:szCs w:val="24"/>
        </w:rPr>
        <w:t>万元；</w:t>
      </w:r>
    </w:p>
    <w:p>
      <w:pPr>
        <w:snapToGrid w:val="0"/>
        <w:ind w:firstLine="480"/>
        <w:rPr>
          <w:rFonts w:ascii="Times New Roman" w:hAnsi="Times New Roman"/>
          <w:szCs w:val="24"/>
        </w:rPr>
      </w:pPr>
      <w:r>
        <w:rPr>
          <w:rFonts w:ascii="Times New Roman" w:hAnsi="Times New Roman"/>
          <w:szCs w:val="24"/>
        </w:rPr>
        <w:t>工作制度：根据生产需要，生产岗位实行连续工作制，年工作330天；</w:t>
      </w:r>
    </w:p>
    <w:p>
      <w:pPr>
        <w:snapToGrid w:val="0"/>
        <w:ind w:firstLine="480"/>
        <w:rPr>
          <w:rFonts w:ascii="Times New Roman" w:hAnsi="Times New Roman"/>
          <w:szCs w:val="24"/>
        </w:rPr>
      </w:pPr>
      <w:r>
        <w:rPr>
          <w:rFonts w:ascii="Times New Roman" w:hAnsi="Times New Roman"/>
          <w:szCs w:val="24"/>
        </w:rPr>
        <w:t>劳动定员：办公生活区定员</w:t>
      </w:r>
      <w:r>
        <w:rPr>
          <w:rFonts w:hint="eastAsia" w:ascii="Times New Roman" w:hAnsi="Times New Roman"/>
          <w:szCs w:val="24"/>
        </w:rPr>
        <w:t>100</w:t>
      </w:r>
      <w:r>
        <w:rPr>
          <w:rFonts w:ascii="Times New Roman" w:hAnsi="Times New Roman"/>
          <w:szCs w:val="24"/>
        </w:rPr>
        <w:t>人。</w:t>
      </w:r>
    </w:p>
    <w:p>
      <w:pPr>
        <w:spacing w:line="240" w:lineRule="auto"/>
        <w:ind w:firstLine="0" w:firstLineChars="0"/>
        <w:jc w:val="center"/>
        <w:rPr>
          <w:b/>
          <w:bCs/>
        </w:rPr>
      </w:pPr>
      <w:r>
        <w:rPr>
          <w:rFonts w:ascii="Times New Roman" w:hAnsi="宋体"/>
          <w:b/>
          <w:sz w:val="21"/>
        </w:rPr>
        <w:t>表3.3-1 先导试验区拐点坐标</w:t>
      </w:r>
    </w:p>
    <w:tbl>
      <w:tblPr>
        <w:tblStyle w:val="18"/>
        <w:tblW w:w="5000" w:type="pct"/>
        <w:jc w:val="center"/>
        <w:tblLayout w:type="autofit"/>
        <w:tblCellMar>
          <w:top w:w="0" w:type="dxa"/>
          <w:left w:w="108" w:type="dxa"/>
          <w:bottom w:w="0" w:type="dxa"/>
          <w:right w:w="108" w:type="dxa"/>
        </w:tblCellMar>
      </w:tblPr>
      <w:tblGrid>
        <w:gridCol w:w="805"/>
        <w:gridCol w:w="1596"/>
        <w:gridCol w:w="1769"/>
        <w:gridCol w:w="699"/>
        <w:gridCol w:w="1914"/>
        <w:gridCol w:w="1745"/>
      </w:tblGrid>
      <w:tr>
        <w:tblPrEx>
          <w:tblCellMar>
            <w:top w:w="0" w:type="dxa"/>
            <w:left w:w="108" w:type="dxa"/>
            <w:bottom w:w="0" w:type="dxa"/>
            <w:right w:w="108" w:type="dxa"/>
          </w:tblCellMar>
        </w:tblPrEx>
        <w:trPr>
          <w:jc w:val="center"/>
        </w:trPr>
        <w:tc>
          <w:tcPr>
            <w:tcW w:w="47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序号</w:t>
            </w:r>
          </w:p>
        </w:tc>
        <w:tc>
          <w:tcPr>
            <w:tcW w:w="93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经度</w:t>
            </w:r>
          </w:p>
        </w:tc>
        <w:tc>
          <w:tcPr>
            <w:tcW w:w="1037"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纬度</w:t>
            </w:r>
          </w:p>
        </w:tc>
        <w:tc>
          <w:tcPr>
            <w:tcW w:w="410"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序号</w:t>
            </w:r>
          </w:p>
        </w:tc>
        <w:tc>
          <w:tcPr>
            <w:tcW w:w="1122"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经度</w:t>
            </w:r>
          </w:p>
        </w:tc>
        <w:tc>
          <w:tcPr>
            <w:tcW w:w="1023"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纬度</w:t>
            </w:r>
          </w:p>
        </w:tc>
      </w:tr>
      <w:tr>
        <w:tblPrEx>
          <w:tblCellMar>
            <w:top w:w="0" w:type="dxa"/>
            <w:left w:w="108" w:type="dxa"/>
            <w:bottom w:w="0" w:type="dxa"/>
            <w:right w:w="108" w:type="dxa"/>
          </w:tblCellMar>
        </w:tblPrEx>
        <w:trPr>
          <w:jc w:val="center"/>
        </w:trPr>
        <w:tc>
          <w:tcPr>
            <w:tcW w:w="472"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1</w:t>
            </w:r>
          </w:p>
        </w:tc>
        <w:tc>
          <w:tcPr>
            <w:tcW w:w="936"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4247200.358</w:t>
            </w:r>
          </w:p>
        </w:tc>
        <w:tc>
          <w:tcPr>
            <w:tcW w:w="1037"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19489398.96</w:t>
            </w:r>
          </w:p>
        </w:tc>
        <w:tc>
          <w:tcPr>
            <w:tcW w:w="410"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3</w:t>
            </w:r>
          </w:p>
        </w:tc>
        <w:tc>
          <w:tcPr>
            <w:tcW w:w="1122"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4240701.931</w:t>
            </w:r>
          </w:p>
        </w:tc>
        <w:tc>
          <w:tcPr>
            <w:tcW w:w="1023"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19492563.21</w:t>
            </w:r>
          </w:p>
        </w:tc>
      </w:tr>
      <w:tr>
        <w:tblPrEx>
          <w:tblCellMar>
            <w:top w:w="0" w:type="dxa"/>
            <w:left w:w="108" w:type="dxa"/>
            <w:bottom w:w="0" w:type="dxa"/>
            <w:right w:w="108" w:type="dxa"/>
          </w:tblCellMar>
        </w:tblPrEx>
        <w:trPr>
          <w:jc w:val="center"/>
        </w:trPr>
        <w:tc>
          <w:tcPr>
            <w:tcW w:w="472"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2</w:t>
            </w:r>
          </w:p>
        </w:tc>
        <w:tc>
          <w:tcPr>
            <w:tcW w:w="936"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4247196.478</w:t>
            </w:r>
          </w:p>
        </w:tc>
        <w:tc>
          <w:tcPr>
            <w:tcW w:w="1037"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19492559.33</w:t>
            </w:r>
          </w:p>
        </w:tc>
        <w:tc>
          <w:tcPr>
            <w:tcW w:w="410"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4</w:t>
            </w:r>
          </w:p>
        </w:tc>
        <w:tc>
          <w:tcPr>
            <w:tcW w:w="1122"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4240701.931</w:t>
            </w:r>
          </w:p>
        </w:tc>
        <w:tc>
          <w:tcPr>
            <w:tcW w:w="1023"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19489398.96</w:t>
            </w:r>
          </w:p>
        </w:tc>
      </w:tr>
    </w:tbl>
    <w:p>
      <w:pPr>
        <w:ind w:firstLine="0" w:firstLineChars="0"/>
        <w:outlineLvl w:val="2"/>
        <w:rPr>
          <w:rFonts w:ascii="Times New Roman" w:hAnsi="Times New Roman"/>
          <w:b/>
          <w:sz w:val="28"/>
          <w:szCs w:val="28"/>
        </w:rPr>
      </w:pPr>
      <w:bookmarkStart w:id="44" w:name="_Toc524624579"/>
      <w:r>
        <w:rPr>
          <w:rFonts w:ascii="Times New Roman" w:hAnsi="Times New Roman"/>
          <w:b/>
          <w:sz w:val="28"/>
          <w:szCs w:val="28"/>
        </w:rPr>
        <w:t>3.3.1 建设内容</w:t>
      </w:r>
      <w:bookmarkEnd w:id="44"/>
    </w:p>
    <w:p>
      <w:pPr>
        <w:snapToGrid w:val="0"/>
        <w:ind w:firstLine="480"/>
        <w:rPr>
          <w:rFonts w:ascii="Times New Roman" w:hAnsi="Times New Roman"/>
          <w:szCs w:val="24"/>
        </w:rPr>
      </w:pPr>
      <w:r>
        <w:rPr>
          <w:rFonts w:ascii="Times New Roman" w:hAnsi="Times New Roman"/>
          <w:szCs w:val="24"/>
        </w:rPr>
        <w:t>扩建项目建设内容主要包括新增1座井场和6口采气井；新建集气站1座；采出水净化处理站1座，蒸发处理站1座；集输气管线及其他配套工程等建设内容。建设项目组成见表3.3-2，新增开发井坐标见表3.3-3。</w:t>
      </w:r>
    </w:p>
    <w:p>
      <w:pPr>
        <w:spacing w:before="156" w:beforeLines="50" w:line="240" w:lineRule="auto"/>
        <w:ind w:firstLine="0" w:firstLineChars="0"/>
        <w:jc w:val="center"/>
      </w:pPr>
      <w:r>
        <w:rPr>
          <w:rFonts w:ascii="Times New Roman" w:hAnsi="宋体"/>
          <w:b/>
          <w:sz w:val="21"/>
        </w:rPr>
        <w:t>表3.3-2  建设项目组成一览表</w:t>
      </w:r>
    </w:p>
    <w:tbl>
      <w:tblPr>
        <w:tblStyle w:val="18"/>
        <w:tblW w:w="48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868"/>
        <w:gridCol w:w="2474"/>
        <w:gridCol w:w="4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shd w:val="clear" w:color="auto" w:fill="auto"/>
            <w:vAlign w:val="center"/>
          </w:tcPr>
          <w:p>
            <w:pPr>
              <w:pStyle w:val="27"/>
            </w:pPr>
            <w:r>
              <w:t>类别</w:t>
            </w:r>
          </w:p>
        </w:tc>
        <w:tc>
          <w:tcPr>
            <w:tcW w:w="528" w:type="pct"/>
            <w:shd w:val="clear" w:color="auto" w:fill="auto"/>
            <w:vAlign w:val="center"/>
          </w:tcPr>
          <w:p>
            <w:pPr>
              <w:pStyle w:val="27"/>
            </w:pPr>
            <w:r>
              <w:t>工程内容</w:t>
            </w:r>
          </w:p>
        </w:tc>
        <w:tc>
          <w:tcPr>
            <w:tcW w:w="1504" w:type="pct"/>
            <w:shd w:val="clear" w:color="auto" w:fill="auto"/>
            <w:vAlign w:val="center"/>
          </w:tcPr>
          <w:p>
            <w:pPr>
              <w:pStyle w:val="27"/>
            </w:pPr>
            <w:r>
              <w:t>现有项目</w:t>
            </w:r>
          </w:p>
        </w:tc>
        <w:tc>
          <w:tcPr>
            <w:tcW w:w="2525" w:type="pct"/>
            <w:shd w:val="clear" w:color="auto" w:fill="auto"/>
            <w:vAlign w:val="center"/>
          </w:tcPr>
          <w:p>
            <w:pPr>
              <w:pStyle w:val="27"/>
            </w:pPr>
            <w: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restart"/>
            <w:shd w:val="clear" w:color="auto" w:fill="auto"/>
            <w:vAlign w:val="center"/>
          </w:tcPr>
          <w:p>
            <w:pPr>
              <w:pStyle w:val="27"/>
            </w:pPr>
            <w:r>
              <w:t>主体</w:t>
            </w:r>
          </w:p>
          <w:p>
            <w:pPr>
              <w:pStyle w:val="27"/>
            </w:pPr>
            <w:r>
              <w:t>工程</w:t>
            </w:r>
          </w:p>
        </w:tc>
        <w:tc>
          <w:tcPr>
            <w:tcW w:w="528" w:type="pct"/>
            <w:shd w:val="clear" w:color="auto" w:fill="auto"/>
            <w:vAlign w:val="center"/>
          </w:tcPr>
          <w:p>
            <w:pPr>
              <w:pStyle w:val="27"/>
            </w:pPr>
            <w:r>
              <w:t>井场</w:t>
            </w:r>
          </w:p>
        </w:tc>
        <w:tc>
          <w:tcPr>
            <w:tcW w:w="1504" w:type="pct"/>
            <w:shd w:val="clear" w:color="auto" w:fill="auto"/>
            <w:vAlign w:val="center"/>
          </w:tcPr>
          <w:p>
            <w:pPr>
              <w:pStyle w:val="27"/>
            </w:pPr>
            <w:r>
              <w:t>井场6座，开发井25口。</w:t>
            </w:r>
          </w:p>
        </w:tc>
        <w:tc>
          <w:tcPr>
            <w:tcW w:w="2525" w:type="pct"/>
            <w:shd w:val="clear" w:color="auto" w:fill="auto"/>
            <w:vAlign w:val="center"/>
          </w:tcPr>
          <w:p>
            <w:pPr>
              <w:pStyle w:val="27"/>
            </w:pPr>
            <w:r>
              <w:rPr>
                <w:bCs/>
              </w:rPr>
              <w:t>新增井场1座和开发井6口。合计井场7座，开发井31口。</w:t>
            </w:r>
            <w:r>
              <w:t>新增LX-106井场临时占地面积</w:t>
            </w:r>
            <w:r>
              <w:rPr>
                <w:rFonts w:hint="eastAsia"/>
              </w:rPr>
              <w:t>90</w:t>
            </w:r>
            <w:r>
              <w:t>00m</w:t>
            </w:r>
            <w:r>
              <w:rPr>
                <w:vertAlign w:val="superscript"/>
              </w:rPr>
              <w:t>2</w:t>
            </w:r>
            <w:r>
              <w:t>(</w:t>
            </w:r>
            <w:r>
              <w:rPr>
                <w:rFonts w:hint="eastAsia"/>
              </w:rPr>
              <w:t>10</w:t>
            </w:r>
            <w:r>
              <w:t>0m×90m)；新增每个</w:t>
            </w:r>
            <w:r>
              <w:rPr>
                <w:rFonts w:hint="eastAsia"/>
              </w:rPr>
              <w:t>开发井</w:t>
            </w:r>
            <w:r>
              <w:t>永久占地25m</w:t>
            </w:r>
            <w:r>
              <w:rPr>
                <w:vertAlign w:val="superscript"/>
              </w:rPr>
              <w:t>2</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集气站</w:t>
            </w:r>
          </w:p>
        </w:tc>
        <w:tc>
          <w:tcPr>
            <w:tcW w:w="1504" w:type="pct"/>
            <w:shd w:val="clear" w:color="auto" w:fill="auto"/>
            <w:vAlign w:val="center"/>
          </w:tcPr>
          <w:p>
            <w:pPr>
              <w:pStyle w:val="27"/>
              <w:rPr>
                <w:bCs/>
              </w:rPr>
            </w:pPr>
            <w:r>
              <w:t>临时集气站1座，设计规模0.79亿Nm</w:t>
            </w:r>
            <w:r>
              <w:rPr>
                <w:vertAlign w:val="superscript"/>
              </w:rPr>
              <w:t>3</w:t>
            </w:r>
            <w:r>
              <w:t>/a。</w:t>
            </w:r>
          </w:p>
        </w:tc>
        <w:tc>
          <w:tcPr>
            <w:tcW w:w="2525" w:type="pct"/>
            <w:shd w:val="clear" w:color="auto" w:fill="auto"/>
            <w:vAlign w:val="center"/>
          </w:tcPr>
          <w:p>
            <w:pPr>
              <w:pStyle w:val="27"/>
            </w:pPr>
            <w:r>
              <w:t>拆除临时集气站，新建集气站1座，设计规模3亿Nm</w:t>
            </w:r>
            <w:r>
              <w:rPr>
                <w:vertAlign w:val="superscript"/>
              </w:rPr>
              <w:t>3</w:t>
            </w:r>
            <w: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restart"/>
            <w:shd w:val="clear" w:color="auto" w:fill="auto"/>
            <w:vAlign w:val="center"/>
          </w:tcPr>
          <w:p>
            <w:pPr>
              <w:pStyle w:val="27"/>
            </w:pPr>
            <w:r>
              <w:t>辅助</w:t>
            </w:r>
          </w:p>
          <w:p>
            <w:pPr>
              <w:pStyle w:val="27"/>
            </w:pPr>
            <w:r>
              <w:t>生产</w:t>
            </w:r>
          </w:p>
          <w:p>
            <w:pPr>
              <w:pStyle w:val="27"/>
            </w:pPr>
            <w:r>
              <w:t>系统</w:t>
            </w:r>
          </w:p>
        </w:tc>
        <w:tc>
          <w:tcPr>
            <w:tcW w:w="528" w:type="pct"/>
            <w:shd w:val="clear" w:color="auto" w:fill="auto"/>
            <w:vAlign w:val="center"/>
          </w:tcPr>
          <w:p>
            <w:pPr>
              <w:pStyle w:val="27"/>
            </w:pPr>
            <w:r>
              <w:t>办公生活区</w:t>
            </w:r>
          </w:p>
        </w:tc>
        <w:tc>
          <w:tcPr>
            <w:tcW w:w="1504" w:type="pct"/>
            <w:shd w:val="clear" w:color="auto" w:fill="auto"/>
            <w:vAlign w:val="center"/>
          </w:tcPr>
          <w:p>
            <w:pPr>
              <w:pStyle w:val="27"/>
            </w:pPr>
            <w:r>
              <w:t>在临时集气站北侧建设有1处办公生活区</w:t>
            </w:r>
          </w:p>
        </w:tc>
        <w:tc>
          <w:tcPr>
            <w:tcW w:w="2525" w:type="pct"/>
            <w:shd w:val="clear" w:color="auto" w:fill="auto"/>
            <w:vAlign w:val="center"/>
          </w:tcPr>
          <w:p>
            <w:pPr>
              <w:pStyle w:val="27"/>
            </w:pPr>
            <w:r>
              <w:t>依托现有项目办公生活区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输气管线</w:t>
            </w:r>
          </w:p>
        </w:tc>
        <w:tc>
          <w:tcPr>
            <w:tcW w:w="1504" w:type="pct"/>
            <w:shd w:val="clear" w:color="auto" w:fill="auto"/>
            <w:vAlign w:val="center"/>
          </w:tcPr>
          <w:p>
            <w:pPr>
              <w:pStyle w:val="27"/>
            </w:pPr>
            <w:r>
              <w:t>输气管线总长</w:t>
            </w:r>
            <w:r>
              <w:rPr>
                <w:rFonts w:hint="eastAsia"/>
              </w:rPr>
              <w:t>40</w:t>
            </w:r>
            <w:r>
              <w:t>km</w:t>
            </w:r>
          </w:p>
        </w:tc>
        <w:tc>
          <w:tcPr>
            <w:tcW w:w="2525" w:type="pct"/>
            <w:shd w:val="clear" w:color="auto" w:fill="auto"/>
            <w:vAlign w:val="center"/>
          </w:tcPr>
          <w:p>
            <w:pPr>
              <w:pStyle w:val="27"/>
            </w:pPr>
            <w:r>
              <w:t>新建输气管线</w:t>
            </w:r>
            <w:r>
              <w:rPr>
                <w:rFonts w:hint="eastAsia"/>
              </w:rPr>
              <w:t>2</w:t>
            </w:r>
            <w:r>
              <w:t>km，其中采气管线总长约</w:t>
            </w:r>
            <w:r>
              <w:rPr>
                <w:rFonts w:hint="eastAsia"/>
              </w:rPr>
              <w:t>1.8</w:t>
            </w:r>
            <w:r>
              <w:t>km，集输干线总长约</w:t>
            </w:r>
            <w:r>
              <w:rPr>
                <w:rFonts w:hint="eastAsia"/>
              </w:rPr>
              <w:t>0.2</w:t>
            </w:r>
            <w: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restart"/>
            <w:shd w:val="clear" w:color="auto" w:fill="auto"/>
            <w:vAlign w:val="center"/>
          </w:tcPr>
          <w:p>
            <w:pPr>
              <w:pStyle w:val="27"/>
            </w:pPr>
            <w:r>
              <w:t>公用</w:t>
            </w:r>
          </w:p>
          <w:p>
            <w:pPr>
              <w:pStyle w:val="27"/>
            </w:pPr>
            <w:r>
              <w:t>工程</w:t>
            </w:r>
          </w:p>
        </w:tc>
        <w:tc>
          <w:tcPr>
            <w:tcW w:w="528" w:type="pct"/>
            <w:shd w:val="clear" w:color="auto" w:fill="auto"/>
            <w:vAlign w:val="center"/>
          </w:tcPr>
          <w:p>
            <w:pPr>
              <w:pStyle w:val="27"/>
            </w:pPr>
            <w:r>
              <w:t>供水</w:t>
            </w:r>
          </w:p>
        </w:tc>
        <w:tc>
          <w:tcPr>
            <w:tcW w:w="1504" w:type="pct"/>
            <w:shd w:val="clear" w:color="auto" w:fill="auto"/>
            <w:vAlign w:val="center"/>
          </w:tcPr>
          <w:p>
            <w:pPr>
              <w:pStyle w:val="27"/>
            </w:pPr>
            <w:r>
              <w:t>生活用水自周边牧民家拉运</w:t>
            </w:r>
          </w:p>
        </w:tc>
        <w:tc>
          <w:tcPr>
            <w:tcW w:w="2525" w:type="pct"/>
            <w:shd w:val="clear" w:color="auto" w:fill="auto"/>
            <w:vAlign w:val="center"/>
          </w:tcPr>
          <w:p>
            <w:pPr>
              <w:pStyle w:val="27"/>
            </w:pPr>
            <w:r>
              <w:t>井场生活用水自周边牧民家拉运，办公生活区用水来自自建水井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排水</w:t>
            </w:r>
          </w:p>
        </w:tc>
        <w:tc>
          <w:tcPr>
            <w:tcW w:w="1504" w:type="pct"/>
            <w:shd w:val="clear" w:color="auto" w:fill="auto"/>
            <w:vAlign w:val="center"/>
          </w:tcPr>
          <w:p>
            <w:pPr>
              <w:pStyle w:val="27"/>
            </w:pPr>
            <w:r>
              <w:t>旱厕，其他生活废水用于绿化；采出水经蒸发池自然蒸发，不外排</w:t>
            </w:r>
          </w:p>
        </w:tc>
        <w:tc>
          <w:tcPr>
            <w:tcW w:w="2525" w:type="pct"/>
            <w:shd w:val="clear" w:color="auto" w:fill="auto"/>
            <w:vAlign w:val="center"/>
          </w:tcPr>
          <w:p>
            <w:pPr>
              <w:pStyle w:val="27"/>
            </w:pPr>
            <w:r>
              <w:t>井场生活废水用于绿化降尘；办公生活区生活废水经生活废水处理设备处理后回用于冲厕、绿化和降尘等；采出水经净化处理站处理后排入蒸发处理站自然蒸发，不外排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供电</w:t>
            </w:r>
          </w:p>
        </w:tc>
        <w:tc>
          <w:tcPr>
            <w:tcW w:w="1504" w:type="pct"/>
            <w:shd w:val="clear" w:color="auto" w:fill="auto"/>
            <w:vAlign w:val="center"/>
          </w:tcPr>
          <w:p>
            <w:pPr>
              <w:pStyle w:val="27"/>
            </w:pPr>
            <w:r>
              <w:t>自备柴油发电机发电</w:t>
            </w:r>
          </w:p>
        </w:tc>
        <w:tc>
          <w:tcPr>
            <w:tcW w:w="2525" w:type="pct"/>
            <w:shd w:val="clear" w:color="auto" w:fill="auto"/>
            <w:vAlign w:val="center"/>
          </w:tcPr>
          <w:p>
            <w:pPr>
              <w:pStyle w:val="27"/>
            </w:pPr>
            <w:r>
              <w:rPr>
                <w:rFonts w:hint="eastAsia"/>
              </w:rPr>
              <w:t>集气站、办公生活区外电源拟引自张家坪变电站，一路供电，电压等级为10kV。井场采用太阳能供电。废水处理站供电采用燃气发电机组自发电。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供</w:t>
            </w:r>
            <w:r>
              <w:rPr>
                <w:rFonts w:hint="eastAsia"/>
              </w:rPr>
              <w:t>暖供热</w:t>
            </w:r>
          </w:p>
        </w:tc>
        <w:tc>
          <w:tcPr>
            <w:tcW w:w="1504" w:type="pct"/>
            <w:shd w:val="clear" w:color="auto" w:fill="auto"/>
            <w:vAlign w:val="center"/>
          </w:tcPr>
          <w:p>
            <w:pPr>
              <w:pStyle w:val="27"/>
            </w:pPr>
            <w:r>
              <w:t>集气站采用空调供</w:t>
            </w:r>
            <w:r>
              <w:rPr>
                <w:rFonts w:hint="eastAsia"/>
              </w:rPr>
              <w:t>暖</w:t>
            </w:r>
          </w:p>
        </w:tc>
        <w:tc>
          <w:tcPr>
            <w:tcW w:w="2525" w:type="pct"/>
            <w:shd w:val="clear" w:color="auto" w:fill="auto"/>
            <w:vAlign w:val="center"/>
          </w:tcPr>
          <w:p>
            <w:pPr>
              <w:pStyle w:val="27"/>
            </w:pPr>
            <w:r>
              <w:t>集气站采用空调供</w:t>
            </w:r>
            <w:r>
              <w:rPr>
                <w:rFonts w:hint="eastAsia"/>
              </w:rPr>
              <w:t>暖；</w:t>
            </w:r>
            <w:r>
              <w:t>办公生活区</w:t>
            </w:r>
            <w:r>
              <w:rPr>
                <w:rFonts w:hint="eastAsia"/>
              </w:rPr>
              <w:t>设有2</w:t>
            </w:r>
            <w:r>
              <w:t>台</w:t>
            </w:r>
            <w:r>
              <w:rPr>
                <w:rFonts w:hint="eastAsia"/>
              </w:rPr>
              <w:t>（一用一备）CWNS0.7-85/60-Q</w:t>
            </w:r>
            <w:r>
              <w:t>燃气锅炉</w:t>
            </w:r>
            <w:r>
              <w:rPr>
                <w:rFonts w:hint="eastAsia"/>
              </w:rPr>
              <w:t>供暖；LX-103井场净化处理站和LX104井场蒸发处理站的采出水废水处理站各设有2台（一用一备）</w:t>
            </w:r>
            <w:r>
              <w:t>CLHS0.6-95/65-Q(Y)</w:t>
            </w:r>
            <w:r>
              <w:rPr>
                <w:rFonts w:hint="eastAsia"/>
              </w:rPr>
              <w:t>燃气锅炉供热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restart"/>
            <w:shd w:val="clear" w:color="auto" w:fill="auto"/>
            <w:vAlign w:val="center"/>
          </w:tcPr>
          <w:p>
            <w:pPr>
              <w:pStyle w:val="27"/>
            </w:pPr>
            <w:r>
              <w:t>环保</w:t>
            </w:r>
          </w:p>
          <w:p>
            <w:pPr>
              <w:pStyle w:val="27"/>
            </w:pPr>
            <w:r>
              <w:t>工程</w:t>
            </w:r>
          </w:p>
        </w:tc>
        <w:tc>
          <w:tcPr>
            <w:tcW w:w="528" w:type="pct"/>
            <w:shd w:val="clear" w:color="auto" w:fill="auto"/>
            <w:vAlign w:val="center"/>
          </w:tcPr>
          <w:p>
            <w:pPr>
              <w:pStyle w:val="27"/>
            </w:pPr>
            <w:r>
              <w:t>火炬</w:t>
            </w:r>
          </w:p>
        </w:tc>
        <w:tc>
          <w:tcPr>
            <w:tcW w:w="1504" w:type="pct"/>
            <w:shd w:val="clear" w:color="auto" w:fill="auto"/>
            <w:vAlign w:val="center"/>
          </w:tcPr>
          <w:p>
            <w:pPr>
              <w:pStyle w:val="27"/>
            </w:pPr>
            <w:r>
              <w:t>每个井场和集气站各1个，高10m</w:t>
            </w:r>
          </w:p>
        </w:tc>
        <w:tc>
          <w:tcPr>
            <w:tcW w:w="2525" w:type="pct"/>
            <w:shd w:val="clear" w:color="auto" w:fill="auto"/>
            <w:vAlign w:val="center"/>
          </w:tcPr>
          <w:p>
            <w:pPr>
              <w:pStyle w:val="27"/>
            </w:pPr>
            <w:r>
              <w:t xml:space="preserve">每个井场和集气站各1个，高10m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生活废水处理站</w:t>
            </w:r>
          </w:p>
        </w:tc>
        <w:tc>
          <w:tcPr>
            <w:tcW w:w="1504" w:type="pct"/>
            <w:shd w:val="clear" w:color="auto" w:fill="auto"/>
            <w:vAlign w:val="center"/>
          </w:tcPr>
          <w:p>
            <w:pPr>
              <w:pStyle w:val="27"/>
            </w:pPr>
            <w:r>
              <w:rPr>
                <w:rFonts w:hint="eastAsia"/>
              </w:rPr>
              <w:t>集气站盥洗生活废水用于站内绿化和降尘</w:t>
            </w:r>
          </w:p>
        </w:tc>
        <w:tc>
          <w:tcPr>
            <w:tcW w:w="2525" w:type="pct"/>
            <w:shd w:val="clear" w:color="auto" w:fill="auto"/>
            <w:vAlign w:val="center"/>
          </w:tcPr>
          <w:p>
            <w:pPr>
              <w:pStyle w:val="27"/>
            </w:pPr>
            <w:r>
              <w:t>办公生活区</w:t>
            </w:r>
            <w:r>
              <w:rPr>
                <w:rFonts w:hint="eastAsia"/>
              </w:rPr>
              <w:t>新建</w:t>
            </w:r>
            <w:r>
              <w:t>1座生活废水处理站</w:t>
            </w:r>
            <w:r>
              <w:rPr>
                <w:rFonts w:hint="eastAsia"/>
              </w:rPr>
              <w:t>，集气站盥洗生活废水用于站内降尘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生产废水处理站</w:t>
            </w:r>
          </w:p>
        </w:tc>
        <w:tc>
          <w:tcPr>
            <w:tcW w:w="1504" w:type="pct"/>
            <w:shd w:val="clear" w:color="auto" w:fill="auto"/>
            <w:vAlign w:val="center"/>
          </w:tcPr>
          <w:p>
            <w:pPr>
              <w:pStyle w:val="27"/>
            </w:pPr>
            <w:r>
              <w:t>1座</w:t>
            </w:r>
            <w:r>
              <w:rPr>
                <w:rFonts w:hint="eastAsia"/>
              </w:rPr>
              <w:t>1148</w:t>
            </w:r>
            <w:r>
              <w:t>m</w:t>
            </w:r>
            <w:r>
              <w:rPr>
                <w:vertAlign w:val="superscript"/>
              </w:rPr>
              <w:t>3</w:t>
            </w:r>
            <w:r>
              <w:t>蒸发池</w:t>
            </w:r>
          </w:p>
        </w:tc>
        <w:tc>
          <w:tcPr>
            <w:tcW w:w="2525" w:type="pct"/>
            <w:shd w:val="clear" w:color="auto" w:fill="auto"/>
            <w:vAlign w:val="center"/>
          </w:tcPr>
          <w:p>
            <w:pPr>
              <w:pStyle w:val="27"/>
            </w:pPr>
            <w:r>
              <w:t>LX103井场新建采出水净化处理站1座，LX104井场新建蒸发处理站1座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固体废物处理</w:t>
            </w:r>
          </w:p>
        </w:tc>
        <w:tc>
          <w:tcPr>
            <w:tcW w:w="1504" w:type="pct"/>
            <w:shd w:val="clear" w:color="auto" w:fill="auto"/>
            <w:vAlign w:val="center"/>
          </w:tcPr>
          <w:p>
            <w:pPr>
              <w:pStyle w:val="27"/>
            </w:pPr>
            <w:r>
              <w:t>设置生活垃圾收集箱和烃类液体储罐</w:t>
            </w:r>
          </w:p>
        </w:tc>
        <w:tc>
          <w:tcPr>
            <w:tcW w:w="2525" w:type="pct"/>
            <w:shd w:val="clear" w:color="auto" w:fill="auto"/>
            <w:vAlign w:val="center"/>
          </w:tcPr>
          <w:p>
            <w:pPr>
              <w:pStyle w:val="27"/>
            </w:pPr>
            <w:r>
              <w:t>6口新建开发井配套建设防渗泥浆池，泥浆和钻井岩屑固化；</w:t>
            </w:r>
            <w:r>
              <w:rPr>
                <w:rFonts w:hint="eastAsia"/>
              </w:rPr>
              <w:t>集气站设置生活垃圾收集箱、</w:t>
            </w:r>
            <w:r>
              <w:t>烃类液体储罐，</w:t>
            </w:r>
            <w:r>
              <w:rPr>
                <w:rFonts w:hint="eastAsia"/>
              </w:rPr>
              <w:t>危险废物暂存室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 w:type="pct"/>
            <w:vMerge w:val="continue"/>
            <w:shd w:val="clear" w:color="auto" w:fill="auto"/>
            <w:vAlign w:val="center"/>
          </w:tcPr>
          <w:p>
            <w:pPr>
              <w:pStyle w:val="27"/>
            </w:pPr>
          </w:p>
        </w:tc>
        <w:tc>
          <w:tcPr>
            <w:tcW w:w="528" w:type="pct"/>
            <w:shd w:val="clear" w:color="auto" w:fill="auto"/>
            <w:vAlign w:val="center"/>
          </w:tcPr>
          <w:p>
            <w:pPr>
              <w:pStyle w:val="27"/>
            </w:pPr>
            <w:r>
              <w:t>隔声减振设备</w:t>
            </w:r>
          </w:p>
        </w:tc>
        <w:tc>
          <w:tcPr>
            <w:tcW w:w="1504" w:type="pct"/>
            <w:shd w:val="clear" w:color="auto" w:fill="auto"/>
            <w:vAlign w:val="center"/>
          </w:tcPr>
          <w:p>
            <w:pPr>
              <w:pStyle w:val="27"/>
            </w:pPr>
            <w:r>
              <w:t>主要产噪设备安装隔声罩、基础减振等</w:t>
            </w:r>
          </w:p>
        </w:tc>
        <w:tc>
          <w:tcPr>
            <w:tcW w:w="2525" w:type="pct"/>
            <w:shd w:val="clear" w:color="auto" w:fill="auto"/>
            <w:vAlign w:val="center"/>
          </w:tcPr>
          <w:p>
            <w:pPr>
              <w:pStyle w:val="27"/>
            </w:pPr>
            <w:r>
              <w:t>主要产噪设备安装隔声罩、基础减振等。</w:t>
            </w:r>
          </w:p>
        </w:tc>
      </w:tr>
    </w:tbl>
    <w:p>
      <w:pPr>
        <w:snapToGrid w:val="0"/>
        <w:spacing w:before="156" w:beforeLines="50"/>
        <w:ind w:firstLine="480"/>
        <w:rPr>
          <w:rFonts w:ascii="Times New Roman" w:hAnsi="Times New Roman"/>
          <w:szCs w:val="24"/>
        </w:rPr>
      </w:pPr>
      <w:r>
        <w:rPr>
          <w:rFonts w:ascii="Times New Roman" w:hAnsi="Times New Roman"/>
          <w:szCs w:val="24"/>
        </w:rPr>
        <w:t>本项目新增井场及开发井情况见表3.3-2</w:t>
      </w:r>
      <w:r>
        <w:rPr>
          <w:rFonts w:hint="eastAsia" w:ascii="Times New Roman" w:hAnsi="Times New Roman"/>
          <w:szCs w:val="24"/>
        </w:rPr>
        <w:t>。</w:t>
      </w:r>
    </w:p>
    <w:p>
      <w:pPr>
        <w:spacing w:before="156" w:beforeLines="50" w:line="240" w:lineRule="auto"/>
        <w:ind w:firstLine="0" w:firstLineChars="0"/>
        <w:jc w:val="center"/>
      </w:pPr>
      <w:r>
        <w:rPr>
          <w:rFonts w:ascii="Times New Roman" w:hAnsi="宋体"/>
          <w:b/>
          <w:sz w:val="21"/>
        </w:rPr>
        <w:t>表3.3-2 本项目新增井场及开发井</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419"/>
        <w:gridCol w:w="1984"/>
        <w:gridCol w:w="1703"/>
        <w:gridCol w:w="993"/>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井场</w:t>
            </w:r>
          </w:p>
        </w:tc>
        <w:tc>
          <w:tcPr>
            <w:tcW w:w="832"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开发井</w:t>
            </w:r>
          </w:p>
        </w:tc>
        <w:tc>
          <w:tcPr>
            <w:tcW w:w="2161" w:type="pct"/>
            <w:gridSpan w:val="2"/>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井口坐标（WGS84坐标系）</w:t>
            </w:r>
          </w:p>
        </w:tc>
        <w:tc>
          <w:tcPr>
            <w:tcW w:w="582"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井型</w:t>
            </w:r>
          </w:p>
        </w:tc>
        <w:tc>
          <w:tcPr>
            <w:tcW w:w="695"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完钻（m）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Merge w:val="continue"/>
            <w:vAlign w:val="center"/>
          </w:tcPr>
          <w:p>
            <w:pPr>
              <w:snapToGrid w:val="0"/>
              <w:spacing w:line="240" w:lineRule="auto"/>
              <w:ind w:firstLine="0" w:firstLineChars="0"/>
              <w:jc w:val="center"/>
              <w:rPr>
                <w:rFonts w:ascii="Times New Roman" w:hAnsi="Times New Roman"/>
                <w:sz w:val="21"/>
              </w:rPr>
            </w:pPr>
          </w:p>
        </w:tc>
        <w:tc>
          <w:tcPr>
            <w:tcW w:w="832" w:type="pct"/>
            <w:vMerge w:val="continue"/>
            <w:vAlign w:val="center"/>
          </w:tcPr>
          <w:p>
            <w:pPr>
              <w:snapToGrid w:val="0"/>
              <w:spacing w:line="240" w:lineRule="auto"/>
              <w:ind w:firstLine="0" w:firstLineChars="0"/>
              <w:jc w:val="center"/>
              <w:rPr>
                <w:rFonts w:ascii="Times New Roman" w:hAnsi="Times New Roman"/>
                <w:sz w:val="21"/>
              </w:rPr>
            </w:pPr>
          </w:p>
        </w:tc>
        <w:tc>
          <w:tcPr>
            <w:tcW w:w="1163"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东经</w:t>
            </w:r>
          </w:p>
        </w:tc>
        <w:tc>
          <w:tcPr>
            <w:tcW w:w="998"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北纬</w:t>
            </w:r>
          </w:p>
        </w:tc>
        <w:tc>
          <w:tcPr>
            <w:tcW w:w="582" w:type="pct"/>
            <w:vMerge w:val="continue"/>
            <w:vAlign w:val="center"/>
          </w:tcPr>
          <w:p>
            <w:pPr>
              <w:snapToGrid w:val="0"/>
              <w:spacing w:line="240" w:lineRule="auto"/>
              <w:ind w:firstLine="0" w:firstLineChars="0"/>
              <w:jc w:val="center"/>
              <w:rPr>
                <w:rFonts w:ascii="Times New Roman" w:hAnsi="Times New Roman"/>
                <w:sz w:val="21"/>
              </w:rPr>
            </w:pPr>
          </w:p>
        </w:tc>
        <w:tc>
          <w:tcPr>
            <w:tcW w:w="695" w:type="pct"/>
            <w:vMerge w:val="continue"/>
            <w:vAlign w:val="center"/>
          </w:tcPr>
          <w:p>
            <w:pPr>
              <w:snapToGrid w:val="0"/>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Merge w:val="restar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LX101</w:t>
            </w: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LX-101-5H</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20.7475"</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45.6536"</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2855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Merge w:val="continue"/>
            <w:vAlign w:val="center"/>
          </w:tcPr>
          <w:p>
            <w:pPr>
              <w:snapToGrid w:val="0"/>
              <w:spacing w:line="240" w:lineRule="auto"/>
              <w:ind w:firstLine="0" w:firstLineChars="0"/>
              <w:jc w:val="center"/>
              <w:rPr>
                <w:rFonts w:ascii="Times New Roman" w:hAnsi="Times New Roman"/>
                <w:sz w:val="21"/>
              </w:rPr>
            </w:pP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LX-101-6H</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17.5399"</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46.1232"</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LX102</w:t>
            </w: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LX-102-5H</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53' 19.9268"</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19' 36.7140"</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水平井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2706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LX104</w:t>
            </w: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LX-104-9D</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19.7332"</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49.7216"</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LX105</w:t>
            </w: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LX-105-4D</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52' 57.5248"</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18' 13.4626"</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LX106</w:t>
            </w:r>
          </w:p>
        </w:tc>
        <w:tc>
          <w:tcPr>
            <w:tcW w:w="83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LX-106-1D</w:t>
            </w:r>
          </w:p>
        </w:tc>
        <w:tc>
          <w:tcPr>
            <w:tcW w:w="1163"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110° 54' 27.1979"</w:t>
            </w:r>
          </w:p>
        </w:tc>
        <w:tc>
          <w:tcPr>
            <w:tcW w:w="99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38° 20' 27.9563"</w:t>
            </w:r>
          </w:p>
        </w:tc>
        <w:tc>
          <w:tcPr>
            <w:tcW w:w="582"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定向井</w:t>
            </w:r>
          </w:p>
        </w:tc>
        <w:tc>
          <w:tcPr>
            <w:tcW w:w="695"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2190</w:t>
            </w:r>
          </w:p>
        </w:tc>
      </w:tr>
    </w:tbl>
    <w:p>
      <w:pPr>
        <w:snapToGrid w:val="0"/>
        <w:spacing w:before="156" w:beforeLines="50"/>
        <w:ind w:firstLine="480"/>
        <w:rPr>
          <w:rFonts w:ascii="Times New Roman" w:hAnsi="Times New Roman"/>
          <w:szCs w:val="24"/>
          <w:lang w:val="zh-CN"/>
        </w:rPr>
      </w:pPr>
      <w:r>
        <w:rPr>
          <w:rFonts w:ascii="Times New Roman" w:hAnsi="Times New Roman"/>
          <w:szCs w:val="24"/>
          <w:lang w:val="zh-CN"/>
        </w:rPr>
        <w:t>本项目煤成气的成分组成见表3.3-3。</w:t>
      </w:r>
    </w:p>
    <w:p>
      <w:pPr>
        <w:spacing w:before="156" w:beforeLines="50" w:line="240" w:lineRule="auto"/>
        <w:ind w:firstLine="0" w:firstLineChars="0"/>
        <w:jc w:val="center"/>
      </w:pPr>
      <w:r>
        <w:rPr>
          <w:rFonts w:ascii="Times New Roman" w:hAnsi="宋体"/>
          <w:b/>
          <w:sz w:val="21"/>
        </w:rPr>
        <w:t>表3.3-3 煤成气组分</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9"/>
        <w:gridCol w:w="2214"/>
        <w:gridCol w:w="2086"/>
        <w:gridCol w:w="2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项目</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百分含量</w:t>
            </w:r>
          </w:p>
        </w:tc>
        <w:tc>
          <w:tcPr>
            <w:tcW w:w="2086"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项目</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百分含量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甲烷</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93.839</w:t>
            </w:r>
          </w:p>
        </w:tc>
        <w:tc>
          <w:tcPr>
            <w:tcW w:w="2086"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氮气</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乙烷</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3.053</w:t>
            </w:r>
          </w:p>
        </w:tc>
        <w:tc>
          <w:tcPr>
            <w:tcW w:w="2086" w:type="dxa"/>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二氧化碳</w:t>
            </w:r>
          </w:p>
        </w:tc>
        <w:tc>
          <w:tcPr>
            <w:tcW w:w="2203" w:type="dxa"/>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0.651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丙烷</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1.397</w:t>
            </w:r>
          </w:p>
        </w:tc>
        <w:tc>
          <w:tcPr>
            <w:tcW w:w="2086" w:type="dxa"/>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氢气</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iC</w:t>
            </w:r>
            <w:r>
              <w:rPr>
                <w:rFonts w:ascii="Times New Roman" w:hAnsi="Times New Roman"/>
                <w:sz w:val="21"/>
                <w:vertAlign w:val="subscript"/>
              </w:rPr>
              <w:t>4</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0.166</w:t>
            </w:r>
          </w:p>
        </w:tc>
        <w:tc>
          <w:tcPr>
            <w:tcW w:w="2086" w:type="dxa"/>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一氧化碳</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iC</w:t>
            </w:r>
            <w:r>
              <w:rPr>
                <w:rFonts w:ascii="Times New Roman" w:hAnsi="Times New Roman"/>
                <w:sz w:val="21"/>
                <w:vertAlign w:val="subscript"/>
              </w:rPr>
              <w:t>5</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0.085</w:t>
            </w:r>
          </w:p>
        </w:tc>
        <w:tc>
          <w:tcPr>
            <w:tcW w:w="2086"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硫化氢</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iC</w:t>
            </w:r>
            <w:r>
              <w:rPr>
                <w:rFonts w:ascii="Times New Roman" w:hAnsi="Times New Roman"/>
                <w:sz w:val="21"/>
                <w:vertAlign w:val="subscript"/>
              </w:rPr>
              <w:t>6</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w:t>
            </w:r>
          </w:p>
        </w:tc>
        <w:tc>
          <w:tcPr>
            <w:tcW w:w="2086"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相对密度</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0.5998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nC</w:t>
            </w:r>
            <w:r>
              <w:rPr>
                <w:rFonts w:ascii="Times New Roman" w:hAnsi="Times New Roman"/>
                <w:sz w:val="21"/>
                <w:vertAlign w:val="subscript"/>
              </w:rPr>
              <w:t>6</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w:t>
            </w:r>
          </w:p>
        </w:tc>
        <w:tc>
          <w:tcPr>
            <w:tcW w:w="2086" w:type="dxa"/>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含空气</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0.325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临界温度（K）</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189.91</w:t>
            </w:r>
          </w:p>
        </w:tc>
        <w:tc>
          <w:tcPr>
            <w:tcW w:w="2086"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临界压力（MPa）</w:t>
            </w:r>
          </w:p>
        </w:tc>
        <w:tc>
          <w:tcPr>
            <w:tcW w:w="2203"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4.744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9"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备注</w:t>
            </w:r>
          </w:p>
        </w:tc>
        <w:tc>
          <w:tcPr>
            <w:tcW w:w="2214" w:type="dxa"/>
            <w:vAlign w:val="center"/>
          </w:tcPr>
          <w:p>
            <w:pPr>
              <w:snapToGrid w:val="0"/>
              <w:spacing w:line="240" w:lineRule="auto"/>
              <w:ind w:firstLine="0" w:firstLineChars="0"/>
              <w:jc w:val="center"/>
              <w:rPr>
                <w:rFonts w:ascii="Times New Roman" w:hAnsi="Times New Roman"/>
                <w:sz w:val="21"/>
              </w:rPr>
            </w:pPr>
            <w:r>
              <w:rPr>
                <w:rFonts w:ascii="Times New Roman" w:hAnsi="Times New Roman"/>
                <w:sz w:val="21"/>
              </w:rPr>
              <w:t>空气占0%</w:t>
            </w:r>
          </w:p>
        </w:tc>
        <w:tc>
          <w:tcPr>
            <w:tcW w:w="2086" w:type="dxa"/>
            <w:vAlign w:val="center"/>
          </w:tcPr>
          <w:p>
            <w:pPr>
              <w:snapToGrid w:val="0"/>
              <w:spacing w:line="240" w:lineRule="auto"/>
              <w:ind w:firstLine="0" w:firstLineChars="0"/>
              <w:jc w:val="center"/>
              <w:rPr>
                <w:rFonts w:ascii="Times New Roman" w:hAnsi="Times New Roman"/>
                <w:sz w:val="21"/>
              </w:rPr>
            </w:pPr>
          </w:p>
        </w:tc>
        <w:tc>
          <w:tcPr>
            <w:tcW w:w="2203" w:type="dxa"/>
            <w:vAlign w:val="center"/>
          </w:tcPr>
          <w:p>
            <w:pPr>
              <w:snapToGrid w:val="0"/>
              <w:spacing w:line="240" w:lineRule="auto"/>
              <w:ind w:firstLine="0" w:firstLineChars="0"/>
              <w:jc w:val="center"/>
              <w:rPr>
                <w:rFonts w:ascii="Times New Roman" w:hAnsi="Times New Roman"/>
                <w:sz w:val="21"/>
              </w:rPr>
            </w:pPr>
          </w:p>
        </w:tc>
      </w:tr>
    </w:tbl>
    <w:p>
      <w:pPr>
        <w:ind w:firstLine="0" w:firstLineChars="0"/>
        <w:outlineLvl w:val="2"/>
        <w:rPr>
          <w:rFonts w:ascii="Times New Roman" w:hAnsi="Times New Roman"/>
          <w:b/>
          <w:sz w:val="28"/>
          <w:szCs w:val="28"/>
        </w:rPr>
      </w:pPr>
      <w:bookmarkStart w:id="45" w:name="_Toc524624580"/>
      <w:r>
        <w:rPr>
          <w:rFonts w:ascii="Times New Roman" w:hAnsi="Times New Roman"/>
          <w:b/>
          <w:sz w:val="28"/>
          <w:szCs w:val="28"/>
        </w:rPr>
        <w:t>3.3.2 平面布置及占地</w:t>
      </w:r>
      <w:bookmarkEnd w:id="45"/>
    </w:p>
    <w:p>
      <w:pPr>
        <w:snapToGrid w:val="0"/>
        <w:ind w:firstLine="480"/>
        <w:rPr>
          <w:rFonts w:ascii="Times New Roman" w:hAnsi="Times New Roman"/>
          <w:szCs w:val="24"/>
        </w:rPr>
      </w:pPr>
      <w:r>
        <w:rPr>
          <w:rFonts w:ascii="Times New Roman" w:hAnsi="Times New Roman"/>
          <w:szCs w:val="24"/>
        </w:rPr>
        <w:t>本项目总体平面布置见图3.3-2。</w:t>
      </w:r>
    </w:p>
    <w:p>
      <w:pPr>
        <w:snapToGrid w:val="0"/>
        <w:ind w:firstLine="480"/>
        <w:rPr>
          <w:rFonts w:ascii="Times New Roman" w:hAnsi="Times New Roman"/>
          <w:szCs w:val="24"/>
          <w:lang w:val="zh-CN"/>
        </w:rPr>
      </w:pPr>
      <w:r>
        <w:rPr>
          <w:rFonts w:ascii="Times New Roman" w:hAnsi="Times New Roman"/>
          <w:szCs w:val="24"/>
        </w:rPr>
        <w:t>（1）</w:t>
      </w:r>
      <w:r>
        <w:rPr>
          <w:rFonts w:ascii="Times New Roman" w:hAnsi="Times New Roman"/>
          <w:szCs w:val="24"/>
          <w:lang w:val="zh-CN"/>
        </w:rPr>
        <w:t>建设期井场总平面布置图</w:t>
      </w:r>
    </w:p>
    <w:p>
      <w:pPr>
        <w:snapToGrid w:val="0"/>
        <w:ind w:firstLine="480"/>
        <w:rPr>
          <w:rFonts w:ascii="Times New Roman" w:hAnsi="Times New Roman"/>
          <w:szCs w:val="24"/>
          <w:lang w:val="zh-CN"/>
        </w:rPr>
      </w:pPr>
      <w:r>
        <w:rPr>
          <w:rFonts w:ascii="Times New Roman" w:hAnsi="Times New Roman"/>
          <w:szCs w:val="24"/>
          <w:lang w:val="zh-CN"/>
        </w:rPr>
        <w:t>建设期井场平面布置按照《钻井工程及井场布置技术要求》（SY/T5466-2004）进行。本项目新增LX-106井场，占地面积为9000m</w:t>
      </w:r>
      <w:r>
        <w:rPr>
          <w:rFonts w:ascii="Times New Roman" w:hAnsi="Times New Roman"/>
          <w:szCs w:val="24"/>
          <w:vertAlign w:val="superscript"/>
          <w:lang w:val="zh-CN"/>
        </w:rPr>
        <w:t>2</w:t>
      </w:r>
      <w:r>
        <w:rPr>
          <w:rFonts w:ascii="Times New Roman" w:hAnsi="Times New Roman"/>
          <w:szCs w:val="24"/>
          <w:lang w:val="zh-CN"/>
        </w:rPr>
        <w:t>（90m×100m）。新建</w:t>
      </w:r>
      <w:r>
        <w:rPr>
          <w:rFonts w:ascii="Times New Roman" w:hAnsi="Times New Roman"/>
          <w:kern w:val="0"/>
          <w:szCs w:val="24"/>
        </w:rPr>
        <w:t>LX-101-5H、LX-101-6H、LX-102-5H、LX-104-9D和LX-105-4D开发井在现有</w:t>
      </w:r>
      <w:r>
        <w:rPr>
          <w:rFonts w:ascii="Times New Roman" w:hAnsi="Times New Roman"/>
          <w:szCs w:val="24"/>
          <w:lang w:val="zh-CN"/>
        </w:rPr>
        <w:t>井场内建设，不新增占地。井场工作区主要包括钻铤区、钻台、机房、发电房、泵房、MCC房（电控中心）、材料房、罐区（柴油罐、储罐、压裂液储备罐、循环泥浆罐）、泥浆池、火炬等。井场办公生活区包括办公室、宿舍、厨房、旱厕、生活废水沉淀池等。井场总平面布置见图3.3-3。</w:t>
      </w:r>
    </w:p>
    <w:p>
      <w:pPr>
        <w:snapToGrid w:val="0"/>
        <w:ind w:firstLine="480"/>
        <w:rPr>
          <w:rFonts w:ascii="Times New Roman" w:hAnsi="Times New Roman"/>
          <w:szCs w:val="24"/>
          <w:lang w:val="zh-CN"/>
        </w:rPr>
      </w:pPr>
      <w:r>
        <w:rPr>
          <w:rFonts w:ascii="Times New Roman" w:hAnsi="Times New Roman"/>
          <w:szCs w:val="24"/>
          <w:lang w:val="zh-CN"/>
        </w:rPr>
        <w:t>LX-106井场占用土地为荒草地。开发井占用土地采用临时征用，根据国家及地方有关规定对当地进行土地临时征用和补偿，完井后每口开发井仅留有采气树和围栏，占地约25m</w:t>
      </w:r>
      <w:r>
        <w:rPr>
          <w:rFonts w:ascii="Times New Roman" w:hAnsi="Times New Roman"/>
          <w:szCs w:val="24"/>
          <w:vertAlign w:val="superscript"/>
          <w:lang w:val="zh-CN"/>
        </w:rPr>
        <w:t>2</w:t>
      </w:r>
      <w:r>
        <w:rPr>
          <w:rFonts w:ascii="Times New Roman" w:hAnsi="Times New Roman"/>
          <w:szCs w:val="24"/>
          <w:lang w:val="zh-CN"/>
        </w:rPr>
        <w:t>，其余全部进行场地平整并进行生态恢复。</w:t>
      </w:r>
    </w:p>
    <w:p>
      <w:pPr>
        <w:snapToGrid w:val="0"/>
        <w:ind w:firstLine="480"/>
        <w:rPr>
          <w:rFonts w:ascii="Times New Roman" w:hAnsi="Times New Roman"/>
          <w:szCs w:val="24"/>
        </w:rPr>
      </w:pPr>
      <w:r>
        <w:rPr>
          <w:rFonts w:ascii="Times New Roman" w:hAnsi="Times New Roman"/>
          <w:szCs w:val="24"/>
        </w:rPr>
        <w:t>（2）集气站总平面布置图</w:t>
      </w:r>
    </w:p>
    <w:p>
      <w:pPr>
        <w:snapToGrid w:val="0"/>
        <w:ind w:firstLine="480"/>
        <w:rPr>
          <w:rFonts w:ascii="Times New Roman" w:hAnsi="Times New Roman"/>
          <w:szCs w:val="24"/>
        </w:rPr>
      </w:pPr>
      <w:r>
        <w:rPr>
          <w:rFonts w:ascii="Times New Roman" w:hAnsi="Times New Roman"/>
          <w:szCs w:val="24"/>
        </w:rPr>
        <w:t>本项目新建处理规模为3亿m</w:t>
      </w:r>
      <w:r>
        <w:rPr>
          <w:rFonts w:ascii="Times New Roman" w:hAnsi="Times New Roman"/>
          <w:szCs w:val="24"/>
          <w:vertAlign w:val="superscript"/>
        </w:rPr>
        <w:t>3</w:t>
      </w:r>
      <w:r>
        <w:rPr>
          <w:rFonts w:ascii="Times New Roman" w:hAnsi="Times New Roman"/>
          <w:szCs w:val="24"/>
        </w:rPr>
        <w:t>/a的集气站1座。</w:t>
      </w:r>
    </w:p>
    <w:p>
      <w:pPr>
        <w:snapToGrid w:val="0"/>
        <w:ind w:firstLine="480"/>
        <w:rPr>
          <w:rFonts w:ascii="Times New Roman" w:hAnsi="Times New Roman"/>
          <w:szCs w:val="24"/>
          <w:lang w:val="zh-CN"/>
        </w:rPr>
      </w:pPr>
      <w:r>
        <w:rPr>
          <w:rFonts w:ascii="Times New Roman" w:hAnsi="Times New Roman"/>
          <w:szCs w:val="24"/>
          <w:lang w:val="zh-CN"/>
        </w:rPr>
        <w:t>据生产性质和功能将集气站分为工艺生产区、生产辅助区、放空区和预留区。工艺生产区位于集气站的中部，主要包括生产分离撬、计量分离撬、除砂器、分子筛脱水撬、轻烃罐、废水管和出站计量撬；生产辅助区位于集气站北部，主要包括发电机、柴油罐区、仪表间、配电柜和空压站；生活区位于集气站南部，主要包括办公室、值班室、旱厕、控制室、配电室、仓库等；放空区位于集气站围墙外东南侧，用围墙围成一个独立区域；预留区主要位于集气站南侧。集气站平面布置见图3.3-4。</w:t>
      </w:r>
    </w:p>
    <w:p>
      <w:pPr>
        <w:snapToGrid w:val="0"/>
        <w:ind w:firstLine="480"/>
        <w:rPr>
          <w:rFonts w:ascii="Times New Roman" w:hAnsi="Times New Roman"/>
          <w:szCs w:val="24"/>
        </w:rPr>
      </w:pPr>
      <w:r>
        <w:rPr>
          <w:rFonts w:ascii="Times New Roman" w:hAnsi="Times New Roman"/>
          <w:szCs w:val="24"/>
          <w:lang w:val="zh-CN"/>
        </w:rPr>
        <w:t>集气站占地面积为</w:t>
      </w:r>
      <w:r>
        <w:rPr>
          <w:rFonts w:hint="eastAsia" w:ascii="Times New Roman" w:hAnsi="Times New Roman"/>
          <w:szCs w:val="24"/>
          <w:lang w:val="zh-CN"/>
        </w:rPr>
        <w:t>7894</w:t>
      </w:r>
      <w:r>
        <w:rPr>
          <w:rFonts w:ascii="Times New Roman" w:hAnsi="Times New Roman"/>
          <w:szCs w:val="24"/>
          <w:lang w:val="zh-CN"/>
        </w:rPr>
        <w:t>m</w:t>
      </w:r>
      <w:r>
        <w:rPr>
          <w:rFonts w:ascii="Times New Roman" w:hAnsi="Times New Roman"/>
          <w:szCs w:val="24"/>
          <w:vertAlign w:val="superscript"/>
          <w:lang w:val="zh-CN"/>
        </w:rPr>
        <w:t>2</w:t>
      </w:r>
      <w:r>
        <w:rPr>
          <w:rFonts w:ascii="Times New Roman" w:hAnsi="Times New Roman"/>
          <w:szCs w:val="24"/>
          <w:lang w:val="zh-CN"/>
        </w:rPr>
        <w:t>，占地类型为荒草地，采用临时征用，根据国家及地方有关规定对当地进行土地临时征用和补偿，服务期满后对场地平整并进行生态恢复。</w:t>
      </w:r>
    </w:p>
    <w:p>
      <w:pPr>
        <w:snapToGrid w:val="0"/>
        <w:ind w:firstLine="480"/>
        <w:rPr>
          <w:rFonts w:ascii="Times New Roman" w:hAnsi="Times New Roman"/>
          <w:szCs w:val="24"/>
        </w:rPr>
      </w:pPr>
      <w:r>
        <w:rPr>
          <w:rFonts w:ascii="Times New Roman" w:hAnsi="Times New Roman"/>
          <w:szCs w:val="24"/>
        </w:rPr>
        <w:t>（3）废水处理站平面布置图</w:t>
      </w:r>
    </w:p>
    <w:p>
      <w:pPr>
        <w:snapToGrid w:val="0"/>
        <w:ind w:firstLine="480"/>
        <w:rPr>
          <w:rFonts w:ascii="Times New Roman" w:hAnsi="Times New Roman"/>
          <w:szCs w:val="24"/>
        </w:rPr>
      </w:pPr>
      <w:r>
        <w:rPr>
          <w:rFonts w:ascii="Times New Roman" w:hAnsi="Times New Roman"/>
          <w:szCs w:val="24"/>
        </w:rPr>
        <w:t>本项目新建2座废水处理站，1座位于LX-103井场的100m</w:t>
      </w:r>
      <w:r>
        <w:rPr>
          <w:rFonts w:ascii="Times New Roman" w:hAnsi="Times New Roman"/>
          <w:szCs w:val="24"/>
          <w:vertAlign w:val="superscript"/>
        </w:rPr>
        <w:t>3</w:t>
      </w:r>
      <w:r>
        <w:rPr>
          <w:rFonts w:ascii="Times New Roman" w:hAnsi="Times New Roman"/>
          <w:szCs w:val="24"/>
        </w:rPr>
        <w:t>/d采出水净化处理站，占地面积</w:t>
      </w:r>
      <w:r>
        <w:rPr>
          <w:rFonts w:hint="eastAsia" w:ascii="Times New Roman" w:hAnsi="Times New Roman"/>
          <w:szCs w:val="24"/>
        </w:rPr>
        <w:t>4000</w:t>
      </w:r>
      <w:r>
        <w:rPr>
          <w:rFonts w:ascii="Times New Roman" w:hAnsi="Times New Roman"/>
          <w:szCs w:val="24"/>
        </w:rPr>
        <w:t>m</w:t>
      </w:r>
      <w:r>
        <w:rPr>
          <w:rFonts w:ascii="Times New Roman" w:hAnsi="Times New Roman"/>
          <w:szCs w:val="24"/>
          <w:vertAlign w:val="superscript"/>
        </w:rPr>
        <w:t>2</w:t>
      </w:r>
      <w:r>
        <w:rPr>
          <w:rFonts w:ascii="Times New Roman" w:hAnsi="Times New Roman"/>
          <w:szCs w:val="24"/>
        </w:rPr>
        <w:t>；1座位于LX-104井场的100m</w:t>
      </w:r>
      <w:r>
        <w:rPr>
          <w:rFonts w:ascii="Times New Roman" w:hAnsi="Times New Roman"/>
          <w:szCs w:val="24"/>
          <w:vertAlign w:val="superscript"/>
        </w:rPr>
        <w:t>3</w:t>
      </w:r>
      <w:r>
        <w:rPr>
          <w:rFonts w:ascii="Times New Roman" w:hAnsi="Times New Roman"/>
          <w:szCs w:val="24"/>
        </w:rPr>
        <w:t>/d蒸发处理站，占地面积</w:t>
      </w:r>
      <w:r>
        <w:rPr>
          <w:rFonts w:hint="eastAsia" w:ascii="Times New Roman" w:hAnsi="Times New Roman"/>
          <w:szCs w:val="24"/>
        </w:rPr>
        <w:t>4900</w:t>
      </w:r>
      <w:r>
        <w:rPr>
          <w:rFonts w:ascii="Times New Roman" w:hAnsi="Times New Roman"/>
          <w:szCs w:val="24"/>
        </w:rPr>
        <w:t>m</w:t>
      </w:r>
      <w:r>
        <w:rPr>
          <w:rFonts w:ascii="Times New Roman" w:hAnsi="Times New Roman"/>
          <w:szCs w:val="24"/>
          <w:vertAlign w:val="superscript"/>
        </w:rPr>
        <w:t>2</w:t>
      </w:r>
      <w:r>
        <w:rPr>
          <w:rFonts w:ascii="Times New Roman" w:hAnsi="Times New Roman"/>
          <w:szCs w:val="24"/>
        </w:rPr>
        <w:t>。</w:t>
      </w:r>
      <w:r>
        <w:rPr>
          <w:rFonts w:hint="eastAsia" w:ascii="Times New Roman" w:hAnsi="Times New Roman"/>
          <w:szCs w:val="24"/>
        </w:rPr>
        <w:t>采出水净化处理站</w:t>
      </w:r>
      <w:r>
        <w:rPr>
          <w:rFonts w:ascii="Times New Roman" w:hAnsi="Times New Roman"/>
          <w:szCs w:val="24"/>
        </w:rPr>
        <w:t>平面布置见图3.3-5</w:t>
      </w:r>
      <w:r>
        <w:rPr>
          <w:rFonts w:hint="eastAsia" w:ascii="Times New Roman" w:hAnsi="Times New Roman"/>
          <w:szCs w:val="24"/>
        </w:rPr>
        <w:t>，蒸发处理站平面布置见</w:t>
      </w:r>
      <w:r>
        <w:rPr>
          <w:rFonts w:ascii="Times New Roman" w:hAnsi="Times New Roman"/>
          <w:szCs w:val="24"/>
        </w:rPr>
        <w:t>图3.3-6</w:t>
      </w:r>
      <w:r>
        <w:rPr>
          <w:rFonts w:hint="eastAsia" w:ascii="Times New Roman" w:hAnsi="Times New Roman"/>
          <w:szCs w:val="24"/>
        </w:rPr>
        <w:t>。</w:t>
      </w:r>
    </w:p>
    <w:p>
      <w:pPr>
        <w:snapToGrid w:val="0"/>
        <w:spacing w:line="240" w:lineRule="auto"/>
        <w:ind w:firstLine="0" w:firstLineChars="0"/>
        <w:jc w:val="center"/>
        <w:rPr>
          <w:rFonts w:ascii="Times New Roman" w:hAnsi="Times New Roman"/>
          <w:szCs w:val="24"/>
        </w:rPr>
      </w:pPr>
      <w:r>
        <w:rPr>
          <w:rFonts w:ascii="Times New Roman" w:hAnsi="Times New Roman"/>
          <w:szCs w:val="24"/>
        </w:rPr>
        <w:drawing>
          <wp:inline distT="0" distB="0" distL="0" distR="0">
            <wp:extent cx="5419725" cy="2828925"/>
            <wp:effectExtent l="19050" t="19050" r="9525"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40">
                      <a:extLst>
                        <a:ext uri="{28A0092B-C50C-407E-A947-70E740481C1C}">
                          <a14:useLocalDpi xmlns:a14="http://schemas.microsoft.com/office/drawing/2010/main" val="0"/>
                        </a:ext>
                      </a:extLst>
                    </a:blip>
                    <a:srcRect b="35835"/>
                    <a:stretch>
                      <a:fillRect/>
                    </a:stretch>
                  </pic:blipFill>
                  <pic:spPr>
                    <a:xfrm>
                      <a:off x="0" y="0"/>
                      <a:ext cx="5433764" cy="2836253"/>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w:r>
    </w:p>
    <w:p>
      <w:pPr>
        <w:snapToGrid w:val="0"/>
        <w:spacing w:before="156" w:beforeLines="50" w:after="156" w:afterLines="50" w:line="240" w:lineRule="auto"/>
        <w:ind w:firstLine="0" w:firstLineChars="0"/>
        <w:jc w:val="center"/>
        <w:rPr>
          <w:rFonts w:ascii="Times New Roman" w:hAnsi="Times New Roman"/>
          <w:b/>
          <w:sz w:val="21"/>
        </w:rPr>
      </w:pPr>
      <w:r>
        <w:rPr>
          <w:rFonts w:ascii="Times New Roman" w:hAnsi="Times New Roman"/>
          <w:b/>
          <w:sz w:val="21"/>
        </w:rPr>
        <w:t>图3.3-5  LX-103井场采出水净化处理站平面布置示意图</w:t>
      </w:r>
    </w:p>
    <w:p>
      <w:pPr>
        <w:snapToGrid w:val="0"/>
        <w:ind w:firstLine="0" w:firstLineChars="0"/>
        <w:jc w:val="center"/>
        <w:rPr>
          <w:rFonts w:ascii="Times New Roman" w:hAnsi="Times New Roman"/>
          <w:b/>
        </w:rPr>
      </w:pPr>
      <w:r>
        <w:rPr>
          <w:rFonts w:ascii="Times New Roman" w:hAnsi="Times New Roman"/>
          <w:b/>
        </w:rPr>
        <w:drawing>
          <wp:inline distT="0" distB="0" distL="0" distR="0">
            <wp:extent cx="5419725" cy="3729355"/>
            <wp:effectExtent l="19050" t="19050" r="0"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noChangeArrowheads="1"/>
                    </pic:cNvPicPr>
                  </pic:nvPicPr>
                  <pic:blipFill>
                    <a:blip r:embed="rId41" cstate="print"/>
                    <a:srcRect/>
                    <a:stretch>
                      <a:fillRect/>
                    </a:stretch>
                  </pic:blipFill>
                  <pic:spPr>
                    <a:xfrm>
                      <a:off x="0" y="0"/>
                      <a:ext cx="5419127" cy="3729041"/>
                    </a:xfrm>
                    <a:prstGeom prst="rect">
                      <a:avLst/>
                    </a:prstGeom>
                    <a:noFill/>
                    <a:ln w="9525">
                      <a:solidFill>
                        <a:schemeClr val="tx1"/>
                      </a:solidFill>
                      <a:miter lim="800000"/>
                      <a:headEnd/>
                      <a:tailEnd/>
                    </a:ln>
                  </pic:spPr>
                </pic:pic>
              </a:graphicData>
            </a:graphic>
          </wp:inline>
        </w:drawing>
      </w:r>
    </w:p>
    <w:p>
      <w:pPr>
        <w:snapToGrid w:val="0"/>
        <w:spacing w:after="156" w:afterLines="50" w:line="240" w:lineRule="auto"/>
        <w:ind w:firstLine="0" w:firstLineChars="0"/>
        <w:jc w:val="center"/>
        <w:rPr>
          <w:rFonts w:ascii="Times New Roman" w:hAnsi="Times New Roman"/>
          <w:b/>
          <w:sz w:val="21"/>
        </w:rPr>
      </w:pPr>
      <w:r>
        <w:rPr>
          <w:rFonts w:ascii="Times New Roman" w:hAnsi="Times New Roman"/>
          <w:b/>
          <w:sz w:val="21"/>
        </w:rPr>
        <w:t>图3.3-6  LX-104井场蒸发处理站平面布置示意图</w:t>
      </w:r>
    </w:p>
    <w:p>
      <w:pPr>
        <w:snapToGrid w:val="0"/>
        <w:ind w:firstLine="480"/>
        <w:rPr>
          <w:rFonts w:ascii="Times New Roman" w:hAnsi="Times New Roman"/>
          <w:szCs w:val="24"/>
        </w:rPr>
      </w:pPr>
      <w:r>
        <w:rPr>
          <w:rFonts w:ascii="Times New Roman" w:hAnsi="Times New Roman"/>
          <w:szCs w:val="24"/>
        </w:rPr>
        <w:t>（4）管线建设</w:t>
      </w:r>
    </w:p>
    <w:p>
      <w:pPr>
        <w:snapToGrid w:val="0"/>
        <w:ind w:firstLine="480"/>
        <w:rPr>
          <w:rFonts w:ascii="Times New Roman" w:hAnsi="Times New Roman"/>
          <w:szCs w:val="24"/>
        </w:rPr>
      </w:pPr>
      <w:r>
        <w:rPr>
          <w:rFonts w:ascii="Times New Roman" w:hAnsi="Times New Roman"/>
          <w:szCs w:val="24"/>
        </w:rPr>
        <w:t>本项目新建集气站、开发井和废水处理站，需新建集气管网</w:t>
      </w:r>
      <w:r>
        <w:rPr>
          <w:rFonts w:hint="eastAsia" w:ascii="Times New Roman" w:hAnsi="Times New Roman"/>
          <w:szCs w:val="24"/>
        </w:rPr>
        <w:t>1.8</w:t>
      </w:r>
      <w:r>
        <w:rPr>
          <w:rFonts w:ascii="Times New Roman" w:hAnsi="Times New Roman"/>
          <w:szCs w:val="24"/>
        </w:rPr>
        <w:t>km、外输干线</w:t>
      </w:r>
      <w:r>
        <w:rPr>
          <w:rFonts w:hint="eastAsia" w:ascii="Times New Roman" w:hAnsi="Times New Roman"/>
          <w:szCs w:val="24"/>
        </w:rPr>
        <w:t>0.2</w:t>
      </w:r>
      <w:r>
        <w:rPr>
          <w:rFonts w:ascii="Times New Roman" w:hAnsi="Times New Roman"/>
          <w:szCs w:val="24"/>
        </w:rPr>
        <w:t>km和废水管线</w:t>
      </w:r>
      <w:r>
        <w:rPr>
          <w:rFonts w:hint="eastAsia" w:ascii="Times New Roman" w:hAnsi="Times New Roman"/>
          <w:szCs w:val="24"/>
        </w:rPr>
        <w:t>0.32</w:t>
      </w:r>
      <w:r>
        <w:rPr>
          <w:rFonts w:ascii="Times New Roman" w:hAnsi="Times New Roman"/>
          <w:szCs w:val="24"/>
        </w:rPr>
        <w:t>km。管线直埋敷设，管底埋深1.</w:t>
      </w:r>
      <w:r>
        <w:rPr>
          <w:rFonts w:hint="eastAsia" w:ascii="Times New Roman" w:hAnsi="Times New Roman"/>
          <w:szCs w:val="24"/>
        </w:rPr>
        <w:t>5</w:t>
      </w:r>
      <w:r>
        <w:rPr>
          <w:rFonts w:ascii="Times New Roman" w:hAnsi="Times New Roman"/>
          <w:szCs w:val="24"/>
        </w:rPr>
        <w:t>m，管沟开挖深</w:t>
      </w:r>
      <w:r>
        <w:rPr>
          <w:rFonts w:hint="eastAsia" w:ascii="Times New Roman" w:hAnsi="Times New Roman"/>
          <w:szCs w:val="24"/>
        </w:rPr>
        <w:t>1.5</w:t>
      </w:r>
      <w:r>
        <w:rPr>
          <w:rFonts w:ascii="Times New Roman" w:hAnsi="Times New Roman"/>
          <w:szCs w:val="24"/>
        </w:rPr>
        <w:t>m，沟底宽1.10m，开挖边坡1:0.5。</w:t>
      </w:r>
    </w:p>
    <w:p>
      <w:pPr>
        <w:ind w:firstLine="0" w:firstLineChars="0"/>
        <w:outlineLvl w:val="2"/>
        <w:rPr>
          <w:rFonts w:ascii="Times New Roman" w:hAnsi="Times New Roman"/>
          <w:b/>
          <w:sz w:val="28"/>
          <w:szCs w:val="28"/>
        </w:rPr>
      </w:pPr>
      <w:bookmarkStart w:id="46" w:name="_Toc524624581"/>
      <w:r>
        <w:rPr>
          <w:rFonts w:ascii="Times New Roman" w:hAnsi="Times New Roman"/>
          <w:b/>
          <w:sz w:val="28"/>
          <w:szCs w:val="28"/>
        </w:rPr>
        <w:t>3.3.3 公用工程</w:t>
      </w:r>
      <w:bookmarkEnd w:id="46"/>
    </w:p>
    <w:p>
      <w:pPr>
        <w:snapToGrid w:val="0"/>
        <w:ind w:firstLine="480"/>
        <w:rPr>
          <w:rFonts w:ascii="Times New Roman" w:hAnsi="Times New Roman"/>
          <w:szCs w:val="24"/>
        </w:rPr>
      </w:pPr>
      <w:r>
        <w:rPr>
          <w:rFonts w:ascii="Times New Roman" w:hAnsi="Times New Roman"/>
          <w:szCs w:val="24"/>
        </w:rPr>
        <w:t>（1）供配电工程</w:t>
      </w:r>
    </w:p>
    <w:p>
      <w:pPr>
        <w:snapToGrid w:val="0"/>
        <w:ind w:firstLine="480"/>
        <w:rPr>
          <w:rFonts w:ascii="Times New Roman" w:hAnsi="Times New Roman"/>
          <w:szCs w:val="24"/>
        </w:rPr>
      </w:pPr>
      <w:r>
        <w:rPr>
          <w:rFonts w:hint="eastAsia" w:ascii="Times New Roman" w:hAnsi="Times New Roman"/>
          <w:szCs w:val="24"/>
        </w:rPr>
        <w:t>本项目集气站、办公生活区外电源拟引自张家坪变电站，一路供电，电压等级为10kV。井场采用太阳能供电。废水处理站供电采用燃气发电机组自发电。</w:t>
      </w:r>
    </w:p>
    <w:p>
      <w:pPr>
        <w:snapToGrid w:val="0"/>
        <w:ind w:firstLine="480"/>
        <w:rPr>
          <w:rFonts w:ascii="Times New Roman" w:hAnsi="Times New Roman"/>
          <w:szCs w:val="24"/>
        </w:rPr>
      </w:pPr>
      <w:r>
        <w:rPr>
          <w:rFonts w:ascii="Times New Roman" w:hAnsi="Times New Roman"/>
          <w:szCs w:val="24"/>
        </w:rPr>
        <w:t>（2）供暖与供热工程</w:t>
      </w:r>
    </w:p>
    <w:p>
      <w:pPr>
        <w:snapToGrid w:val="0"/>
        <w:ind w:firstLine="480"/>
        <w:rPr>
          <w:rFonts w:ascii="Times New Roman" w:hAnsi="Times New Roman"/>
          <w:szCs w:val="24"/>
        </w:rPr>
      </w:pPr>
      <w:r>
        <w:rPr>
          <w:rFonts w:ascii="Times New Roman" w:hAnsi="Times New Roman"/>
          <w:szCs w:val="24"/>
        </w:rPr>
        <w:t>供暖：本项目集气站供暖采用空调供暖，办公生活区供暖采用</w:t>
      </w:r>
      <w:r>
        <w:rPr>
          <w:rFonts w:hint="eastAsia" w:ascii="Times New Roman" w:hAnsi="Times New Roman"/>
          <w:szCs w:val="24"/>
        </w:rPr>
        <w:t>CWNS0.7-85/60-Q</w:t>
      </w:r>
      <w:r>
        <w:rPr>
          <w:rFonts w:ascii="Times New Roman" w:hAnsi="Times New Roman"/>
          <w:szCs w:val="24"/>
        </w:rPr>
        <w:t>燃气锅炉</w:t>
      </w:r>
      <w:r>
        <w:rPr>
          <w:rFonts w:hint="eastAsia" w:ascii="Times New Roman" w:hAnsi="Times New Roman"/>
          <w:szCs w:val="24"/>
        </w:rPr>
        <w:t>（一用一备）</w:t>
      </w:r>
      <w:r>
        <w:rPr>
          <w:rFonts w:ascii="Times New Roman" w:hAnsi="Times New Roman"/>
          <w:szCs w:val="24"/>
        </w:rPr>
        <w:t>。</w:t>
      </w:r>
    </w:p>
    <w:p>
      <w:pPr>
        <w:snapToGrid w:val="0"/>
        <w:ind w:firstLine="480"/>
        <w:rPr>
          <w:rFonts w:ascii="Times New Roman" w:hAnsi="Times New Roman"/>
          <w:szCs w:val="24"/>
        </w:rPr>
      </w:pPr>
      <w:r>
        <w:rPr>
          <w:rFonts w:ascii="Times New Roman" w:hAnsi="Times New Roman"/>
          <w:szCs w:val="24"/>
        </w:rPr>
        <w:t>供热：废水处理站冬季供热采用燃气锅炉供热，LX-103井场采出水净化处理站配备</w:t>
      </w:r>
      <w:r>
        <w:rPr>
          <w:rFonts w:hint="eastAsia" w:ascii="Times New Roman" w:hAnsi="Times New Roman"/>
          <w:szCs w:val="24"/>
        </w:rPr>
        <w:t>2</w:t>
      </w:r>
      <w:r>
        <w:rPr>
          <w:rFonts w:ascii="Times New Roman" w:hAnsi="Times New Roman"/>
          <w:szCs w:val="24"/>
        </w:rPr>
        <w:t>台CLHS0.6-95/65-Q(Y)燃气</w:t>
      </w:r>
      <w:r>
        <w:rPr>
          <w:rFonts w:hint="eastAsia" w:ascii="Times New Roman" w:hAnsi="Times New Roman"/>
          <w:szCs w:val="24"/>
        </w:rPr>
        <w:t>锅炉（一用一备）</w:t>
      </w:r>
      <w:r>
        <w:rPr>
          <w:rFonts w:ascii="Times New Roman" w:hAnsi="Times New Roman"/>
          <w:szCs w:val="24"/>
        </w:rPr>
        <w:t>，LX-104井场蒸发处理站配备</w:t>
      </w:r>
      <w:r>
        <w:rPr>
          <w:rFonts w:hint="eastAsia" w:ascii="Times New Roman" w:hAnsi="Times New Roman"/>
          <w:szCs w:val="24"/>
        </w:rPr>
        <w:t>2</w:t>
      </w:r>
      <w:r>
        <w:rPr>
          <w:rFonts w:ascii="Times New Roman" w:hAnsi="Times New Roman"/>
          <w:szCs w:val="24"/>
        </w:rPr>
        <w:t>台CLHS0.6-95/65-Q(Y)燃气</w:t>
      </w:r>
      <w:r>
        <w:rPr>
          <w:rFonts w:hint="eastAsia" w:ascii="Times New Roman" w:hAnsi="Times New Roman"/>
          <w:szCs w:val="24"/>
        </w:rPr>
        <w:t>锅炉（一用一备）</w:t>
      </w:r>
      <w:r>
        <w:rPr>
          <w:rFonts w:ascii="Times New Roman" w:hAnsi="Times New Roman"/>
          <w:szCs w:val="24"/>
        </w:rPr>
        <w:t>；集气站冬季</w:t>
      </w:r>
      <w:r>
        <w:rPr>
          <w:rFonts w:hint="eastAsia" w:ascii="Times New Roman" w:hAnsi="Times New Roman"/>
          <w:szCs w:val="24"/>
        </w:rPr>
        <w:t>采用空调</w:t>
      </w:r>
      <w:r>
        <w:rPr>
          <w:rFonts w:ascii="Times New Roman" w:hAnsi="Times New Roman"/>
          <w:szCs w:val="24"/>
        </w:rPr>
        <w:t>供热</w:t>
      </w:r>
      <w:r>
        <w:rPr>
          <w:rFonts w:hint="eastAsia" w:ascii="Times New Roman" w:hAnsi="Times New Roman"/>
          <w:szCs w:val="24"/>
        </w:rPr>
        <w:t>。</w:t>
      </w:r>
    </w:p>
    <w:p>
      <w:pPr>
        <w:snapToGrid w:val="0"/>
        <w:ind w:firstLine="480"/>
        <w:rPr>
          <w:rFonts w:ascii="Times New Roman" w:hAnsi="Times New Roman"/>
          <w:szCs w:val="24"/>
        </w:rPr>
      </w:pPr>
      <w:r>
        <w:rPr>
          <w:rFonts w:ascii="Times New Roman" w:hAnsi="Times New Roman"/>
          <w:szCs w:val="24"/>
        </w:rPr>
        <w:t>（3）供水工程</w:t>
      </w:r>
    </w:p>
    <w:p>
      <w:pPr>
        <w:snapToGrid w:val="0"/>
        <w:ind w:firstLine="480"/>
        <w:rPr>
          <w:rFonts w:ascii="Times New Roman" w:hAnsi="Times New Roman"/>
          <w:szCs w:val="24"/>
          <w:lang w:val="zh-CN"/>
        </w:rPr>
      </w:pPr>
      <w:r>
        <w:rPr>
          <w:rFonts w:ascii="Times New Roman" w:hAnsi="Times New Roman"/>
          <w:szCs w:val="24"/>
          <w:lang w:val="zh-CN"/>
        </w:rPr>
        <w:t>项目用水主要为办公生活区和集气站生活用水和其他用水。</w:t>
      </w:r>
    </w:p>
    <w:p>
      <w:pPr>
        <w:snapToGrid w:val="0"/>
        <w:ind w:firstLine="480"/>
        <w:rPr>
          <w:rFonts w:ascii="Times New Roman" w:hAnsi="Times New Roman"/>
          <w:szCs w:val="24"/>
          <w:lang w:val="zh-CN"/>
        </w:rPr>
      </w:pPr>
      <w:r>
        <w:rPr>
          <w:rFonts w:ascii="Times New Roman" w:hAnsi="Times New Roman"/>
          <w:szCs w:val="24"/>
          <w:lang w:val="zh-CN"/>
        </w:rPr>
        <w:t>①办公生活区供水</w:t>
      </w:r>
    </w:p>
    <w:p>
      <w:pPr>
        <w:snapToGrid w:val="0"/>
        <w:ind w:firstLine="480"/>
        <w:rPr>
          <w:rFonts w:ascii="Times New Roman" w:hAnsi="Times New Roman"/>
          <w:szCs w:val="24"/>
          <w:lang w:val="zh-CN"/>
        </w:rPr>
      </w:pPr>
      <w:r>
        <w:rPr>
          <w:rFonts w:ascii="Times New Roman" w:hAnsi="Times New Roman"/>
          <w:szCs w:val="24"/>
          <w:lang w:val="zh-CN"/>
        </w:rPr>
        <w:t>办公生活区用水水源为办公生活区内的一口深水井，其他用水水源为生活废水处理站处理后的回用水。</w:t>
      </w:r>
    </w:p>
    <w:p>
      <w:pPr>
        <w:snapToGrid w:val="0"/>
        <w:ind w:firstLine="480"/>
        <w:rPr>
          <w:rFonts w:ascii="Times New Roman" w:hAnsi="Times New Roman"/>
          <w:szCs w:val="24"/>
          <w:lang w:val="zh-CN"/>
        </w:rPr>
      </w:pPr>
      <w:r>
        <w:rPr>
          <w:rFonts w:ascii="Times New Roman" w:hAnsi="Times New Roman"/>
          <w:szCs w:val="24"/>
          <w:lang w:val="zh-CN"/>
        </w:rPr>
        <w:t>办公生活区可容纳100人住宿</w:t>
      </w:r>
      <w:r>
        <w:rPr>
          <w:rFonts w:hint="eastAsia" w:ascii="Times New Roman" w:hAnsi="Times New Roman"/>
          <w:szCs w:val="24"/>
          <w:lang w:val="zh-CN"/>
        </w:rPr>
        <w:t>办公</w:t>
      </w:r>
      <w:r>
        <w:rPr>
          <w:rFonts w:ascii="Times New Roman" w:hAnsi="Times New Roman"/>
          <w:szCs w:val="24"/>
          <w:lang w:val="zh-CN"/>
        </w:rPr>
        <w:t>，住宿人员每人每天用水量按250L计算，则生活用水量为</w:t>
      </w:r>
      <w:r>
        <w:rPr>
          <w:rFonts w:hint="eastAsia" w:ascii="Times New Roman" w:hAnsi="Times New Roman"/>
          <w:szCs w:val="24"/>
          <w:lang w:val="zh-CN"/>
        </w:rPr>
        <w:t>25</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w:t>
      </w:r>
    </w:p>
    <w:p>
      <w:pPr>
        <w:snapToGrid w:val="0"/>
        <w:ind w:firstLine="480"/>
        <w:rPr>
          <w:rFonts w:ascii="Times New Roman" w:hAnsi="Times New Roman"/>
          <w:szCs w:val="24"/>
          <w:lang w:val="zh-CN"/>
        </w:rPr>
      </w:pPr>
      <w:r>
        <w:rPr>
          <w:rFonts w:ascii="Times New Roman" w:hAnsi="Times New Roman"/>
          <w:szCs w:val="24"/>
          <w:lang w:val="zh-CN"/>
        </w:rPr>
        <w:t>其他用水主要为办公生活区绿化用水和场地道路洒水。绿化用水按照2L/m</w:t>
      </w:r>
      <w:r>
        <w:rPr>
          <w:rFonts w:ascii="Times New Roman" w:hAnsi="Times New Roman"/>
          <w:szCs w:val="24"/>
          <w:vertAlign w:val="superscript"/>
          <w:lang w:val="zh-CN"/>
        </w:rPr>
        <w:t>2</w:t>
      </w:r>
      <w:r>
        <w:rPr>
          <w:rFonts w:ascii="Times New Roman" w:hAnsi="Times New Roman"/>
          <w:szCs w:val="24"/>
          <w:lang w:val="zh-CN"/>
        </w:rPr>
        <w:t>•d计算，绿化面积为3592m</w:t>
      </w:r>
      <w:r>
        <w:rPr>
          <w:rFonts w:ascii="Times New Roman" w:hAnsi="Times New Roman"/>
          <w:szCs w:val="24"/>
          <w:vertAlign w:val="superscript"/>
          <w:lang w:val="zh-CN"/>
        </w:rPr>
        <w:t>2</w:t>
      </w:r>
      <w:r>
        <w:rPr>
          <w:rFonts w:ascii="Times New Roman" w:hAnsi="Times New Roman"/>
          <w:szCs w:val="24"/>
          <w:lang w:val="zh-CN"/>
        </w:rPr>
        <w:t>，则绿化用水量为7.2 m</w:t>
      </w:r>
      <w:r>
        <w:rPr>
          <w:rFonts w:ascii="Times New Roman" w:hAnsi="Times New Roman"/>
          <w:szCs w:val="24"/>
          <w:vertAlign w:val="superscript"/>
          <w:lang w:val="zh-CN"/>
        </w:rPr>
        <w:t>3</w:t>
      </w:r>
      <w:r>
        <w:rPr>
          <w:rFonts w:ascii="Times New Roman" w:hAnsi="Times New Roman"/>
          <w:szCs w:val="24"/>
          <w:lang w:val="zh-CN"/>
        </w:rPr>
        <w:t>/d；道路洒水按照3 L/m</w:t>
      </w:r>
      <w:r>
        <w:rPr>
          <w:rFonts w:ascii="Times New Roman" w:hAnsi="Times New Roman"/>
          <w:szCs w:val="24"/>
          <w:vertAlign w:val="superscript"/>
          <w:lang w:val="zh-CN"/>
        </w:rPr>
        <w:t>2</w:t>
      </w:r>
      <w:r>
        <w:rPr>
          <w:rFonts w:ascii="Times New Roman" w:hAnsi="Times New Roman"/>
          <w:szCs w:val="24"/>
          <w:lang w:val="zh-CN"/>
        </w:rPr>
        <w:t>•d计算，道路面积为</w:t>
      </w:r>
      <w:r>
        <w:rPr>
          <w:rFonts w:hint="eastAsia" w:ascii="Times New Roman" w:hAnsi="Times New Roman"/>
          <w:szCs w:val="24"/>
          <w:lang w:val="zh-CN"/>
        </w:rPr>
        <w:t>5680</w:t>
      </w:r>
      <w:r>
        <w:rPr>
          <w:rFonts w:ascii="Times New Roman" w:hAnsi="Times New Roman"/>
          <w:szCs w:val="24"/>
          <w:lang w:val="zh-CN"/>
        </w:rPr>
        <w:t>m</w:t>
      </w:r>
      <w:r>
        <w:rPr>
          <w:rFonts w:ascii="Times New Roman" w:hAnsi="Times New Roman"/>
          <w:szCs w:val="24"/>
          <w:vertAlign w:val="superscript"/>
          <w:lang w:val="zh-CN"/>
        </w:rPr>
        <w:t>2</w:t>
      </w:r>
      <w:r>
        <w:rPr>
          <w:rFonts w:ascii="Times New Roman" w:hAnsi="Times New Roman"/>
          <w:szCs w:val="24"/>
          <w:lang w:val="zh-CN"/>
        </w:rPr>
        <w:t>，则道路洒水用水量为</w:t>
      </w:r>
      <w:r>
        <w:rPr>
          <w:rFonts w:hint="eastAsia" w:ascii="Times New Roman" w:hAnsi="Times New Roman"/>
          <w:szCs w:val="24"/>
          <w:lang w:val="zh-CN"/>
        </w:rPr>
        <w:t>17.04</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w:t>
      </w:r>
    </w:p>
    <w:p>
      <w:pPr>
        <w:snapToGrid w:val="0"/>
        <w:ind w:firstLine="480"/>
        <w:rPr>
          <w:rFonts w:ascii="Times New Roman" w:hAnsi="Times New Roman"/>
          <w:szCs w:val="24"/>
          <w:lang w:val="zh-CN"/>
        </w:rPr>
      </w:pPr>
      <w:r>
        <w:rPr>
          <w:rFonts w:ascii="Times New Roman" w:hAnsi="Times New Roman"/>
          <w:szCs w:val="24"/>
          <w:lang w:val="zh-CN"/>
        </w:rPr>
        <w:t>②集气站供水</w:t>
      </w:r>
    </w:p>
    <w:p>
      <w:pPr>
        <w:snapToGrid w:val="0"/>
        <w:ind w:firstLine="480"/>
        <w:rPr>
          <w:rFonts w:ascii="Times New Roman" w:hAnsi="Times New Roman"/>
          <w:szCs w:val="24"/>
          <w:lang w:val="zh-CN"/>
        </w:rPr>
      </w:pPr>
      <w:r>
        <w:rPr>
          <w:rFonts w:ascii="Times New Roman" w:hAnsi="Times New Roman"/>
          <w:szCs w:val="24"/>
          <w:lang w:val="zh-CN"/>
        </w:rPr>
        <w:t>集气站生活用水水源</w:t>
      </w:r>
      <w:r>
        <w:rPr>
          <w:rFonts w:hint="eastAsia" w:ascii="Times New Roman" w:hAnsi="Times New Roman"/>
          <w:szCs w:val="24"/>
          <w:lang w:val="zh-CN"/>
        </w:rPr>
        <w:t>来自附近村庄水井</w:t>
      </w:r>
      <w:r>
        <w:rPr>
          <w:rFonts w:ascii="Times New Roman" w:hAnsi="Times New Roman"/>
          <w:szCs w:val="24"/>
          <w:lang w:val="zh-CN"/>
        </w:rPr>
        <w:t>。</w:t>
      </w:r>
    </w:p>
    <w:p>
      <w:pPr>
        <w:snapToGrid w:val="0"/>
        <w:ind w:firstLine="480"/>
        <w:rPr>
          <w:rFonts w:ascii="Times New Roman" w:hAnsi="Times New Roman"/>
          <w:szCs w:val="24"/>
          <w:lang w:val="zh-CN"/>
        </w:rPr>
      </w:pPr>
      <w:r>
        <w:rPr>
          <w:rFonts w:ascii="Times New Roman" w:hAnsi="Times New Roman"/>
          <w:szCs w:val="24"/>
          <w:lang w:val="zh-CN"/>
        </w:rPr>
        <w:t>集气站办公人员5人，每人每天用水量按100L计算，则生活用水量为0.5m</w:t>
      </w:r>
      <w:r>
        <w:rPr>
          <w:rFonts w:ascii="Times New Roman" w:hAnsi="Times New Roman"/>
          <w:szCs w:val="24"/>
          <w:vertAlign w:val="superscript"/>
          <w:lang w:val="zh-CN"/>
        </w:rPr>
        <w:t>3</w:t>
      </w:r>
      <w:r>
        <w:rPr>
          <w:rFonts w:ascii="Times New Roman" w:hAnsi="Times New Roman"/>
          <w:szCs w:val="24"/>
          <w:lang w:val="zh-CN"/>
        </w:rPr>
        <w:t>/d。道路面积</w:t>
      </w:r>
      <w:r>
        <w:rPr>
          <w:rFonts w:hint="eastAsia" w:ascii="Times New Roman" w:hAnsi="Times New Roman"/>
          <w:szCs w:val="24"/>
          <w:lang w:val="zh-CN"/>
        </w:rPr>
        <w:t>1000</w:t>
      </w:r>
      <w:r>
        <w:rPr>
          <w:rFonts w:ascii="Times New Roman" w:hAnsi="Times New Roman"/>
          <w:szCs w:val="24"/>
          <w:lang w:val="zh-CN"/>
        </w:rPr>
        <w:t>m</w:t>
      </w:r>
      <w:r>
        <w:rPr>
          <w:rFonts w:ascii="Times New Roman" w:hAnsi="Times New Roman"/>
          <w:szCs w:val="24"/>
          <w:vertAlign w:val="superscript"/>
          <w:lang w:val="zh-CN"/>
        </w:rPr>
        <w:t>2</w:t>
      </w:r>
      <w:r>
        <w:rPr>
          <w:rFonts w:ascii="Times New Roman" w:hAnsi="Times New Roman"/>
          <w:szCs w:val="24"/>
          <w:lang w:val="zh-CN"/>
        </w:rPr>
        <w:t>，则道路洒水用水量为</w:t>
      </w:r>
      <w:r>
        <w:rPr>
          <w:rFonts w:hint="eastAsia" w:ascii="Times New Roman" w:hAnsi="Times New Roman"/>
          <w:szCs w:val="24"/>
          <w:lang w:val="zh-CN"/>
        </w:rPr>
        <w:t>3</w:t>
      </w:r>
      <w:r>
        <w:rPr>
          <w:rFonts w:ascii="Times New Roman" w:hAnsi="Times New Roman"/>
          <w:szCs w:val="24"/>
          <w:lang w:val="zh-CN"/>
        </w:rPr>
        <w:t xml:space="preserve"> m</w:t>
      </w:r>
      <w:r>
        <w:rPr>
          <w:rFonts w:ascii="Times New Roman" w:hAnsi="Times New Roman"/>
          <w:szCs w:val="24"/>
          <w:vertAlign w:val="superscript"/>
          <w:lang w:val="zh-CN"/>
        </w:rPr>
        <w:t>3</w:t>
      </w:r>
      <w:r>
        <w:rPr>
          <w:rFonts w:ascii="Times New Roman" w:hAnsi="Times New Roman"/>
          <w:szCs w:val="24"/>
          <w:lang w:val="zh-CN"/>
        </w:rPr>
        <w:t>/d。</w:t>
      </w:r>
    </w:p>
    <w:p>
      <w:pPr>
        <w:snapToGrid w:val="0"/>
        <w:ind w:firstLine="480"/>
        <w:rPr>
          <w:rFonts w:ascii="Times New Roman" w:hAnsi="Times New Roman"/>
          <w:szCs w:val="24"/>
        </w:rPr>
      </w:pPr>
      <w:r>
        <w:rPr>
          <w:rFonts w:ascii="Times New Roman" w:hAnsi="Times New Roman"/>
          <w:szCs w:val="24"/>
        </w:rPr>
        <w:t>（4）排水工程</w:t>
      </w:r>
    </w:p>
    <w:p>
      <w:pPr>
        <w:snapToGrid w:val="0"/>
        <w:ind w:firstLine="480"/>
        <w:rPr>
          <w:rFonts w:ascii="Times New Roman" w:hAnsi="Times New Roman"/>
          <w:szCs w:val="24"/>
        </w:rPr>
      </w:pPr>
      <w:r>
        <w:rPr>
          <w:rFonts w:ascii="Times New Roman" w:hAnsi="Times New Roman"/>
          <w:szCs w:val="24"/>
        </w:rPr>
        <w:t>本项目排水分为生产废水和生活废水。</w:t>
      </w:r>
    </w:p>
    <w:p>
      <w:pPr>
        <w:snapToGrid w:val="0"/>
        <w:ind w:firstLine="480"/>
        <w:rPr>
          <w:rFonts w:ascii="Times New Roman" w:hAnsi="Times New Roman"/>
          <w:szCs w:val="24"/>
        </w:rPr>
      </w:pPr>
      <w:r>
        <w:rPr>
          <w:rFonts w:ascii="Times New Roman" w:hAnsi="Times New Roman"/>
          <w:szCs w:val="24"/>
        </w:rPr>
        <w:t>①生产废水</w:t>
      </w:r>
    </w:p>
    <w:p>
      <w:pPr>
        <w:snapToGrid w:val="0"/>
        <w:ind w:firstLine="480"/>
        <w:rPr>
          <w:rFonts w:ascii="Times New Roman" w:hAnsi="Times New Roman"/>
          <w:szCs w:val="24"/>
          <w:lang w:val="zh-CN"/>
        </w:rPr>
      </w:pPr>
      <w:r>
        <w:rPr>
          <w:rFonts w:ascii="Times New Roman" w:hAnsi="Times New Roman"/>
          <w:szCs w:val="24"/>
        </w:rPr>
        <w:t>生产废水主要为煤成气生产过程中夹带的少量地层水以及冬季防止煤成气中水分结冻的防冻剂Z-6环保型抑制剂。煤成气经生产分离撬分离出的废水</w:t>
      </w:r>
      <w:r>
        <w:rPr>
          <w:rFonts w:ascii="Times New Roman" w:hAnsi="Times New Roman"/>
          <w:szCs w:val="24"/>
          <w:lang w:val="zh-CN"/>
        </w:rPr>
        <w:t>中主要污染物为</w:t>
      </w:r>
      <w:r>
        <w:rPr>
          <w:rFonts w:hint="eastAsia" w:ascii="Times New Roman" w:hAnsi="Times New Roman"/>
          <w:szCs w:val="24"/>
          <w:lang w:val="zh-CN"/>
        </w:rPr>
        <w:t>SS、</w:t>
      </w:r>
      <w:r>
        <w:rPr>
          <w:rFonts w:ascii="Times New Roman" w:hAnsi="Times New Roman"/>
          <w:szCs w:val="24"/>
          <w:lang w:val="zh-CN"/>
        </w:rPr>
        <w:t>氯化物和石油类。废水污染物浓度见表3.</w:t>
      </w:r>
      <w:r>
        <w:rPr>
          <w:rFonts w:hint="eastAsia" w:ascii="Times New Roman" w:hAnsi="Times New Roman"/>
          <w:szCs w:val="24"/>
          <w:lang w:val="zh-CN"/>
        </w:rPr>
        <w:t>1-2</w:t>
      </w:r>
      <w:r>
        <w:rPr>
          <w:rFonts w:ascii="Times New Roman" w:hAnsi="Times New Roman"/>
          <w:szCs w:val="24"/>
          <w:lang w:val="zh-CN"/>
        </w:rPr>
        <w:t>。</w:t>
      </w:r>
    </w:p>
    <w:p>
      <w:pPr>
        <w:snapToGrid w:val="0"/>
        <w:ind w:firstLine="480"/>
        <w:rPr>
          <w:rFonts w:ascii="Times New Roman" w:hAnsi="Times New Roman"/>
          <w:szCs w:val="24"/>
          <w:lang w:val="zh-CN"/>
        </w:rPr>
      </w:pPr>
      <w:r>
        <w:rPr>
          <w:rFonts w:ascii="Times New Roman" w:hAnsi="Times New Roman"/>
          <w:szCs w:val="24"/>
          <w:lang w:val="zh-CN"/>
        </w:rPr>
        <w:t>根据工程预测，集气站建好运行后采出1万m</w:t>
      </w:r>
      <w:r>
        <w:rPr>
          <w:rFonts w:ascii="Times New Roman" w:hAnsi="Times New Roman"/>
          <w:szCs w:val="24"/>
          <w:vertAlign w:val="superscript"/>
          <w:lang w:val="zh-CN"/>
        </w:rPr>
        <w:t>3</w:t>
      </w:r>
      <w:r>
        <w:rPr>
          <w:rFonts w:ascii="Times New Roman" w:hAnsi="Times New Roman"/>
          <w:szCs w:val="24"/>
          <w:lang w:val="zh-CN"/>
        </w:rPr>
        <w:t>煤成气约产出1m</w:t>
      </w:r>
      <w:r>
        <w:rPr>
          <w:rFonts w:ascii="Times New Roman" w:hAnsi="Times New Roman"/>
          <w:szCs w:val="24"/>
          <w:vertAlign w:val="superscript"/>
          <w:lang w:val="zh-CN"/>
        </w:rPr>
        <w:t>3</w:t>
      </w:r>
      <w:r>
        <w:rPr>
          <w:rFonts w:ascii="Times New Roman" w:hAnsi="Times New Roman"/>
          <w:szCs w:val="24"/>
          <w:lang w:val="zh-CN"/>
        </w:rPr>
        <w:t>废水，因此本项目生产废水产生量为1.6万m</w:t>
      </w:r>
      <w:r>
        <w:rPr>
          <w:rFonts w:ascii="Times New Roman" w:hAnsi="Times New Roman"/>
          <w:szCs w:val="24"/>
          <w:vertAlign w:val="superscript"/>
          <w:lang w:val="zh-CN"/>
        </w:rPr>
        <w:t>3</w:t>
      </w:r>
      <w:r>
        <w:rPr>
          <w:rFonts w:ascii="Times New Roman" w:hAnsi="Times New Roman"/>
          <w:szCs w:val="24"/>
          <w:lang w:val="zh-CN"/>
        </w:rPr>
        <w:t>/a（48.5m</w:t>
      </w:r>
      <w:r>
        <w:rPr>
          <w:rFonts w:ascii="Times New Roman" w:hAnsi="Times New Roman"/>
          <w:szCs w:val="24"/>
          <w:vertAlign w:val="superscript"/>
          <w:lang w:val="zh-CN"/>
        </w:rPr>
        <w:t>3</w:t>
      </w:r>
      <w:r>
        <w:rPr>
          <w:rFonts w:ascii="Times New Roman" w:hAnsi="Times New Roman"/>
          <w:szCs w:val="24"/>
          <w:lang w:val="zh-CN"/>
        </w:rPr>
        <w:t>/d）。由于集气站煤成气设计处理规模为3亿m</w:t>
      </w:r>
      <w:r>
        <w:rPr>
          <w:rFonts w:ascii="Times New Roman" w:hAnsi="Times New Roman"/>
          <w:szCs w:val="24"/>
          <w:vertAlign w:val="superscript"/>
          <w:lang w:val="zh-CN"/>
        </w:rPr>
        <w:t>3</w:t>
      </w:r>
      <w:r>
        <w:rPr>
          <w:rFonts w:ascii="Times New Roman" w:hAnsi="Times New Roman"/>
          <w:szCs w:val="24"/>
          <w:lang w:val="zh-CN"/>
        </w:rPr>
        <w:t>/a，未来集气站采出废水产生量为3万m</w:t>
      </w:r>
      <w:r>
        <w:rPr>
          <w:rFonts w:ascii="Times New Roman" w:hAnsi="Times New Roman"/>
          <w:szCs w:val="24"/>
          <w:vertAlign w:val="superscript"/>
          <w:lang w:val="zh-CN"/>
        </w:rPr>
        <w:t>3</w:t>
      </w:r>
      <w:r>
        <w:rPr>
          <w:rFonts w:ascii="Times New Roman" w:hAnsi="Times New Roman"/>
          <w:szCs w:val="24"/>
          <w:lang w:val="zh-CN"/>
        </w:rPr>
        <w:t>/a（90.9m</w:t>
      </w:r>
      <w:r>
        <w:rPr>
          <w:rFonts w:ascii="Times New Roman" w:hAnsi="Times New Roman"/>
          <w:szCs w:val="24"/>
          <w:vertAlign w:val="superscript"/>
          <w:lang w:val="zh-CN"/>
        </w:rPr>
        <w:t>3</w:t>
      </w:r>
      <w:r>
        <w:rPr>
          <w:rFonts w:ascii="Times New Roman" w:hAnsi="Times New Roman"/>
          <w:szCs w:val="24"/>
          <w:lang w:val="zh-CN"/>
        </w:rPr>
        <w:t>/d），因此，本次生产废水处理站设计规模为100 m</w:t>
      </w:r>
      <w:r>
        <w:rPr>
          <w:rFonts w:ascii="Times New Roman" w:hAnsi="Times New Roman"/>
          <w:szCs w:val="24"/>
          <w:vertAlign w:val="superscript"/>
          <w:lang w:val="zh-CN"/>
        </w:rPr>
        <w:t>3</w:t>
      </w:r>
      <w:r>
        <w:rPr>
          <w:rFonts w:ascii="Times New Roman" w:hAnsi="Times New Roman"/>
          <w:szCs w:val="24"/>
          <w:lang w:val="zh-CN"/>
        </w:rPr>
        <w:t>/d。本项目生产废水全部排入废水处理站，无生产废水外排。</w:t>
      </w:r>
    </w:p>
    <w:p>
      <w:pPr>
        <w:snapToGrid w:val="0"/>
        <w:ind w:firstLine="480"/>
        <w:rPr>
          <w:rFonts w:ascii="Times New Roman" w:hAnsi="Times New Roman"/>
          <w:szCs w:val="24"/>
        </w:rPr>
      </w:pPr>
      <w:r>
        <w:rPr>
          <w:rFonts w:ascii="Times New Roman" w:hAnsi="Times New Roman"/>
          <w:szCs w:val="24"/>
          <w:lang w:val="zh-CN"/>
        </w:rPr>
        <w:t>从集气站</w:t>
      </w:r>
      <w:r>
        <w:rPr>
          <w:rFonts w:ascii="Times New Roman" w:hAnsi="Times New Roman"/>
          <w:szCs w:val="24"/>
        </w:rPr>
        <w:t>生产分离撬分离出来的</w:t>
      </w:r>
      <w:r>
        <w:rPr>
          <w:rFonts w:ascii="Times New Roman" w:hAnsi="Times New Roman"/>
          <w:szCs w:val="24"/>
          <w:lang w:val="zh-CN"/>
        </w:rPr>
        <w:t>采出水</w:t>
      </w:r>
      <w:r>
        <w:rPr>
          <w:rFonts w:hint="eastAsia" w:ascii="Times New Roman" w:hAnsi="Times New Roman"/>
          <w:szCs w:val="24"/>
          <w:lang w:val="zh-CN"/>
        </w:rPr>
        <w:t>经废水管线输送至LX-103井场的采出水净化处理站，</w:t>
      </w:r>
      <w:r>
        <w:rPr>
          <w:rFonts w:ascii="Times New Roman" w:hAnsi="Times New Roman"/>
          <w:szCs w:val="24"/>
        </w:rPr>
        <w:t>处理工艺为采出水经沉降</w:t>
      </w:r>
      <w:r>
        <w:rPr>
          <w:rFonts w:hint="eastAsia" w:ascii="Times New Roman" w:hAnsi="Times New Roman"/>
          <w:szCs w:val="24"/>
        </w:rPr>
        <w:t>池</w:t>
      </w:r>
      <w:r>
        <w:rPr>
          <w:rFonts w:ascii="Times New Roman" w:hAnsi="Times New Roman"/>
          <w:szCs w:val="24"/>
        </w:rPr>
        <w:t>沉降后，含有Z-6环保型抑制剂的</w:t>
      </w:r>
      <w:r>
        <w:rPr>
          <w:rFonts w:hint="eastAsia" w:ascii="Times New Roman" w:hAnsi="Times New Roman"/>
          <w:szCs w:val="24"/>
        </w:rPr>
        <w:t>净化水</w:t>
      </w:r>
      <w:r>
        <w:rPr>
          <w:rFonts w:ascii="Times New Roman" w:hAnsi="Times New Roman"/>
          <w:szCs w:val="24"/>
        </w:rPr>
        <w:t>经原LX-103井场至LX-104井场的注醇管线输送至LX-104井场的蒸发处理站，沉降污泥排入干化池晾晒，干化后交由</w:t>
      </w:r>
      <w:r>
        <w:rPr>
          <w:rFonts w:hint="eastAsia" w:ascii="Times New Roman" w:hAnsi="Times New Roman"/>
          <w:szCs w:val="24"/>
        </w:rPr>
        <w:t>广灵金隅水泥有限公司收集处置，干化池的滤液返回沉降池再净化</w:t>
      </w:r>
      <w:r>
        <w:rPr>
          <w:rFonts w:ascii="Times New Roman" w:hAnsi="Times New Roman"/>
          <w:szCs w:val="24"/>
        </w:rPr>
        <w:t>。当采出水石油类含量超过100mg/L时，在沉降</w:t>
      </w:r>
      <w:r>
        <w:rPr>
          <w:rFonts w:hint="eastAsia" w:ascii="Times New Roman" w:hAnsi="Times New Roman"/>
          <w:szCs w:val="24"/>
        </w:rPr>
        <w:t>池</w:t>
      </w:r>
      <w:r>
        <w:rPr>
          <w:rFonts w:ascii="Times New Roman" w:hAnsi="Times New Roman"/>
          <w:szCs w:val="24"/>
        </w:rPr>
        <w:t>前增加50m</w:t>
      </w:r>
      <w:r>
        <w:rPr>
          <w:rFonts w:ascii="Times New Roman" w:hAnsi="Times New Roman"/>
          <w:szCs w:val="24"/>
          <w:vertAlign w:val="superscript"/>
        </w:rPr>
        <w:t>3</w:t>
      </w:r>
      <w:r>
        <w:rPr>
          <w:rFonts w:ascii="Times New Roman" w:hAnsi="Times New Roman"/>
          <w:szCs w:val="24"/>
        </w:rPr>
        <w:t>的油</w:t>
      </w:r>
      <w:r>
        <w:rPr>
          <w:rFonts w:hint="eastAsia" w:ascii="Times New Roman" w:hAnsi="Times New Roman"/>
          <w:szCs w:val="24"/>
        </w:rPr>
        <w:t>水分离</w:t>
      </w:r>
      <w:r>
        <w:rPr>
          <w:rFonts w:ascii="Times New Roman" w:hAnsi="Times New Roman"/>
          <w:szCs w:val="24"/>
        </w:rPr>
        <w:t>罐。采出水净化处理站工艺流程见图3.3-7，设备清单见表3.3-</w:t>
      </w:r>
      <w:r>
        <w:rPr>
          <w:rFonts w:hint="eastAsia" w:ascii="Times New Roman" w:hAnsi="Times New Roman"/>
          <w:szCs w:val="24"/>
        </w:rPr>
        <w:t>4。</w:t>
      </w:r>
    </w:p>
    <w:p>
      <w:pPr>
        <w:snapToGrid w:val="0"/>
        <w:ind w:firstLine="0" w:firstLineChars="0"/>
        <w:jc w:val="center"/>
        <w:rPr>
          <w:rFonts w:ascii="Times New Roman" w:hAnsi="Times New Roman"/>
          <w:szCs w:val="24"/>
          <w:lang w:val="zh-CN"/>
        </w:rPr>
      </w:pPr>
      <w:r>
        <w:rPr>
          <w:rFonts w:ascii="Times New Roman" w:hAnsi="Times New Roman"/>
          <w:szCs w:val="24"/>
        </w:rPr>
        <w:drawing>
          <wp:inline distT="0" distB="0" distL="0" distR="0">
            <wp:extent cx="5276850" cy="142875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6850" cy="1428750"/>
                    </a:xfrm>
                    <a:prstGeom prst="rect">
                      <a:avLst/>
                    </a:prstGeom>
                    <a:noFill/>
                    <a:ln>
                      <a:noFill/>
                    </a:ln>
                  </pic:spPr>
                </pic:pic>
              </a:graphicData>
            </a:graphic>
          </wp:inline>
        </w:drawing>
      </w:r>
    </w:p>
    <w:p>
      <w:pPr>
        <w:snapToGrid w:val="0"/>
        <w:spacing w:after="156" w:afterLines="50" w:line="240" w:lineRule="auto"/>
        <w:ind w:firstLine="0" w:firstLineChars="0"/>
        <w:jc w:val="center"/>
        <w:rPr>
          <w:rFonts w:ascii="Times New Roman" w:hAnsi="Times New Roman"/>
          <w:b/>
          <w:sz w:val="21"/>
          <w:lang w:val="zh-CN"/>
        </w:rPr>
      </w:pPr>
      <w:r>
        <w:rPr>
          <w:rFonts w:ascii="Times New Roman" w:hAnsi="Times New Roman"/>
          <w:b/>
          <w:sz w:val="21"/>
          <w:lang w:val="zh-CN"/>
        </w:rPr>
        <w:t>图3.3-7 净化处理站处理工艺流程图</w:t>
      </w:r>
    </w:p>
    <w:p>
      <w:pPr>
        <w:snapToGrid w:val="0"/>
        <w:spacing w:before="156" w:beforeLines="50" w:line="240" w:lineRule="auto"/>
        <w:ind w:firstLine="0" w:firstLineChars="0"/>
        <w:jc w:val="center"/>
        <w:rPr>
          <w:rFonts w:ascii="Times New Roman" w:hAnsi="Times New Roman" w:eastAsiaTheme="majorEastAsia"/>
          <w:b/>
          <w:sz w:val="21"/>
          <w:lang w:val="zh-CN"/>
        </w:rPr>
      </w:pPr>
      <w:r>
        <w:rPr>
          <w:rFonts w:ascii="Times New Roman" w:hAnsi="Times New Roman" w:eastAsiaTheme="majorEastAsia"/>
          <w:b/>
          <w:sz w:val="21"/>
          <w:lang w:val="zh-CN"/>
        </w:rPr>
        <w:t>表3.3-</w:t>
      </w:r>
      <w:r>
        <w:rPr>
          <w:rFonts w:hint="eastAsia" w:ascii="Times New Roman" w:hAnsi="Times New Roman" w:eastAsiaTheme="majorEastAsia"/>
          <w:b/>
          <w:sz w:val="21"/>
          <w:lang w:val="zh-CN"/>
        </w:rPr>
        <w:t>4</w:t>
      </w:r>
      <w:r>
        <w:rPr>
          <w:rFonts w:ascii="Times New Roman" w:hAnsi="Times New Roman" w:eastAsiaTheme="majorEastAsia"/>
          <w:b/>
          <w:sz w:val="21"/>
          <w:lang w:val="zh-CN"/>
        </w:rPr>
        <w:t>净化处理站设备一览表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129"/>
        <w:gridCol w:w="4389"/>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序号</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设备名称</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型号</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存水池</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50米×30米×2米</w:t>
            </w:r>
            <w:r>
              <w:rPr>
                <w:rFonts w:hint="eastAsia" w:ascii="Times New Roman" w:hAnsi="Times New Roman"/>
                <w:sz w:val="21"/>
                <w:lang w:val="zh-CN"/>
              </w:rPr>
              <w:t>/60</w:t>
            </w:r>
            <w:r>
              <w:rPr>
                <w:rFonts w:ascii="Times New Roman" w:hAnsi="Times New Roman"/>
                <w:sz w:val="21"/>
                <w:lang w:val="zh-CN"/>
              </w:rPr>
              <w:t>米×30米×2米</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2</w:t>
            </w:r>
            <w:r>
              <w:rPr>
                <w:rFonts w:ascii="Times New Roman" w:hAnsi="Times New Roman"/>
                <w:sz w:val="21"/>
                <w:lang w:val="zh-CN"/>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沉降池</w:t>
            </w:r>
          </w:p>
        </w:tc>
        <w:tc>
          <w:tcPr>
            <w:tcW w:w="2573" w:type="pct"/>
            <w:vAlign w:val="center"/>
          </w:tcPr>
          <w:p>
            <w:pPr>
              <w:snapToGrid w:val="0"/>
              <w:spacing w:line="240" w:lineRule="auto"/>
              <w:ind w:firstLine="0" w:firstLineChars="0"/>
              <w:jc w:val="center"/>
              <w:rPr>
                <w:rFonts w:ascii="Times New Roman" w:hAnsi="Times New Roman"/>
                <w:sz w:val="21"/>
              </w:rPr>
            </w:pPr>
            <w:r>
              <w:rPr>
                <w:rFonts w:hint="eastAsia" w:ascii="Times New Roman" w:hAnsi="Times New Roman"/>
                <w:sz w:val="21"/>
              </w:rPr>
              <w:t>1座12</w:t>
            </w:r>
            <w:r>
              <w:rPr>
                <w:rFonts w:ascii="Times New Roman" w:hAnsi="Times New Roman"/>
                <w:sz w:val="21"/>
                <w:lang w:val="zh-CN"/>
              </w:rPr>
              <w:t>米×</w:t>
            </w:r>
            <w:r>
              <w:rPr>
                <w:rFonts w:hint="eastAsia" w:ascii="Times New Roman" w:hAnsi="Times New Roman"/>
                <w:sz w:val="21"/>
              </w:rPr>
              <w:t>6</w:t>
            </w:r>
            <w:r>
              <w:rPr>
                <w:rFonts w:ascii="Times New Roman" w:hAnsi="Times New Roman"/>
                <w:sz w:val="21"/>
                <w:lang w:val="zh-CN"/>
              </w:rPr>
              <w:t>米×2米</w:t>
            </w:r>
            <w:r>
              <w:rPr>
                <w:rFonts w:hint="eastAsia" w:ascii="Times New Roman" w:hAnsi="Times New Roman"/>
                <w:sz w:val="21"/>
              </w:rPr>
              <w:t>/2座6</w:t>
            </w:r>
            <w:r>
              <w:rPr>
                <w:rFonts w:ascii="Times New Roman" w:hAnsi="Times New Roman"/>
                <w:sz w:val="21"/>
                <w:lang w:val="zh-CN"/>
              </w:rPr>
              <w:t>米×</w:t>
            </w:r>
            <w:r>
              <w:rPr>
                <w:rFonts w:hint="eastAsia" w:ascii="Times New Roman" w:hAnsi="Times New Roman"/>
                <w:sz w:val="21"/>
              </w:rPr>
              <w:t>6</w:t>
            </w:r>
            <w:r>
              <w:rPr>
                <w:rFonts w:ascii="Times New Roman" w:hAnsi="Times New Roman"/>
                <w:sz w:val="21"/>
                <w:lang w:val="zh-CN"/>
              </w:rPr>
              <w:t>米×</w:t>
            </w:r>
            <w:r>
              <w:rPr>
                <w:rFonts w:hint="eastAsia" w:ascii="Times New Roman" w:hAnsi="Times New Roman"/>
                <w:sz w:val="21"/>
              </w:rPr>
              <w:t>1.5</w:t>
            </w:r>
            <w:r>
              <w:rPr>
                <w:rFonts w:ascii="Times New Roman" w:hAnsi="Times New Roman"/>
                <w:sz w:val="21"/>
                <w:lang w:val="zh-CN"/>
              </w:rPr>
              <w:t>米</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rPr>
              <w:t>3</w:t>
            </w:r>
            <w:r>
              <w:rPr>
                <w:rFonts w:ascii="Times New Roman" w:hAnsi="Times New Roman"/>
                <w:sz w:val="21"/>
                <w:lang w:val="zh-CN"/>
              </w:rPr>
              <w:t>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3</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油水分离缓冲罐</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50m</w:t>
            </w:r>
            <w:r>
              <w:rPr>
                <w:rFonts w:ascii="Times New Roman" w:hAnsi="Times New Roman"/>
                <w:sz w:val="21"/>
                <w:vertAlign w:val="superscript"/>
                <w:lang w:val="zh-CN"/>
              </w:rPr>
              <w:t>3</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4</w:t>
            </w:r>
            <w:r>
              <w:rPr>
                <w:rFonts w:ascii="Times New Roman" w:hAnsi="Times New Roman"/>
                <w:sz w:val="21"/>
                <w:lang w:val="zh-CN"/>
              </w:rPr>
              <w:t>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4</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多级泵</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扬程225米</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5</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干化池</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10米×</w:t>
            </w:r>
            <w:r>
              <w:rPr>
                <w:rFonts w:hint="eastAsia" w:ascii="Times New Roman" w:hAnsi="Times New Roman"/>
                <w:sz w:val="21"/>
                <w:lang w:val="zh-CN"/>
              </w:rPr>
              <w:t>6</w:t>
            </w:r>
            <w:r>
              <w:rPr>
                <w:rFonts w:ascii="Times New Roman" w:hAnsi="Times New Roman"/>
                <w:sz w:val="21"/>
                <w:lang w:val="zh-CN"/>
              </w:rPr>
              <w:t>米×1.5米</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6</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燃气锅炉</w:t>
            </w:r>
          </w:p>
        </w:tc>
        <w:tc>
          <w:tcPr>
            <w:tcW w:w="257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rPr>
              <w:t>CLHS0.6-95/65-Q(Y)</w:t>
            </w:r>
          </w:p>
        </w:tc>
        <w:tc>
          <w:tcPr>
            <w:tcW w:w="698"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2</w:t>
            </w:r>
            <w:r>
              <w:rPr>
                <w:rFonts w:ascii="Times New Roman" w:hAnsi="Times New Roman"/>
                <w:sz w:val="21"/>
                <w:lang w:val="zh-CN"/>
              </w:rPr>
              <w:t>台</w:t>
            </w:r>
          </w:p>
        </w:tc>
      </w:tr>
    </w:tbl>
    <w:p>
      <w:pPr>
        <w:snapToGrid w:val="0"/>
        <w:spacing w:before="156" w:beforeLines="50"/>
        <w:ind w:firstLine="480"/>
        <w:rPr>
          <w:rFonts w:ascii="Times New Roman" w:hAnsi="Times New Roman"/>
          <w:szCs w:val="24"/>
        </w:rPr>
      </w:pPr>
      <w:r>
        <w:rPr>
          <w:rFonts w:ascii="Times New Roman" w:hAnsi="Times New Roman"/>
          <w:szCs w:val="24"/>
          <w:lang w:val="zh-CN"/>
        </w:rPr>
        <w:t>经净化处理站处理后的含有</w:t>
      </w:r>
      <w:r>
        <w:rPr>
          <w:rFonts w:ascii="Times New Roman" w:hAnsi="Times New Roman"/>
          <w:szCs w:val="24"/>
        </w:rPr>
        <w:t>Z-6环保型抑制剂的</w:t>
      </w:r>
      <w:r>
        <w:rPr>
          <w:rFonts w:hint="eastAsia" w:ascii="Times New Roman" w:hAnsi="Times New Roman"/>
          <w:szCs w:val="24"/>
        </w:rPr>
        <w:t>净化水</w:t>
      </w:r>
      <w:r>
        <w:rPr>
          <w:rFonts w:ascii="Times New Roman" w:hAnsi="Times New Roman"/>
          <w:szCs w:val="24"/>
        </w:rPr>
        <w:t>通过</w:t>
      </w:r>
      <w:r>
        <w:rPr>
          <w:rFonts w:hint="eastAsia" w:ascii="Times New Roman" w:hAnsi="Times New Roman"/>
          <w:szCs w:val="24"/>
        </w:rPr>
        <w:t>原LX-103井场至LX-104井场</w:t>
      </w:r>
      <w:r>
        <w:rPr>
          <w:rFonts w:ascii="Times New Roman" w:hAnsi="Times New Roman"/>
          <w:szCs w:val="24"/>
        </w:rPr>
        <w:t>注醇管线输送至LX-104井场的蒸发处理站。蒸发处理站内设置有</w:t>
      </w:r>
      <w:r>
        <w:rPr>
          <w:rFonts w:hint="eastAsia" w:ascii="Times New Roman" w:hAnsi="Times New Roman"/>
          <w:szCs w:val="24"/>
        </w:rPr>
        <w:t>3座</w:t>
      </w:r>
      <w:r>
        <w:rPr>
          <w:rFonts w:ascii="Times New Roman" w:hAnsi="Times New Roman"/>
          <w:szCs w:val="24"/>
        </w:rPr>
        <w:t>强化蒸发</w:t>
      </w:r>
      <w:r>
        <w:rPr>
          <w:rFonts w:hint="eastAsia" w:ascii="Times New Roman" w:hAnsi="Times New Roman"/>
          <w:szCs w:val="24"/>
        </w:rPr>
        <w:t>塔</w:t>
      </w:r>
      <w:r>
        <w:rPr>
          <w:rFonts w:ascii="Times New Roman" w:hAnsi="Times New Roman"/>
          <w:szCs w:val="24"/>
        </w:rPr>
        <w:t>池，利用风能</w:t>
      </w:r>
      <w:r>
        <w:rPr>
          <w:rFonts w:hint="eastAsia" w:ascii="Times New Roman" w:hAnsi="Times New Roman"/>
          <w:szCs w:val="24"/>
        </w:rPr>
        <w:t>和化学纤维填料塔强化，提高</w:t>
      </w:r>
      <w:r>
        <w:rPr>
          <w:rFonts w:ascii="Times New Roman" w:hAnsi="Times New Roman"/>
          <w:szCs w:val="24"/>
        </w:rPr>
        <w:t>水分自然蒸发</w:t>
      </w:r>
      <w:r>
        <w:rPr>
          <w:rFonts w:hint="eastAsia" w:ascii="Times New Roman" w:hAnsi="Times New Roman"/>
          <w:szCs w:val="24"/>
        </w:rPr>
        <w:t>的效率；</w:t>
      </w:r>
      <w:r>
        <w:rPr>
          <w:rFonts w:ascii="Times New Roman" w:hAnsi="Times New Roman"/>
          <w:szCs w:val="24"/>
        </w:rPr>
        <w:t>Z-6环保型抑制剂</w:t>
      </w:r>
      <w:r>
        <w:rPr>
          <w:rFonts w:hint="eastAsia" w:ascii="Times New Roman" w:hAnsi="Times New Roman"/>
          <w:szCs w:val="24"/>
        </w:rPr>
        <w:t>留存在</w:t>
      </w:r>
      <w:r>
        <w:rPr>
          <w:rFonts w:ascii="Times New Roman" w:hAnsi="Times New Roman"/>
          <w:szCs w:val="24"/>
        </w:rPr>
        <w:t>蒸发池内，</w:t>
      </w:r>
      <w:r>
        <w:rPr>
          <w:rFonts w:hint="eastAsia" w:ascii="Times New Roman" w:hAnsi="Times New Roman"/>
          <w:szCs w:val="24"/>
        </w:rPr>
        <w:t>利用3座</w:t>
      </w:r>
      <w:r>
        <w:rPr>
          <w:rFonts w:ascii="Times New Roman" w:hAnsi="Times New Roman"/>
          <w:szCs w:val="24"/>
        </w:rPr>
        <w:t>强化蒸发</w:t>
      </w:r>
      <w:r>
        <w:rPr>
          <w:rFonts w:hint="eastAsia" w:ascii="Times New Roman" w:hAnsi="Times New Roman"/>
          <w:szCs w:val="24"/>
        </w:rPr>
        <w:t>塔</w:t>
      </w:r>
      <w:r>
        <w:rPr>
          <w:rFonts w:ascii="Times New Roman" w:hAnsi="Times New Roman"/>
          <w:szCs w:val="24"/>
        </w:rPr>
        <w:t>池</w:t>
      </w:r>
      <w:r>
        <w:rPr>
          <w:rFonts w:hint="eastAsia" w:ascii="Times New Roman" w:hAnsi="Times New Roman"/>
          <w:szCs w:val="24"/>
        </w:rPr>
        <w:t>轮流工作的方式定期由罐车输送至各井场重复使用；</w:t>
      </w:r>
      <w:r>
        <w:rPr>
          <w:rFonts w:ascii="Times New Roman" w:hAnsi="Times New Roman"/>
          <w:szCs w:val="24"/>
        </w:rPr>
        <w:t>杂盐不溶于Z-6环保型抑制剂，</w:t>
      </w:r>
      <w:r>
        <w:rPr>
          <w:rFonts w:hint="eastAsia" w:ascii="Times New Roman" w:hAnsi="Times New Roman"/>
          <w:szCs w:val="24"/>
        </w:rPr>
        <w:t>结晶</w:t>
      </w:r>
      <w:r>
        <w:rPr>
          <w:rFonts w:ascii="Times New Roman" w:hAnsi="Times New Roman"/>
          <w:szCs w:val="24"/>
        </w:rPr>
        <w:t>析出的杂盐暂存在储存池底部，</w:t>
      </w:r>
      <w:r>
        <w:rPr>
          <w:rFonts w:hint="eastAsia" w:ascii="Times New Roman" w:hAnsi="Times New Roman"/>
          <w:szCs w:val="24"/>
        </w:rPr>
        <w:t>利用3座</w:t>
      </w:r>
      <w:r>
        <w:rPr>
          <w:rFonts w:ascii="Times New Roman" w:hAnsi="Times New Roman"/>
          <w:szCs w:val="24"/>
        </w:rPr>
        <w:t>强化蒸发</w:t>
      </w:r>
      <w:r>
        <w:rPr>
          <w:rFonts w:hint="eastAsia" w:ascii="Times New Roman" w:hAnsi="Times New Roman"/>
          <w:szCs w:val="24"/>
        </w:rPr>
        <w:t>塔</w:t>
      </w:r>
      <w:r>
        <w:rPr>
          <w:rFonts w:ascii="Times New Roman" w:hAnsi="Times New Roman"/>
          <w:szCs w:val="24"/>
        </w:rPr>
        <w:t>池</w:t>
      </w:r>
      <w:r>
        <w:rPr>
          <w:rFonts w:hint="eastAsia" w:ascii="Times New Roman" w:hAnsi="Times New Roman"/>
          <w:szCs w:val="24"/>
        </w:rPr>
        <w:t>轮流工作的方式</w:t>
      </w:r>
      <w:r>
        <w:rPr>
          <w:rFonts w:ascii="Times New Roman" w:hAnsi="Times New Roman"/>
          <w:szCs w:val="24"/>
        </w:rPr>
        <w:t>定期清理，</w:t>
      </w:r>
      <w:r>
        <w:rPr>
          <w:rFonts w:hint="eastAsia" w:ascii="Times New Roman" w:hAnsi="Times New Roman"/>
          <w:szCs w:val="24"/>
        </w:rPr>
        <w:t>交由广灵金隅水泥有限公司收集处置</w:t>
      </w:r>
      <w:r>
        <w:rPr>
          <w:rFonts w:ascii="Times New Roman" w:hAnsi="Times New Roman"/>
          <w:szCs w:val="24"/>
        </w:rPr>
        <w:t>。蒸发处理站处理工艺流程见图3.3-8，设备清单见表3.3-</w:t>
      </w:r>
      <w:r>
        <w:rPr>
          <w:rFonts w:hint="eastAsia" w:ascii="Times New Roman" w:hAnsi="Times New Roman"/>
          <w:szCs w:val="24"/>
        </w:rPr>
        <w:t>5。</w:t>
      </w:r>
    </w:p>
    <w:p>
      <w:pPr>
        <w:snapToGrid w:val="0"/>
        <w:spacing w:line="240" w:lineRule="auto"/>
        <w:ind w:firstLine="0" w:firstLineChars="0"/>
        <w:jc w:val="center"/>
        <w:rPr>
          <w:rFonts w:ascii="Times New Roman" w:hAnsi="Times New Roman"/>
          <w:szCs w:val="24"/>
          <w:lang w:val="zh-CN"/>
        </w:rPr>
      </w:pPr>
      <w:r>
        <w:rPr>
          <w:rFonts w:ascii="Times New Roman" w:hAnsi="Times New Roman"/>
          <w:szCs w:val="24"/>
        </w:rPr>
        <w:drawing>
          <wp:inline distT="0" distB="0" distL="0" distR="0">
            <wp:extent cx="5270500" cy="2197100"/>
            <wp:effectExtent l="0" t="0" r="635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0500" cy="2197100"/>
                    </a:xfrm>
                    <a:prstGeom prst="rect">
                      <a:avLst/>
                    </a:prstGeom>
                    <a:noFill/>
                    <a:ln>
                      <a:noFill/>
                    </a:ln>
                  </pic:spPr>
                </pic:pic>
              </a:graphicData>
            </a:graphic>
          </wp:inline>
        </w:drawing>
      </w:r>
    </w:p>
    <w:p>
      <w:pPr>
        <w:snapToGrid w:val="0"/>
        <w:spacing w:after="156" w:afterLines="50" w:line="240" w:lineRule="auto"/>
        <w:ind w:firstLine="0" w:firstLineChars="0"/>
        <w:jc w:val="center"/>
        <w:rPr>
          <w:rFonts w:ascii="Times New Roman" w:hAnsi="Times New Roman"/>
          <w:b/>
          <w:sz w:val="21"/>
          <w:lang w:val="zh-CN"/>
        </w:rPr>
      </w:pPr>
      <w:r>
        <w:rPr>
          <w:rFonts w:ascii="Times New Roman" w:hAnsi="Times New Roman"/>
          <w:b/>
          <w:sz w:val="21"/>
          <w:lang w:val="zh-CN"/>
        </w:rPr>
        <w:t>图3.3-8 蒸发处理站处理工艺流程</w:t>
      </w:r>
    </w:p>
    <w:p>
      <w:pPr>
        <w:snapToGrid w:val="0"/>
        <w:spacing w:before="156" w:beforeLines="50" w:line="240" w:lineRule="auto"/>
        <w:ind w:firstLine="0" w:firstLineChars="0"/>
        <w:jc w:val="center"/>
        <w:rPr>
          <w:rFonts w:ascii="Times New Roman" w:hAnsi="Times New Roman" w:eastAsiaTheme="majorEastAsia"/>
          <w:b/>
          <w:sz w:val="21"/>
          <w:lang w:val="zh-CN"/>
        </w:rPr>
      </w:pPr>
      <w:r>
        <w:rPr>
          <w:rFonts w:ascii="Times New Roman" w:hAnsi="Times New Roman" w:eastAsiaTheme="majorEastAsia"/>
          <w:b/>
          <w:sz w:val="21"/>
          <w:lang w:val="zh-CN"/>
        </w:rPr>
        <w:t>表3.3-</w:t>
      </w:r>
      <w:r>
        <w:rPr>
          <w:rFonts w:hint="eastAsia" w:ascii="Times New Roman" w:hAnsi="Times New Roman" w:eastAsiaTheme="majorEastAsia"/>
          <w:b/>
          <w:sz w:val="21"/>
          <w:lang w:val="zh-CN"/>
        </w:rPr>
        <w:t>5</w:t>
      </w:r>
      <w:r>
        <w:rPr>
          <w:rFonts w:ascii="Times New Roman" w:hAnsi="Times New Roman" w:eastAsiaTheme="majorEastAsia"/>
          <w:b/>
          <w:sz w:val="21"/>
          <w:lang w:val="zh-CN"/>
        </w:rPr>
        <w:t>蒸发站设备一览表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129"/>
        <w:gridCol w:w="2500"/>
        <w:gridCol w:w="3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序号</w:t>
            </w:r>
          </w:p>
        </w:tc>
        <w:tc>
          <w:tcPr>
            <w:tcW w:w="1248" w:type="pct"/>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设备名称</w:t>
            </w:r>
          </w:p>
        </w:tc>
        <w:tc>
          <w:tcPr>
            <w:tcW w:w="1466" w:type="pct"/>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型号</w:t>
            </w:r>
          </w:p>
        </w:tc>
        <w:tc>
          <w:tcPr>
            <w:tcW w:w="1807" w:type="pct"/>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填料蒸发塔池</w:t>
            </w:r>
          </w:p>
        </w:tc>
        <w:tc>
          <w:tcPr>
            <w:tcW w:w="1466"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蒸发量</w:t>
            </w:r>
            <w:r>
              <w:rPr>
                <w:rFonts w:ascii="Times New Roman" w:hAnsi="Times New Roman"/>
                <w:sz w:val="21"/>
                <w:lang w:val="zh-CN"/>
              </w:rPr>
              <w:t>10 m</w:t>
            </w:r>
            <w:r>
              <w:rPr>
                <w:rFonts w:ascii="Times New Roman" w:hAnsi="Times New Roman"/>
                <w:sz w:val="21"/>
                <w:vertAlign w:val="superscript"/>
                <w:lang w:val="zh-CN"/>
              </w:rPr>
              <w:t>3</w:t>
            </w:r>
            <w:r>
              <w:rPr>
                <w:rFonts w:ascii="Times New Roman" w:hAnsi="Times New Roman"/>
                <w:sz w:val="21"/>
                <w:lang w:val="zh-CN"/>
              </w:rPr>
              <w:t>/d</w:t>
            </w:r>
          </w:p>
        </w:tc>
        <w:tc>
          <w:tcPr>
            <w:tcW w:w="1807"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1个（已建</w:t>
            </w:r>
            <w:r>
              <w:rPr>
                <w:rFonts w:hint="eastAsia" w:ascii="Times New Roman" w:hAnsi="Times New Roman"/>
                <w:sz w:val="21"/>
                <w:lang w:val="zh-CN"/>
              </w:rPr>
              <w:t>中试装置</w:t>
            </w:r>
            <w:r>
              <w:rPr>
                <w:rFonts w:ascii="Times New Roman" w:hAnsi="Times New Roman"/>
                <w:sz w:val="21"/>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填料蒸发塔池</w:t>
            </w:r>
          </w:p>
        </w:tc>
        <w:tc>
          <w:tcPr>
            <w:tcW w:w="1466"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蒸发量</w:t>
            </w:r>
            <w:r>
              <w:rPr>
                <w:rFonts w:ascii="Times New Roman" w:hAnsi="Times New Roman"/>
                <w:sz w:val="21"/>
                <w:lang w:val="zh-CN"/>
              </w:rPr>
              <w:t>100 m</w:t>
            </w:r>
            <w:r>
              <w:rPr>
                <w:rFonts w:ascii="Times New Roman" w:hAnsi="Times New Roman"/>
                <w:sz w:val="21"/>
                <w:vertAlign w:val="superscript"/>
                <w:lang w:val="zh-CN"/>
              </w:rPr>
              <w:t>3</w:t>
            </w:r>
            <w:r>
              <w:rPr>
                <w:rFonts w:ascii="Times New Roman" w:hAnsi="Times New Roman"/>
                <w:sz w:val="21"/>
                <w:lang w:val="zh-CN"/>
              </w:rPr>
              <w:t>/d</w:t>
            </w:r>
          </w:p>
        </w:tc>
        <w:tc>
          <w:tcPr>
            <w:tcW w:w="1807"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3</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循环淋水泵</w:t>
            </w:r>
          </w:p>
        </w:tc>
        <w:tc>
          <w:tcPr>
            <w:tcW w:w="1466"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扬程20米</w:t>
            </w:r>
          </w:p>
        </w:tc>
        <w:tc>
          <w:tcPr>
            <w:tcW w:w="1807"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15台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4</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燃气锅炉</w:t>
            </w:r>
          </w:p>
        </w:tc>
        <w:tc>
          <w:tcPr>
            <w:tcW w:w="1466"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rPr>
              <w:t>CLHS0.6-95/65-Q(Y)</w:t>
            </w:r>
          </w:p>
        </w:tc>
        <w:tc>
          <w:tcPr>
            <w:tcW w:w="1807"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2</w:t>
            </w:r>
            <w:r>
              <w:rPr>
                <w:rFonts w:ascii="Times New Roman" w:hAnsi="Times New Roman"/>
                <w:sz w:val="21"/>
                <w:lang w:val="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5</w:t>
            </w:r>
          </w:p>
        </w:tc>
        <w:tc>
          <w:tcPr>
            <w:tcW w:w="1248"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燃气发电机</w:t>
            </w:r>
          </w:p>
        </w:tc>
        <w:tc>
          <w:tcPr>
            <w:tcW w:w="1466"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50kW</w:t>
            </w:r>
          </w:p>
        </w:tc>
        <w:tc>
          <w:tcPr>
            <w:tcW w:w="1807" w:type="pct"/>
            <w:vAlign w:val="center"/>
          </w:tcPr>
          <w:p>
            <w:pPr>
              <w:snapToGrid w:val="0"/>
              <w:spacing w:line="240" w:lineRule="auto"/>
              <w:ind w:firstLine="0" w:firstLineChars="0"/>
              <w:jc w:val="center"/>
              <w:rPr>
                <w:rFonts w:ascii="Times New Roman" w:hAnsi="Times New Roman"/>
                <w:sz w:val="21"/>
                <w:lang w:val="zh-CN"/>
              </w:rPr>
            </w:pPr>
            <w:r>
              <w:rPr>
                <w:rFonts w:hint="eastAsia" w:ascii="Times New Roman" w:hAnsi="Times New Roman"/>
                <w:sz w:val="21"/>
                <w:lang w:val="zh-CN"/>
              </w:rPr>
              <w:t>2</w:t>
            </w:r>
            <w:r>
              <w:rPr>
                <w:rFonts w:ascii="Times New Roman" w:hAnsi="Times New Roman"/>
                <w:sz w:val="21"/>
                <w:lang w:val="zh-CN"/>
              </w:rPr>
              <w:t>台</w:t>
            </w:r>
          </w:p>
        </w:tc>
      </w:tr>
    </w:tbl>
    <w:p>
      <w:pPr>
        <w:snapToGrid w:val="0"/>
        <w:ind w:firstLine="480"/>
        <w:rPr>
          <w:rFonts w:ascii="Times New Roman" w:hAnsi="Times New Roman"/>
          <w:szCs w:val="24"/>
        </w:rPr>
      </w:pPr>
      <w:r>
        <w:rPr>
          <w:rFonts w:hint="eastAsia" w:ascii="Times New Roman" w:hAnsi="Times New Roman"/>
          <w:szCs w:val="24"/>
        </w:rPr>
        <w:t>蒸发池工作原理：</w:t>
      </w:r>
      <w:r>
        <w:rPr>
          <w:rFonts w:hint="eastAsia" w:ascii="宋体" w:hAnsi="宋体"/>
          <w:szCs w:val="24"/>
        </w:rPr>
        <w:t>①</w:t>
      </w:r>
      <w:r>
        <w:rPr>
          <w:rFonts w:hint="eastAsia" w:ascii="Times New Roman" w:hAnsi="Times New Roman"/>
          <w:szCs w:val="24"/>
        </w:rPr>
        <w:t>用泵和淋水管让接水（储水）池内的水流落到填料上，润湿填料；</w:t>
      </w:r>
      <w:r>
        <w:rPr>
          <w:rFonts w:hint="eastAsia" w:ascii="宋体" w:hAnsi="宋体"/>
          <w:szCs w:val="24"/>
        </w:rPr>
        <w:t>②</w:t>
      </w:r>
      <w:r>
        <w:rPr>
          <w:rFonts w:hint="eastAsia" w:ascii="Times New Roman" w:hAnsi="Times New Roman"/>
          <w:szCs w:val="24"/>
        </w:rPr>
        <w:t>填料塔是立体结构，所安装的填料表面积极其巨大，是接水（储水）池表面积的几千倍，因此其蒸发水量远高于水池的蒸发量；</w:t>
      </w:r>
      <w:r>
        <w:rPr>
          <w:rFonts w:hint="eastAsia" w:ascii="宋体" w:hAnsi="宋体"/>
          <w:szCs w:val="24"/>
        </w:rPr>
        <w:t>③</w:t>
      </w:r>
      <w:r>
        <w:rPr>
          <w:rFonts w:hint="eastAsia" w:ascii="Times New Roman" w:hAnsi="Times New Roman"/>
          <w:szCs w:val="24"/>
        </w:rPr>
        <w:t>当流动的空气（风）从填料间经过时，填料上的水蒸气进入空气中，空气湿度增大，从而把填料上的水分带走。</w:t>
      </w:r>
    </w:p>
    <w:p>
      <w:pPr>
        <w:snapToGrid w:val="0"/>
        <w:ind w:firstLine="480"/>
        <w:rPr>
          <w:rFonts w:ascii="Times New Roman" w:hAnsi="Times New Roman"/>
          <w:szCs w:val="24"/>
        </w:rPr>
      </w:pPr>
      <w:r>
        <w:rPr>
          <w:rFonts w:ascii="Times New Roman" w:hAnsi="Times New Roman"/>
          <w:szCs w:val="24"/>
        </w:rPr>
        <w:t>②生活废水</w:t>
      </w:r>
    </w:p>
    <w:p>
      <w:pPr>
        <w:snapToGrid w:val="0"/>
        <w:ind w:firstLine="480"/>
        <w:rPr>
          <w:rFonts w:ascii="Times New Roman" w:hAnsi="Times New Roman"/>
          <w:szCs w:val="24"/>
          <w:lang w:val="zh-CN"/>
        </w:rPr>
      </w:pPr>
      <w:r>
        <w:rPr>
          <w:rFonts w:ascii="Times New Roman" w:hAnsi="Times New Roman"/>
          <w:szCs w:val="24"/>
          <w:lang w:val="zh-CN"/>
        </w:rPr>
        <w:t>生活废水主要来源于办公生活区和集气站。</w:t>
      </w:r>
    </w:p>
    <w:p>
      <w:pPr>
        <w:snapToGrid w:val="0"/>
        <w:ind w:firstLine="480"/>
        <w:rPr>
          <w:rFonts w:ascii="Times New Roman" w:hAnsi="Times New Roman"/>
          <w:szCs w:val="24"/>
          <w:lang w:val="zh-CN"/>
        </w:rPr>
      </w:pPr>
      <w:r>
        <w:rPr>
          <w:rFonts w:ascii="Times New Roman" w:hAnsi="Times New Roman"/>
          <w:szCs w:val="24"/>
          <w:lang w:val="zh-CN"/>
        </w:rPr>
        <w:t>办公生活区建设水冲厕，生活废水产生量按照用水量的80%计算，则生活废水产生量为</w:t>
      </w:r>
      <w:r>
        <w:rPr>
          <w:rFonts w:hint="eastAsia" w:ascii="Times New Roman" w:hAnsi="Times New Roman"/>
          <w:szCs w:val="24"/>
          <w:lang w:val="zh-CN"/>
        </w:rPr>
        <w:t>20</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/d，主要污染物为COD、SS、NH</w:t>
      </w:r>
      <w:r>
        <w:rPr>
          <w:rFonts w:ascii="Times New Roman" w:hAnsi="Times New Roman"/>
          <w:szCs w:val="24"/>
          <w:vertAlign w:val="subscript"/>
          <w:lang w:val="zh-CN"/>
        </w:rPr>
        <w:t>3</w:t>
      </w:r>
      <w:r>
        <w:rPr>
          <w:rFonts w:ascii="Times New Roman" w:hAnsi="Times New Roman"/>
          <w:szCs w:val="24"/>
          <w:lang w:val="zh-CN"/>
        </w:rPr>
        <w:t>-N和动植物油。食堂废水经隔油池处理后与其他生活废水经管线排入办公生活区生活废水处理站，处理工艺采用生物接触氧化法（MBR），处理工艺流程见图3.3-9，处理后废水指标见表3.3-</w:t>
      </w:r>
      <w:r>
        <w:rPr>
          <w:rFonts w:hint="eastAsia" w:ascii="Times New Roman" w:hAnsi="Times New Roman"/>
          <w:szCs w:val="24"/>
          <w:lang w:val="zh-CN"/>
        </w:rPr>
        <w:t>6</w:t>
      </w:r>
      <w:r>
        <w:rPr>
          <w:rFonts w:ascii="Times New Roman" w:hAnsi="Times New Roman"/>
          <w:szCs w:val="24"/>
          <w:lang w:val="zh-CN"/>
        </w:rPr>
        <w:t>。处理后的达标废水</w:t>
      </w:r>
      <w:r>
        <w:rPr>
          <w:rFonts w:hint="eastAsia" w:ascii="Times New Roman" w:hAnsi="Times New Roman"/>
          <w:szCs w:val="24"/>
          <w:lang w:val="zh-CN"/>
        </w:rPr>
        <w:t>全部</w:t>
      </w:r>
      <w:r>
        <w:rPr>
          <w:rFonts w:ascii="Times New Roman" w:hAnsi="Times New Roman"/>
          <w:szCs w:val="24"/>
          <w:lang w:val="zh-CN"/>
        </w:rPr>
        <w:t>用于本项目绿化和降尘用水。</w:t>
      </w:r>
    </w:p>
    <w:p>
      <w:pPr>
        <w:snapToGrid w:val="0"/>
        <w:ind w:firstLine="480"/>
        <w:rPr>
          <w:rFonts w:ascii="Times New Roman" w:hAnsi="Times New Roman"/>
          <w:szCs w:val="24"/>
        </w:rPr>
      </w:pPr>
    </w:p>
    <w:p>
      <w:pPr>
        <w:snapToGrid w:val="0"/>
        <w:ind w:firstLine="0" w:firstLineChars="0"/>
        <w:jc w:val="center"/>
        <w:rPr>
          <w:rFonts w:ascii="Times New Roman" w:hAnsi="Times New Roman"/>
          <w:szCs w:val="24"/>
        </w:rPr>
      </w:pPr>
      <w:r>
        <w:rPr>
          <w:rFonts w:ascii="Times New Roman" w:hAnsi="Times New Roman"/>
          <w:szCs w:val="24"/>
        </w:rPr>
        <w:drawing>
          <wp:inline distT="0" distB="0" distL="0" distR="0">
            <wp:extent cx="5274310" cy="1414780"/>
            <wp:effectExtent l="19050" t="0" r="254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44" cstate="print"/>
                    <a:srcRect/>
                    <a:stretch>
                      <a:fillRect/>
                    </a:stretch>
                  </pic:blipFill>
                  <pic:spPr>
                    <a:xfrm>
                      <a:off x="0" y="0"/>
                      <a:ext cx="5274310" cy="1415402"/>
                    </a:xfrm>
                    <a:prstGeom prst="rect">
                      <a:avLst/>
                    </a:prstGeom>
                    <a:noFill/>
                    <a:ln w="9525">
                      <a:noFill/>
                      <a:miter lim="800000"/>
                      <a:headEnd/>
                      <a:tailEnd/>
                    </a:ln>
                  </pic:spPr>
                </pic:pic>
              </a:graphicData>
            </a:graphic>
          </wp:inline>
        </w:drawing>
      </w:r>
    </w:p>
    <w:p>
      <w:pPr>
        <w:snapToGrid w:val="0"/>
        <w:spacing w:after="156" w:afterLines="50" w:line="240" w:lineRule="auto"/>
        <w:ind w:firstLine="0" w:firstLineChars="0"/>
        <w:jc w:val="center"/>
        <w:rPr>
          <w:rFonts w:ascii="Times New Roman" w:hAnsi="Times New Roman"/>
          <w:b/>
          <w:sz w:val="21"/>
          <w:lang w:val="zh-CN"/>
        </w:rPr>
      </w:pPr>
      <w:r>
        <w:rPr>
          <w:rFonts w:ascii="Times New Roman" w:hAnsi="Times New Roman"/>
          <w:b/>
          <w:sz w:val="21"/>
          <w:lang w:val="zh-CN"/>
        </w:rPr>
        <w:t>图3.3-9 生活废水处理站处理工艺流程图</w:t>
      </w:r>
    </w:p>
    <w:p>
      <w:pPr>
        <w:snapToGrid w:val="0"/>
        <w:spacing w:before="156" w:beforeLines="50" w:line="240" w:lineRule="auto"/>
        <w:ind w:firstLine="0" w:firstLineChars="0"/>
        <w:jc w:val="center"/>
        <w:rPr>
          <w:rFonts w:ascii="Times New Roman" w:hAnsi="Times New Roman" w:eastAsiaTheme="majorEastAsia"/>
          <w:b/>
          <w:sz w:val="21"/>
          <w:lang w:val="zh-CN"/>
        </w:rPr>
      </w:pPr>
      <w:r>
        <w:rPr>
          <w:rFonts w:ascii="Times New Roman" w:hAnsi="Times New Roman" w:eastAsiaTheme="majorEastAsia"/>
          <w:b/>
          <w:sz w:val="21"/>
          <w:lang w:val="zh-CN"/>
        </w:rPr>
        <w:t>表3.3-</w:t>
      </w:r>
      <w:r>
        <w:rPr>
          <w:rFonts w:hint="eastAsia" w:ascii="Times New Roman" w:hAnsi="Times New Roman" w:eastAsiaTheme="majorEastAsia"/>
          <w:b/>
          <w:sz w:val="21"/>
          <w:lang w:val="zh-CN"/>
        </w:rPr>
        <w:t>6</w:t>
      </w:r>
      <w:r>
        <w:rPr>
          <w:rFonts w:ascii="Times New Roman" w:hAnsi="Times New Roman" w:eastAsiaTheme="majorEastAsia"/>
          <w:b/>
          <w:sz w:val="21"/>
          <w:lang w:val="zh-CN"/>
        </w:rPr>
        <w:t>生活废水处理站进出水水质指标</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1296"/>
        <w:gridCol w:w="1240"/>
        <w:gridCol w:w="860"/>
        <w:gridCol w:w="1030"/>
        <w:gridCol w:w="1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2"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项目</w:t>
            </w:r>
          </w:p>
        </w:tc>
        <w:tc>
          <w:tcPr>
            <w:tcW w:w="76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CODCr</w:t>
            </w:r>
          </w:p>
        </w:tc>
        <w:tc>
          <w:tcPr>
            <w:tcW w:w="727"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BOD5</w:t>
            </w:r>
          </w:p>
        </w:tc>
        <w:tc>
          <w:tcPr>
            <w:tcW w:w="5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SS</w:t>
            </w:r>
          </w:p>
        </w:tc>
        <w:tc>
          <w:tcPr>
            <w:tcW w:w="6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氨氮</w:t>
            </w:r>
          </w:p>
        </w:tc>
        <w:tc>
          <w:tcPr>
            <w:tcW w:w="100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2"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进水水质指标</w:t>
            </w:r>
          </w:p>
        </w:tc>
        <w:tc>
          <w:tcPr>
            <w:tcW w:w="76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300</w:t>
            </w:r>
          </w:p>
        </w:tc>
        <w:tc>
          <w:tcPr>
            <w:tcW w:w="727"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150</w:t>
            </w:r>
          </w:p>
        </w:tc>
        <w:tc>
          <w:tcPr>
            <w:tcW w:w="5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250</w:t>
            </w:r>
          </w:p>
        </w:tc>
        <w:tc>
          <w:tcPr>
            <w:tcW w:w="6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30</w:t>
            </w:r>
          </w:p>
        </w:tc>
        <w:tc>
          <w:tcPr>
            <w:tcW w:w="100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2"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出水水质指标</w:t>
            </w:r>
          </w:p>
        </w:tc>
        <w:tc>
          <w:tcPr>
            <w:tcW w:w="760"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60</w:t>
            </w:r>
          </w:p>
        </w:tc>
        <w:tc>
          <w:tcPr>
            <w:tcW w:w="727"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20</w:t>
            </w:r>
          </w:p>
        </w:tc>
        <w:tc>
          <w:tcPr>
            <w:tcW w:w="5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70</w:t>
            </w:r>
          </w:p>
        </w:tc>
        <w:tc>
          <w:tcPr>
            <w:tcW w:w="604"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8</w:t>
            </w:r>
          </w:p>
        </w:tc>
        <w:tc>
          <w:tcPr>
            <w:tcW w:w="1003" w:type="pct"/>
            <w:vAlign w:val="center"/>
          </w:tcPr>
          <w:p>
            <w:pPr>
              <w:snapToGrid w:val="0"/>
              <w:spacing w:line="240" w:lineRule="auto"/>
              <w:ind w:firstLine="0" w:firstLineChars="0"/>
              <w:jc w:val="center"/>
              <w:rPr>
                <w:rFonts w:ascii="Times New Roman" w:hAnsi="Times New Roman"/>
                <w:sz w:val="21"/>
                <w:lang w:val="zh-CN"/>
              </w:rPr>
            </w:pPr>
            <w:r>
              <w:rPr>
                <w:rFonts w:ascii="Times New Roman" w:hAnsi="Times New Roman"/>
                <w:sz w:val="21"/>
                <w:lang w:val="zh-CN"/>
              </w:rPr>
              <w:t>10</w:t>
            </w:r>
          </w:p>
        </w:tc>
      </w:tr>
    </w:tbl>
    <w:p>
      <w:pPr>
        <w:snapToGrid w:val="0"/>
        <w:ind w:firstLine="0" w:firstLineChars="0"/>
        <w:jc w:val="center"/>
        <w:rPr>
          <w:rFonts w:ascii="Times New Roman" w:hAnsi="Times New Roman"/>
          <w:szCs w:val="24"/>
        </w:rPr>
      </w:pPr>
    </w:p>
    <w:p>
      <w:pPr>
        <w:snapToGrid w:val="0"/>
        <w:ind w:firstLine="480"/>
        <w:rPr>
          <w:rFonts w:ascii="Times New Roman" w:hAnsi="Times New Roman"/>
          <w:szCs w:val="24"/>
        </w:rPr>
      </w:pPr>
      <w:r>
        <w:rPr>
          <w:rFonts w:ascii="Times New Roman" w:hAnsi="Times New Roman"/>
          <w:szCs w:val="24"/>
        </w:rPr>
        <w:t>集气站设置旱厕，生活废水主要为盥洗废水，产生量为0.32m</w:t>
      </w:r>
      <w:r>
        <w:rPr>
          <w:rFonts w:ascii="Times New Roman" w:hAnsi="Times New Roman"/>
          <w:szCs w:val="24"/>
          <w:vertAlign w:val="superscript"/>
        </w:rPr>
        <w:t>3</w:t>
      </w:r>
      <w:r>
        <w:rPr>
          <w:rFonts w:ascii="Times New Roman" w:hAnsi="Times New Roman"/>
          <w:szCs w:val="24"/>
        </w:rPr>
        <w:t>/d。旱厕由当地村民定期清掏作为农肥，盥洗废水作为降尘废水，不外排。</w:t>
      </w:r>
    </w:p>
    <w:p>
      <w:pPr>
        <w:snapToGrid w:val="0"/>
        <w:ind w:firstLine="480"/>
        <w:rPr>
          <w:rFonts w:ascii="Times New Roman" w:hAnsi="Times New Roman"/>
          <w:szCs w:val="24"/>
        </w:rPr>
      </w:pPr>
      <w:r>
        <w:rPr>
          <w:rFonts w:ascii="Times New Roman" w:hAnsi="Times New Roman"/>
          <w:szCs w:val="24"/>
        </w:rPr>
        <w:t>（5）道路工程</w:t>
      </w:r>
    </w:p>
    <w:p>
      <w:pPr>
        <w:snapToGrid w:val="0"/>
        <w:ind w:firstLine="480"/>
        <w:rPr>
          <w:rFonts w:ascii="Times New Roman" w:hAnsi="Times New Roman"/>
          <w:szCs w:val="24"/>
        </w:rPr>
      </w:pPr>
      <w:r>
        <w:rPr>
          <w:rFonts w:ascii="Times New Roman" w:hAnsi="Times New Roman"/>
          <w:szCs w:val="24"/>
        </w:rPr>
        <w:t>集气站内新建道路</w:t>
      </w:r>
      <w:r>
        <w:rPr>
          <w:rFonts w:hint="eastAsia" w:ascii="Times New Roman" w:hAnsi="Times New Roman"/>
          <w:szCs w:val="24"/>
        </w:rPr>
        <w:t>158</w:t>
      </w:r>
      <w:r>
        <w:rPr>
          <w:rFonts w:ascii="Times New Roman" w:hAnsi="Times New Roman"/>
          <w:szCs w:val="24"/>
        </w:rPr>
        <w:t>m，宽为</w:t>
      </w:r>
      <w:r>
        <w:rPr>
          <w:rFonts w:hint="eastAsia" w:ascii="Times New Roman" w:hAnsi="Times New Roman"/>
          <w:szCs w:val="24"/>
        </w:rPr>
        <w:t>6</w:t>
      </w:r>
      <w:r>
        <w:rPr>
          <w:rFonts w:ascii="Times New Roman" w:hAnsi="Times New Roman"/>
          <w:szCs w:val="24"/>
        </w:rPr>
        <w:t>m。</w:t>
      </w:r>
      <w:r>
        <w:rPr>
          <w:rFonts w:hint="eastAsia" w:ascii="Times New Roman" w:hAnsi="Times New Roman"/>
          <w:szCs w:val="24"/>
        </w:rPr>
        <w:t>站外不再新建道路，利用已有道路。</w:t>
      </w:r>
    </w:p>
    <w:p>
      <w:pPr>
        <w:spacing w:before="156" w:beforeLines="50" w:after="156" w:afterLines="50"/>
        <w:ind w:firstLine="0" w:firstLineChars="0"/>
        <w:outlineLvl w:val="1"/>
        <w:rPr>
          <w:rFonts w:ascii="Times New Roman" w:hAnsi="Times New Roman"/>
          <w:b/>
          <w:sz w:val="30"/>
          <w:szCs w:val="30"/>
        </w:rPr>
      </w:pPr>
      <w:bookmarkStart w:id="47" w:name="_Toc524624582"/>
      <w:r>
        <w:rPr>
          <w:rFonts w:ascii="Times New Roman" w:hAnsi="Times New Roman"/>
          <w:b/>
          <w:sz w:val="30"/>
          <w:szCs w:val="30"/>
        </w:rPr>
        <w:t>3.4 工艺过程及产污环节</w:t>
      </w:r>
      <w:bookmarkEnd w:id="47"/>
    </w:p>
    <w:p>
      <w:pPr>
        <w:ind w:firstLine="0" w:firstLineChars="0"/>
        <w:outlineLvl w:val="2"/>
        <w:rPr>
          <w:rFonts w:ascii="Times New Roman" w:hAnsi="Times New Roman"/>
          <w:b/>
          <w:sz w:val="28"/>
          <w:szCs w:val="28"/>
        </w:rPr>
      </w:pPr>
      <w:r>
        <w:rPr>
          <w:rFonts w:hint="eastAsia" w:ascii="Times New Roman" w:hAnsi="Times New Roman"/>
          <w:b/>
          <w:sz w:val="28"/>
          <w:szCs w:val="28"/>
        </w:rPr>
        <w:t>3</w:t>
      </w:r>
      <w:r>
        <w:rPr>
          <w:rFonts w:ascii="Times New Roman" w:hAnsi="Times New Roman"/>
          <w:b/>
          <w:sz w:val="28"/>
          <w:szCs w:val="28"/>
        </w:rPr>
        <w:t xml:space="preserve">.4.1 </w:t>
      </w:r>
      <w:r>
        <w:rPr>
          <w:rFonts w:hint="eastAsia" w:ascii="Times New Roman" w:hAnsi="Times New Roman"/>
          <w:b/>
          <w:sz w:val="28"/>
          <w:szCs w:val="28"/>
        </w:rPr>
        <w:t>施工期</w:t>
      </w:r>
      <w:r>
        <w:rPr>
          <w:rFonts w:ascii="Times New Roman" w:hAnsi="Times New Roman"/>
          <w:b/>
          <w:sz w:val="28"/>
          <w:szCs w:val="28"/>
        </w:rPr>
        <w:t>工艺流程及产污环节</w:t>
      </w:r>
    </w:p>
    <w:p>
      <w:pPr>
        <w:ind w:firstLine="480"/>
        <w:rPr>
          <w:rFonts w:ascii="Times New Roman" w:hAnsi="Times New Roman"/>
          <w:szCs w:val="24"/>
        </w:rPr>
      </w:pPr>
      <w:r>
        <w:rPr>
          <w:rFonts w:hint="eastAsia" w:ascii="Times New Roman" w:hAnsi="Times New Roman"/>
          <w:szCs w:val="24"/>
        </w:rPr>
        <w:t>煤成气勘探施工期主要涉及钻前工程、钻井工程（钻井、固井、压裂等）、试气及封井等。</w:t>
      </w:r>
    </w:p>
    <w:p>
      <w:pPr>
        <w:ind w:firstLine="480"/>
        <w:rPr>
          <w:rFonts w:ascii="Times New Roman" w:hAnsi="Times New Roman"/>
          <w:szCs w:val="24"/>
        </w:rPr>
      </w:pPr>
      <w:r>
        <w:rPr>
          <w:rFonts w:hint="eastAsia" w:ascii="Times New Roman" w:hAnsi="Times New Roman"/>
          <w:szCs w:val="24"/>
        </w:rPr>
        <w:t>（1）钻前工程</w:t>
      </w:r>
    </w:p>
    <w:p>
      <w:pPr>
        <w:ind w:firstLine="480"/>
        <w:rPr>
          <w:rFonts w:ascii="Times New Roman" w:hAnsi="Times New Roman"/>
          <w:szCs w:val="24"/>
        </w:rPr>
      </w:pPr>
      <w:r>
        <w:rPr>
          <w:rFonts w:hint="eastAsia" w:ascii="Times New Roman" w:hAnsi="Times New Roman"/>
          <w:szCs w:val="24"/>
        </w:rPr>
        <w:t>钻前工程主要包括：场地平整、井场和集气站基础建设、钻井及集气站设备搬运和安装以及配套设施布置与建设。</w:t>
      </w:r>
    </w:p>
    <w:p>
      <w:pPr>
        <w:ind w:firstLine="480"/>
        <w:rPr>
          <w:rFonts w:ascii="Times New Roman" w:hAnsi="Times New Roman"/>
          <w:szCs w:val="24"/>
        </w:rPr>
      </w:pPr>
      <w:r>
        <w:rPr>
          <w:rFonts w:hint="eastAsia" w:ascii="Times New Roman" w:hAnsi="Times New Roman"/>
          <w:szCs w:val="24"/>
        </w:rPr>
        <w:t>（2）钻井工程</w:t>
      </w:r>
    </w:p>
    <w:p>
      <w:pPr>
        <w:ind w:firstLine="480"/>
        <w:rPr>
          <w:rFonts w:ascii="Times New Roman" w:hAnsi="Times New Roman"/>
          <w:szCs w:val="24"/>
        </w:rPr>
      </w:pPr>
      <w:r>
        <w:rPr>
          <w:rFonts w:hint="eastAsia" w:ascii="宋体" w:hAnsi="宋体"/>
          <w:szCs w:val="24"/>
        </w:rPr>
        <w:t>①</w:t>
      </w:r>
      <w:r>
        <w:rPr>
          <w:rFonts w:hint="eastAsia" w:ascii="Times New Roman" w:hAnsi="Times New Roman"/>
          <w:szCs w:val="24"/>
        </w:rPr>
        <w:t>钻井</w:t>
      </w:r>
    </w:p>
    <w:p>
      <w:pPr>
        <w:ind w:firstLine="480"/>
        <w:rPr>
          <w:rFonts w:ascii="Times New Roman" w:hAnsi="Times New Roman"/>
          <w:szCs w:val="24"/>
        </w:rPr>
      </w:pPr>
      <w:r>
        <w:rPr>
          <w:rFonts w:hint="eastAsia" w:ascii="Times New Roman" w:hAnsi="Times New Roman"/>
          <w:szCs w:val="24"/>
        </w:rPr>
        <w:t>下套管是将套管进入到产气煤层中，然后用射孔或割裂实现地层进入的一种方式，保持井筒稳定，防止井壁坍塌，以有利于后续的强化作业。下套管前将套管逐一用通径规进行通径，用柴油将套管丝扣清洗干净。下套管时用干抹布擦净后再公扣上涂抹丝扣油，保证丝扣连接紧密，既要上紧套管，又不能因为用力过大上坏丝扣。下套管中途要分两次向套管柱内注入钻井液，保证液柱压力。下完套管后要连接主动钻杆，开泵循环，保证循环通畅。</w:t>
      </w:r>
    </w:p>
    <w:p>
      <w:pPr>
        <w:ind w:firstLine="480"/>
        <w:rPr>
          <w:rFonts w:ascii="Times New Roman" w:hAnsi="Times New Roman"/>
          <w:szCs w:val="24"/>
        </w:rPr>
      </w:pPr>
      <w:r>
        <w:rPr>
          <w:rFonts w:hint="eastAsia" w:ascii="宋体" w:hAnsi="宋体"/>
          <w:szCs w:val="24"/>
        </w:rPr>
        <w:t>②</w:t>
      </w:r>
      <w:r>
        <w:rPr>
          <w:rFonts w:hint="eastAsia" w:ascii="Times New Roman" w:hAnsi="Times New Roman"/>
          <w:szCs w:val="24"/>
        </w:rPr>
        <w:t>固井</w:t>
      </w:r>
    </w:p>
    <w:p>
      <w:pPr>
        <w:ind w:firstLine="480"/>
        <w:rPr>
          <w:rFonts w:ascii="Times New Roman" w:hAnsi="Times New Roman"/>
          <w:szCs w:val="24"/>
        </w:rPr>
      </w:pPr>
      <w:r>
        <w:rPr>
          <w:rFonts w:hint="eastAsia" w:ascii="Times New Roman" w:hAnsi="Times New Roman"/>
          <w:szCs w:val="24"/>
        </w:rPr>
        <w:t>固井中先注入前置液洗井，洗井完成后开始注入水泥浆，要求平均密度在1.80g/cm</w:t>
      </w:r>
      <w:r>
        <w:rPr>
          <w:rFonts w:hint="eastAsia" w:ascii="Times New Roman" w:hAnsi="Times New Roman"/>
          <w:szCs w:val="24"/>
          <w:vertAlign w:val="superscript"/>
        </w:rPr>
        <w:t>3</w:t>
      </w:r>
      <w:r>
        <w:rPr>
          <w:rFonts w:hint="eastAsia" w:ascii="Times New Roman" w:hAnsi="Times New Roman"/>
          <w:szCs w:val="24"/>
        </w:rPr>
        <w:t>，采用开始密度小，中间大，最后小的办法，连续注入。注水泥完成后开始顶替，顶替量就是阻流环以上套管柱的内容积。</w:t>
      </w:r>
    </w:p>
    <w:p>
      <w:pPr>
        <w:ind w:firstLine="480"/>
        <w:rPr>
          <w:rFonts w:ascii="Times New Roman" w:hAnsi="Times New Roman"/>
          <w:szCs w:val="24"/>
        </w:rPr>
      </w:pPr>
      <w:r>
        <w:rPr>
          <w:rFonts w:hint="eastAsia" w:ascii="Times New Roman" w:hAnsi="Times New Roman"/>
          <w:szCs w:val="24"/>
        </w:rPr>
        <w:t>由于固井车和钻机现场的泥浆泵泵量很大，洗井、注水泥、顶替过程中，井内都会有大量钻井液排出，要及时排入泥浆净化系统。</w:t>
      </w:r>
    </w:p>
    <w:p>
      <w:pPr>
        <w:ind w:firstLine="480"/>
        <w:rPr>
          <w:rFonts w:ascii="Times New Roman" w:hAnsi="Times New Roman"/>
          <w:szCs w:val="24"/>
        </w:rPr>
      </w:pPr>
      <w:r>
        <w:rPr>
          <w:rFonts w:hint="eastAsia" w:ascii="Times New Roman" w:hAnsi="Times New Roman"/>
          <w:szCs w:val="24"/>
        </w:rPr>
        <w:t>固井结束后，固井侯凝48h后开始测固，严格按固井工程设计的时间和取样的实际凝固情况侯凝。</w:t>
      </w:r>
    </w:p>
    <w:p>
      <w:pPr>
        <w:ind w:firstLine="480"/>
        <w:rPr>
          <w:rFonts w:ascii="Times New Roman" w:hAnsi="Times New Roman"/>
          <w:szCs w:val="24"/>
        </w:rPr>
      </w:pPr>
      <w:r>
        <w:rPr>
          <w:rFonts w:hint="eastAsia" w:ascii="宋体" w:hAnsi="宋体"/>
          <w:szCs w:val="24"/>
        </w:rPr>
        <w:t>③</w:t>
      </w:r>
      <w:r>
        <w:rPr>
          <w:rFonts w:hint="eastAsia" w:ascii="Times New Roman" w:hAnsi="Times New Roman"/>
          <w:szCs w:val="24"/>
        </w:rPr>
        <w:t>压裂</w:t>
      </w:r>
    </w:p>
    <w:p>
      <w:pPr>
        <w:ind w:firstLine="480"/>
        <w:rPr>
          <w:rFonts w:ascii="Times New Roman" w:hAnsi="Times New Roman"/>
          <w:szCs w:val="24"/>
        </w:rPr>
      </w:pPr>
      <w:r>
        <w:rPr>
          <w:rFonts w:hint="eastAsia" w:ascii="Times New Roman" w:hAnsi="Times New Roman"/>
          <w:szCs w:val="24"/>
        </w:rPr>
        <w:t>钻井后，为了消除井筒附近地层渗透率低的不良影响，以达到增产的目的，需进行压裂作业，主要是通过向井下注入压裂液进行压裂。压裂改造过程中，大量压裂液将进入地层进行储层改造，压裂结束后，需要快速的排液。</w:t>
      </w:r>
    </w:p>
    <w:p>
      <w:pPr>
        <w:ind w:firstLine="480"/>
        <w:rPr>
          <w:rFonts w:ascii="Times New Roman" w:hAnsi="Times New Roman"/>
          <w:szCs w:val="24"/>
        </w:rPr>
      </w:pPr>
      <w:r>
        <w:rPr>
          <w:rFonts w:hint="eastAsia" w:ascii="Times New Roman" w:hAnsi="Times New Roman"/>
          <w:szCs w:val="24"/>
        </w:rPr>
        <w:t>压裂后需要关井一段时间，使压裂裂缝闭合，施工造成的压力波在地层中有逐步扩散，液体逐渐水化。压裂放喷一般分为两个阶段。第一阶段：压裂后，由于地层弹性能量较足，加之施工过程中伴注液氮，井筒可实现自喷。初放喷时，使用油嘴使控制排量，根据井口压力及出液量情况确定更换油嘴，要求井口压力只降不升。待地层不出砂且压力较低后，敞放排液，总体要求尽可能多的排出压裂液，同时准确计量出液量。第二阶段：关放排液，压裂后第一次放喷连续2~3小时不出液后，即可以关井，等压力恢复起来后再放喷。每次关放应遵循长关短放原则。放喷时要通过针阀或油嘴控制，使压力缓慢下降，待开始出液后，逐步增大针阀开启程度或更换更较大的油嘴，直至全开敞放，不出液后关井，如此往复关放，直至彻底不出液。</w:t>
      </w:r>
    </w:p>
    <w:p>
      <w:pPr>
        <w:ind w:firstLine="480"/>
        <w:rPr>
          <w:rFonts w:ascii="Times New Roman" w:hAnsi="Times New Roman"/>
          <w:szCs w:val="24"/>
        </w:rPr>
      </w:pPr>
      <w:r>
        <w:rPr>
          <w:rFonts w:hint="eastAsia" w:ascii="Times New Roman" w:hAnsi="Times New Roman"/>
          <w:szCs w:val="24"/>
        </w:rPr>
        <w:t>（3）试气工程</w:t>
      </w:r>
    </w:p>
    <w:p>
      <w:pPr>
        <w:ind w:firstLine="480"/>
        <w:rPr>
          <w:rFonts w:ascii="Times New Roman" w:hAnsi="Times New Roman"/>
          <w:szCs w:val="24"/>
        </w:rPr>
      </w:pPr>
      <w:r>
        <w:rPr>
          <w:rFonts w:hint="eastAsia" w:ascii="Times New Roman" w:hAnsi="Times New Roman"/>
          <w:szCs w:val="24"/>
        </w:rPr>
        <w:t>试气工程主要用于致密气储量评估，经过试气确定是否关井以待后续开发生产。试气阶段产生的甲烷气体采用火炬点燃方式排放。</w:t>
      </w:r>
    </w:p>
    <w:p>
      <w:pPr>
        <w:ind w:firstLine="480"/>
        <w:rPr>
          <w:rFonts w:ascii="Times New Roman" w:hAnsi="Times New Roman"/>
          <w:szCs w:val="24"/>
        </w:rPr>
      </w:pPr>
      <w:r>
        <w:rPr>
          <w:rFonts w:hint="eastAsia" w:ascii="Times New Roman" w:hAnsi="Times New Roman"/>
          <w:szCs w:val="24"/>
        </w:rPr>
        <w:t>（4）封井或弃井</w:t>
      </w:r>
    </w:p>
    <w:p>
      <w:pPr>
        <w:ind w:firstLine="480"/>
        <w:rPr>
          <w:rFonts w:ascii="Times New Roman" w:hAnsi="Times New Roman"/>
          <w:szCs w:val="24"/>
        </w:rPr>
      </w:pPr>
      <w:r>
        <w:rPr>
          <w:rFonts w:hint="eastAsia" w:ascii="Times New Roman" w:hAnsi="Times New Roman"/>
          <w:szCs w:val="24"/>
        </w:rPr>
        <w:t>试气完成后，若确定该井具有开采价值，则进行封井，留待下一步开采作业。</w:t>
      </w:r>
    </w:p>
    <w:p>
      <w:pPr>
        <w:ind w:firstLine="480"/>
        <w:rPr>
          <w:rFonts w:ascii="Times New Roman" w:hAnsi="Times New Roman"/>
          <w:szCs w:val="24"/>
        </w:rPr>
      </w:pPr>
      <w:r>
        <w:rPr>
          <w:rFonts w:hint="eastAsia" w:ascii="Times New Roman" w:hAnsi="Times New Roman"/>
          <w:szCs w:val="24"/>
        </w:rPr>
        <w:t>试气完成后，若确定该井无开采价值或有开采价值但无法控制风险，则进行弃井作业，首先，利用钻井过程中套管及套管壁用水泥固封防止煤成气窜入地层，同时在射孔段的上部注水泥形成水泥塞面封隔气层；其次，回填并做碉堡（边2m、高2.2m的三角形）和标识，设置醒目的警示标志。弃井后应保证该井眼无遗留风险，另外，钻井期间任一步骤出现不可控事故时，应立即转入弃井作业。</w:t>
      </w:r>
    </w:p>
    <w:p>
      <w:pPr>
        <w:ind w:firstLine="480"/>
        <w:rPr>
          <w:rFonts w:ascii="Times New Roman" w:hAnsi="Times New Roman"/>
          <w:szCs w:val="24"/>
        </w:rPr>
      </w:pPr>
      <w:r>
        <w:rPr>
          <w:rFonts w:hint="eastAsia" w:ascii="Times New Roman" w:hAnsi="Times New Roman"/>
          <w:szCs w:val="24"/>
        </w:rPr>
        <w:t>煤成气勘探施工期主要工艺流程及产污环节见图3.4-1。</w:t>
      </w:r>
    </w:p>
    <w:p>
      <w:pPr>
        <w:ind w:firstLine="0" w:firstLineChars="0"/>
        <w:jc w:val="center"/>
      </w:pPr>
      <w:r>
        <mc:AlternateContent>
          <mc:Choice Requires="wpc">
            <w:drawing>
              <wp:inline distT="0" distB="0" distL="0" distR="0">
                <wp:extent cx="5274310" cy="4645660"/>
                <wp:effectExtent l="0" t="0" r="3810" b="0"/>
                <wp:docPr id="208" name="画布 112"/>
                <wp:cNvGraphicFramePr/>
                <a:graphic xmlns:a="http://schemas.openxmlformats.org/drawingml/2006/main">
                  <a:graphicData uri="http://schemas.microsoft.com/office/word/2010/wordprocessingCanvas">
                    <wpc:wpc>
                      <wpc:bg>
                        <a:noFill/>
                      </wpc:bg>
                      <wpc:whole/>
                      <wps:wsp>
                        <wps:cNvPr id="145" name="矩形 16"/>
                        <wps:cNvSpPr>
                          <a:spLocks noChangeArrowheads="1"/>
                        </wps:cNvSpPr>
                        <wps:spPr bwMode="auto">
                          <a:xfrm>
                            <a:off x="2020504" y="145402"/>
                            <a:ext cx="1199502"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场地平整</w:t>
                              </w:r>
                            </w:p>
                          </w:txbxContent>
                        </wps:txbx>
                        <wps:bodyPr rot="0" vert="horz" wrap="square" lIns="91440" tIns="45720" rIns="91440" bIns="45720" anchor="t" anchorCtr="0" upright="1">
                          <a:noAutofit/>
                        </wps:bodyPr>
                      </wps:wsp>
                      <wps:wsp>
                        <wps:cNvPr id="146" name="矩形 17"/>
                        <wps:cNvSpPr>
                          <a:spLocks noChangeArrowheads="1"/>
                        </wps:cNvSpPr>
                        <wps:spPr bwMode="auto">
                          <a:xfrm>
                            <a:off x="1921504" y="682609"/>
                            <a:ext cx="1859904"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井场、</w:t>
                              </w:r>
                              <w:r>
                                <w:rPr>
                                  <w:sz w:val="21"/>
                                </w:rPr>
                                <w:t>集气站</w:t>
                              </w:r>
                              <w:r>
                                <w:rPr>
                                  <w:rFonts w:hint="eastAsia"/>
                                  <w:sz w:val="21"/>
                                </w:rPr>
                                <w:t>基础设施建设</w:t>
                              </w:r>
                            </w:p>
                          </w:txbxContent>
                        </wps:txbx>
                        <wps:bodyPr rot="0" vert="horz" wrap="square" lIns="91440" tIns="45720" rIns="91440" bIns="45720" anchor="t" anchorCtr="0" upright="1">
                          <a:noAutofit/>
                        </wps:bodyPr>
                      </wps:wsp>
                      <wps:wsp>
                        <wps:cNvPr id="147" name="矩形 18"/>
                        <wps:cNvSpPr>
                          <a:spLocks noChangeArrowheads="1"/>
                        </wps:cNvSpPr>
                        <wps:spPr bwMode="auto">
                          <a:xfrm>
                            <a:off x="2104304" y="1198215"/>
                            <a:ext cx="1068102"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设备搬运安装</w:t>
                              </w:r>
                            </w:p>
                          </w:txbxContent>
                        </wps:txbx>
                        <wps:bodyPr rot="0" vert="horz" wrap="square" lIns="91440" tIns="45720" rIns="91440" bIns="45720" anchor="t" anchorCtr="0" upright="1">
                          <a:noAutofit/>
                        </wps:bodyPr>
                      </wps:wsp>
                      <wps:wsp>
                        <wps:cNvPr id="148" name="自选图形 19"/>
                        <wps:cNvCnPr>
                          <a:cxnSpLocks noChangeShapeType="1"/>
                        </wps:cNvCnPr>
                        <wps:spPr bwMode="auto">
                          <a:xfrm flipH="1">
                            <a:off x="1564003" y="284404"/>
                            <a:ext cx="456501" cy="700"/>
                          </a:xfrm>
                          <a:prstGeom prst="straightConnector1">
                            <a:avLst/>
                          </a:prstGeom>
                          <a:noFill/>
                          <a:ln w="9525">
                            <a:solidFill>
                              <a:srgbClr val="000000"/>
                            </a:solidFill>
                            <a:prstDash val="dash"/>
                            <a:round/>
                            <a:tailEnd type="triangle" w="med" len="lg"/>
                          </a:ln>
                        </wps:spPr>
                        <wps:bodyPr/>
                      </wps:wsp>
                      <wps:wsp>
                        <wps:cNvPr id="149" name="矩形 20"/>
                        <wps:cNvSpPr>
                          <a:spLocks noChangeArrowheads="1"/>
                        </wps:cNvSpPr>
                        <wps:spPr bwMode="auto">
                          <a:xfrm>
                            <a:off x="554901" y="145402"/>
                            <a:ext cx="1009102" cy="278104"/>
                          </a:xfrm>
                          <a:prstGeom prst="rect">
                            <a:avLst/>
                          </a:prstGeom>
                          <a:noFill/>
                          <a:ln>
                            <a:noFill/>
                          </a:ln>
                        </wps:spPr>
                        <wps:txbx>
                          <w:txbxContent>
                            <w:p>
                              <w:pPr>
                                <w:spacing w:line="240" w:lineRule="auto"/>
                                <w:ind w:firstLine="0" w:firstLineChars="0"/>
                                <w:jc w:val="center"/>
                                <w:rPr>
                                  <w:sz w:val="21"/>
                                </w:rPr>
                              </w:pPr>
                              <w:r>
                                <w:rPr>
                                  <w:rFonts w:hint="eastAsia"/>
                                  <w:sz w:val="21"/>
                                </w:rPr>
                                <w:t>噪声、扬尘等</w:t>
                              </w:r>
                            </w:p>
                          </w:txbxContent>
                        </wps:txbx>
                        <wps:bodyPr rot="0" vert="horz" wrap="square" lIns="91440" tIns="45720" rIns="91440" bIns="45720" anchor="t" anchorCtr="0" upright="1">
                          <a:noAutofit/>
                        </wps:bodyPr>
                      </wps:wsp>
                      <wps:wsp>
                        <wps:cNvPr id="150" name="矩形 21"/>
                        <wps:cNvSpPr>
                          <a:spLocks noChangeArrowheads="1"/>
                        </wps:cNvSpPr>
                        <wps:spPr bwMode="auto">
                          <a:xfrm>
                            <a:off x="2106904" y="1808423"/>
                            <a:ext cx="1068102" cy="2782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钻井、固井</w:t>
                              </w:r>
                            </w:p>
                          </w:txbxContent>
                        </wps:txbx>
                        <wps:bodyPr rot="0" vert="horz" wrap="square" lIns="91440" tIns="45720" rIns="91440" bIns="45720" anchor="t" anchorCtr="0" upright="1">
                          <a:noAutofit/>
                        </wps:bodyPr>
                      </wps:wsp>
                      <wps:wsp>
                        <wps:cNvPr id="151" name="矩形 22"/>
                        <wps:cNvSpPr>
                          <a:spLocks noChangeArrowheads="1"/>
                        </wps:cNvSpPr>
                        <wps:spPr bwMode="auto">
                          <a:xfrm>
                            <a:off x="2116404" y="2725435"/>
                            <a:ext cx="1073802"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压裂作业</w:t>
                              </w:r>
                            </w:p>
                          </w:txbxContent>
                        </wps:txbx>
                        <wps:bodyPr rot="0" vert="horz" wrap="square" lIns="91440" tIns="45720" rIns="91440" bIns="45720" anchor="t" anchorCtr="0" upright="1">
                          <a:noAutofit/>
                        </wps:bodyPr>
                      </wps:wsp>
                      <wps:wsp>
                        <wps:cNvPr id="152" name="矩形 23"/>
                        <wps:cNvSpPr>
                          <a:spLocks noChangeArrowheads="1"/>
                        </wps:cNvSpPr>
                        <wps:spPr bwMode="auto">
                          <a:xfrm>
                            <a:off x="2211004" y="3167341"/>
                            <a:ext cx="889702" cy="2782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试气工程</w:t>
                              </w:r>
                            </w:p>
                          </w:txbxContent>
                        </wps:txbx>
                        <wps:bodyPr rot="0" vert="horz" wrap="square" lIns="91440" tIns="45720" rIns="91440" bIns="45720" anchor="t" anchorCtr="0" upright="1">
                          <a:noAutofit/>
                        </wps:bodyPr>
                      </wps:wsp>
                      <wps:wsp>
                        <wps:cNvPr id="153" name="矩形 24"/>
                        <wps:cNvSpPr>
                          <a:spLocks noChangeArrowheads="1"/>
                        </wps:cNvSpPr>
                        <wps:spPr bwMode="auto">
                          <a:xfrm>
                            <a:off x="2218604" y="3637947"/>
                            <a:ext cx="882102"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打井塞封井</w:t>
                              </w:r>
                            </w:p>
                          </w:txbxContent>
                        </wps:txbx>
                        <wps:bodyPr rot="0" vert="horz" wrap="square" lIns="91440" tIns="45720" rIns="91440" bIns="45720" anchor="t" anchorCtr="0" upright="1">
                          <a:noAutofit/>
                        </wps:bodyPr>
                      </wps:wsp>
                      <wps:wsp>
                        <wps:cNvPr id="154" name="矩形 25"/>
                        <wps:cNvSpPr>
                          <a:spLocks noChangeArrowheads="1"/>
                        </wps:cNvSpPr>
                        <wps:spPr bwMode="auto">
                          <a:xfrm>
                            <a:off x="2210404" y="4159854"/>
                            <a:ext cx="901102" cy="2852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下一步开采</w:t>
                              </w:r>
                            </w:p>
                          </w:txbxContent>
                        </wps:txbx>
                        <wps:bodyPr rot="0" vert="horz" wrap="square" lIns="91440" tIns="45720" rIns="91440" bIns="45720" anchor="t" anchorCtr="0" upright="1">
                          <a:noAutofit/>
                        </wps:bodyPr>
                      </wps:wsp>
                      <wps:wsp>
                        <wps:cNvPr id="155" name="矩形 26"/>
                        <wps:cNvSpPr>
                          <a:spLocks noChangeArrowheads="1"/>
                        </wps:cNvSpPr>
                        <wps:spPr bwMode="auto">
                          <a:xfrm>
                            <a:off x="641301" y="1808423"/>
                            <a:ext cx="1049702" cy="2782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柴油发电机</w:t>
                              </w:r>
                            </w:p>
                          </w:txbxContent>
                        </wps:txbx>
                        <wps:bodyPr rot="0" vert="horz" wrap="square" lIns="91440" tIns="45720" rIns="91440" bIns="45720" anchor="t" anchorCtr="0" upright="1">
                          <a:noAutofit/>
                        </wps:bodyPr>
                      </wps:wsp>
                      <wps:wsp>
                        <wps:cNvPr id="156" name="矩形 27"/>
                        <wps:cNvSpPr>
                          <a:spLocks noChangeArrowheads="1"/>
                        </wps:cNvSpPr>
                        <wps:spPr bwMode="auto">
                          <a:xfrm>
                            <a:off x="3718507" y="1808423"/>
                            <a:ext cx="1068102" cy="2782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泥浆循环系统</w:t>
                              </w:r>
                            </w:p>
                          </w:txbxContent>
                        </wps:txbx>
                        <wps:bodyPr rot="0" vert="horz" wrap="square" lIns="91440" tIns="45720" rIns="91440" bIns="45720" anchor="t" anchorCtr="0" upright="1">
                          <a:noAutofit/>
                        </wps:bodyPr>
                      </wps:wsp>
                      <wps:wsp>
                        <wps:cNvPr id="157" name="矩形 28"/>
                        <wps:cNvSpPr>
                          <a:spLocks noChangeArrowheads="1"/>
                        </wps:cNvSpPr>
                        <wps:spPr bwMode="auto">
                          <a:xfrm>
                            <a:off x="1237602" y="3637947"/>
                            <a:ext cx="657201" cy="2781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弃井</w:t>
                              </w:r>
                            </w:p>
                          </w:txbxContent>
                        </wps:txbx>
                        <wps:bodyPr rot="0" vert="horz" wrap="square" lIns="91440" tIns="45720" rIns="91440" bIns="45720" anchor="t" anchorCtr="0" upright="1">
                          <a:noAutofit/>
                        </wps:bodyPr>
                      </wps:wsp>
                      <wps:wsp>
                        <wps:cNvPr id="158" name="矩形 29"/>
                        <wps:cNvSpPr>
                          <a:spLocks noChangeArrowheads="1"/>
                        </wps:cNvSpPr>
                        <wps:spPr bwMode="auto">
                          <a:xfrm>
                            <a:off x="714301" y="4159854"/>
                            <a:ext cx="1430703" cy="316904"/>
                          </a:xfrm>
                          <a:prstGeom prst="rect">
                            <a:avLst/>
                          </a:prstGeom>
                          <a:solidFill>
                            <a:srgbClr val="FFFFFF"/>
                          </a:solidFill>
                          <a:ln w="12700">
                            <a:solidFill>
                              <a:srgbClr val="000000"/>
                            </a:solidFill>
                            <a:miter lim="800000"/>
                          </a:ln>
                        </wps:spPr>
                        <wps:txbx>
                          <w:txbxContent>
                            <w:p>
                              <w:pPr>
                                <w:spacing w:line="240" w:lineRule="auto"/>
                                <w:ind w:firstLine="0" w:firstLineChars="0"/>
                                <w:jc w:val="center"/>
                                <w:rPr>
                                  <w:sz w:val="21"/>
                                </w:rPr>
                              </w:pPr>
                              <w:r>
                                <w:rPr>
                                  <w:rFonts w:hint="eastAsia"/>
                                  <w:sz w:val="21"/>
                                </w:rPr>
                                <w:t>场地清理及土地复垦</w:t>
                              </w:r>
                            </w:p>
                          </w:txbxContent>
                        </wps:txbx>
                        <wps:bodyPr rot="0" vert="horz" wrap="square" lIns="91440" tIns="45720" rIns="91440" bIns="45720" anchor="t" anchorCtr="0" upright="1">
                          <a:noAutofit/>
                        </wps:bodyPr>
                      </wps:wsp>
                      <wps:wsp>
                        <wps:cNvPr id="159" name="自选图形 30"/>
                        <wps:cNvCnPr>
                          <a:cxnSpLocks noChangeShapeType="1"/>
                        </wps:cNvCnPr>
                        <wps:spPr bwMode="auto">
                          <a:xfrm>
                            <a:off x="2626305" y="960712"/>
                            <a:ext cx="2600" cy="237503"/>
                          </a:xfrm>
                          <a:prstGeom prst="straightConnector1">
                            <a:avLst/>
                          </a:prstGeom>
                          <a:noFill/>
                          <a:ln w="9525">
                            <a:solidFill>
                              <a:srgbClr val="000000"/>
                            </a:solidFill>
                            <a:round/>
                            <a:tailEnd type="stealth" w="med" len="med"/>
                          </a:ln>
                        </wps:spPr>
                        <wps:bodyPr/>
                      </wps:wsp>
                      <wps:wsp>
                        <wps:cNvPr id="160" name="自选图形 31"/>
                        <wps:cNvCnPr>
                          <a:cxnSpLocks noChangeShapeType="1"/>
                        </wps:cNvCnPr>
                        <wps:spPr bwMode="auto">
                          <a:xfrm>
                            <a:off x="2638405" y="1476319"/>
                            <a:ext cx="2500" cy="332104"/>
                          </a:xfrm>
                          <a:prstGeom prst="straightConnector1">
                            <a:avLst/>
                          </a:prstGeom>
                          <a:noFill/>
                          <a:ln w="9525">
                            <a:solidFill>
                              <a:srgbClr val="000000"/>
                            </a:solidFill>
                            <a:round/>
                            <a:tailEnd type="stealth" w="med" len="med"/>
                          </a:ln>
                        </wps:spPr>
                        <wps:bodyPr/>
                      </wps:wsp>
                      <wps:wsp>
                        <wps:cNvPr id="161" name="自选图形 32"/>
                        <wps:cNvCnPr>
                          <a:cxnSpLocks noChangeShapeType="1"/>
                        </wps:cNvCnPr>
                        <wps:spPr bwMode="auto">
                          <a:xfrm>
                            <a:off x="2640905" y="2086627"/>
                            <a:ext cx="12400" cy="638808"/>
                          </a:xfrm>
                          <a:prstGeom prst="straightConnector1">
                            <a:avLst/>
                          </a:prstGeom>
                          <a:noFill/>
                          <a:ln w="9525">
                            <a:solidFill>
                              <a:srgbClr val="000000"/>
                            </a:solidFill>
                            <a:round/>
                            <a:tailEnd type="stealth" w="med" len="med"/>
                          </a:ln>
                        </wps:spPr>
                        <wps:bodyPr/>
                      </wps:wsp>
                      <wps:wsp>
                        <wps:cNvPr id="162" name="自选图形 33"/>
                        <wps:cNvCnPr>
                          <a:cxnSpLocks noChangeShapeType="1"/>
                        </wps:cNvCnPr>
                        <wps:spPr bwMode="auto">
                          <a:xfrm flipH="1">
                            <a:off x="1506203" y="821611"/>
                            <a:ext cx="415301" cy="10200"/>
                          </a:xfrm>
                          <a:prstGeom prst="straightConnector1">
                            <a:avLst/>
                          </a:prstGeom>
                          <a:noFill/>
                          <a:ln w="9525">
                            <a:solidFill>
                              <a:srgbClr val="000000"/>
                            </a:solidFill>
                            <a:prstDash val="dash"/>
                            <a:round/>
                            <a:tailEnd type="triangle" w="med" len="lg"/>
                          </a:ln>
                        </wps:spPr>
                        <wps:bodyPr/>
                      </wps:wsp>
                      <wps:wsp>
                        <wps:cNvPr id="163" name="自选图形 34"/>
                        <wps:cNvCnPr>
                          <a:cxnSpLocks noChangeShapeType="1"/>
                        </wps:cNvCnPr>
                        <wps:spPr bwMode="auto">
                          <a:xfrm flipH="1">
                            <a:off x="1567103" y="1336617"/>
                            <a:ext cx="534101" cy="700"/>
                          </a:xfrm>
                          <a:prstGeom prst="straightConnector1">
                            <a:avLst/>
                          </a:prstGeom>
                          <a:noFill/>
                          <a:ln w="9525">
                            <a:solidFill>
                              <a:srgbClr val="000000"/>
                            </a:solidFill>
                            <a:prstDash val="dash"/>
                            <a:round/>
                            <a:tailEnd type="triangle" w="med" len="lg"/>
                          </a:ln>
                        </wps:spPr>
                        <wps:bodyPr/>
                      </wps:wsp>
                      <wps:wsp>
                        <wps:cNvPr id="164" name="自选图形 35"/>
                        <wps:cNvCnPr>
                          <a:cxnSpLocks noChangeShapeType="1"/>
                        </wps:cNvCnPr>
                        <wps:spPr bwMode="auto">
                          <a:xfrm>
                            <a:off x="2656205" y="3445545"/>
                            <a:ext cx="3800" cy="192402"/>
                          </a:xfrm>
                          <a:prstGeom prst="straightConnector1">
                            <a:avLst/>
                          </a:prstGeom>
                          <a:noFill/>
                          <a:ln w="9525">
                            <a:solidFill>
                              <a:srgbClr val="000000"/>
                            </a:solidFill>
                            <a:round/>
                            <a:tailEnd type="stealth" w="med" len="med"/>
                          </a:ln>
                        </wps:spPr>
                        <wps:bodyPr/>
                      </wps:wsp>
                      <wps:wsp>
                        <wps:cNvPr id="165" name="自选图形 36"/>
                        <wps:cNvCnPr>
                          <a:cxnSpLocks noChangeShapeType="1"/>
                        </wps:cNvCnPr>
                        <wps:spPr bwMode="auto">
                          <a:xfrm>
                            <a:off x="2660005" y="3916051"/>
                            <a:ext cx="1200" cy="243803"/>
                          </a:xfrm>
                          <a:prstGeom prst="straightConnector1">
                            <a:avLst/>
                          </a:prstGeom>
                          <a:noFill/>
                          <a:ln w="9525">
                            <a:solidFill>
                              <a:srgbClr val="000000"/>
                            </a:solidFill>
                            <a:round/>
                            <a:tailEnd type="stealth" w="med" len="med"/>
                          </a:ln>
                        </wps:spPr>
                        <wps:bodyPr/>
                      </wps:wsp>
                      <wps:wsp>
                        <wps:cNvPr id="166" name="矩形 37"/>
                        <wps:cNvSpPr>
                          <a:spLocks noChangeArrowheads="1"/>
                        </wps:cNvSpPr>
                        <wps:spPr bwMode="auto">
                          <a:xfrm>
                            <a:off x="558101" y="682609"/>
                            <a:ext cx="1009002" cy="278104"/>
                          </a:xfrm>
                          <a:prstGeom prst="rect">
                            <a:avLst/>
                          </a:prstGeom>
                          <a:noFill/>
                          <a:ln>
                            <a:noFill/>
                          </a:ln>
                        </wps:spPr>
                        <wps:txbx>
                          <w:txbxContent>
                            <w:p>
                              <w:pPr>
                                <w:spacing w:line="240" w:lineRule="auto"/>
                                <w:ind w:firstLine="0" w:firstLineChars="0"/>
                                <w:jc w:val="center"/>
                                <w:rPr>
                                  <w:sz w:val="21"/>
                                </w:rPr>
                              </w:pPr>
                              <w:r>
                                <w:rPr>
                                  <w:rFonts w:hint="eastAsia"/>
                                  <w:sz w:val="21"/>
                                </w:rPr>
                                <w:t>噪声、扬尘等</w:t>
                              </w:r>
                            </w:p>
                          </w:txbxContent>
                        </wps:txbx>
                        <wps:bodyPr rot="0" vert="horz" wrap="square" lIns="91440" tIns="45720" rIns="91440" bIns="45720" anchor="t" anchorCtr="0" upright="1">
                          <a:noAutofit/>
                        </wps:bodyPr>
                      </wps:wsp>
                      <wps:wsp>
                        <wps:cNvPr id="167" name="矩形 38"/>
                        <wps:cNvSpPr>
                          <a:spLocks noChangeArrowheads="1"/>
                        </wps:cNvSpPr>
                        <wps:spPr bwMode="auto">
                          <a:xfrm>
                            <a:off x="558101" y="1198215"/>
                            <a:ext cx="1009002" cy="278104"/>
                          </a:xfrm>
                          <a:prstGeom prst="rect">
                            <a:avLst/>
                          </a:prstGeom>
                          <a:noFill/>
                          <a:ln>
                            <a:noFill/>
                          </a:ln>
                        </wps:spPr>
                        <wps:txbx>
                          <w:txbxContent>
                            <w:p>
                              <w:pPr>
                                <w:spacing w:line="240" w:lineRule="auto"/>
                                <w:ind w:firstLine="0" w:firstLineChars="0"/>
                                <w:jc w:val="center"/>
                                <w:rPr>
                                  <w:sz w:val="21"/>
                                </w:rPr>
                              </w:pPr>
                              <w:r>
                                <w:rPr>
                                  <w:rFonts w:hint="eastAsia"/>
                                  <w:sz w:val="21"/>
                                </w:rPr>
                                <w:t>噪声、废气等</w:t>
                              </w:r>
                            </w:p>
                          </w:txbxContent>
                        </wps:txbx>
                        <wps:bodyPr rot="0" vert="horz" wrap="square" lIns="91440" tIns="45720" rIns="91440" bIns="45720" anchor="t" anchorCtr="0" upright="1">
                          <a:noAutofit/>
                        </wps:bodyPr>
                      </wps:wsp>
                      <wps:wsp>
                        <wps:cNvPr id="168" name="矩形 39"/>
                        <wps:cNvSpPr>
                          <a:spLocks noChangeArrowheads="1"/>
                        </wps:cNvSpPr>
                        <wps:spPr bwMode="auto">
                          <a:xfrm>
                            <a:off x="725801" y="2364731"/>
                            <a:ext cx="879402" cy="278104"/>
                          </a:xfrm>
                          <a:prstGeom prst="rect">
                            <a:avLst/>
                          </a:prstGeom>
                          <a:noFill/>
                          <a:ln>
                            <a:noFill/>
                          </a:ln>
                        </wps:spPr>
                        <wps:txbx>
                          <w:txbxContent>
                            <w:p>
                              <w:pPr>
                                <w:spacing w:line="240" w:lineRule="auto"/>
                                <w:ind w:firstLine="0" w:firstLineChars="0"/>
                                <w:jc w:val="center"/>
                                <w:rPr>
                                  <w:sz w:val="21"/>
                                </w:rPr>
                              </w:pPr>
                              <w:r>
                                <w:rPr>
                                  <w:rFonts w:hint="eastAsia"/>
                                  <w:sz w:val="21"/>
                                </w:rPr>
                                <w:t>噪声、废气</w:t>
                              </w:r>
                            </w:p>
                          </w:txbxContent>
                        </wps:txbx>
                        <wps:bodyPr rot="0" vert="horz" wrap="square" lIns="91440" tIns="45720" rIns="91440" bIns="45720" anchor="t" anchorCtr="0" upright="1">
                          <a:noAutofit/>
                        </wps:bodyPr>
                      </wps:wsp>
                      <wps:wsp>
                        <wps:cNvPr id="169" name="自选图形 40"/>
                        <wps:cNvCnPr>
                          <a:cxnSpLocks noChangeShapeType="1"/>
                        </wps:cNvCnPr>
                        <wps:spPr bwMode="auto">
                          <a:xfrm flipH="1">
                            <a:off x="975302" y="3772549"/>
                            <a:ext cx="262300" cy="600"/>
                          </a:xfrm>
                          <a:prstGeom prst="straightConnector1">
                            <a:avLst/>
                          </a:prstGeom>
                          <a:noFill/>
                          <a:ln w="9525">
                            <a:solidFill>
                              <a:srgbClr val="000000"/>
                            </a:solidFill>
                            <a:prstDash val="dash"/>
                            <a:round/>
                            <a:tailEnd type="triangle" w="med" len="lg"/>
                          </a:ln>
                        </wps:spPr>
                        <wps:bodyPr/>
                      </wps:wsp>
                      <wps:wsp>
                        <wps:cNvPr id="170" name="矩形 41"/>
                        <wps:cNvSpPr>
                          <a:spLocks noChangeArrowheads="1"/>
                        </wps:cNvSpPr>
                        <wps:spPr bwMode="auto">
                          <a:xfrm>
                            <a:off x="554901" y="3637947"/>
                            <a:ext cx="488401" cy="278104"/>
                          </a:xfrm>
                          <a:prstGeom prst="rect">
                            <a:avLst/>
                          </a:prstGeom>
                          <a:noFill/>
                          <a:ln>
                            <a:noFill/>
                          </a:ln>
                        </wps:spPr>
                        <wps:txbx>
                          <w:txbxContent>
                            <w:p>
                              <w:pPr>
                                <w:spacing w:line="240" w:lineRule="auto"/>
                                <w:ind w:firstLine="0" w:firstLineChars="0"/>
                                <w:jc w:val="center"/>
                                <w:rPr>
                                  <w:sz w:val="21"/>
                                </w:rPr>
                              </w:pPr>
                              <w:r>
                                <w:rPr>
                                  <w:rFonts w:hint="eastAsia"/>
                                  <w:sz w:val="21"/>
                                </w:rPr>
                                <w:t>噪声</w:t>
                              </w:r>
                            </w:p>
                          </w:txbxContent>
                        </wps:txbx>
                        <wps:bodyPr rot="0" vert="horz" wrap="square" lIns="91440" tIns="45720" rIns="91440" bIns="45720" anchor="t" anchorCtr="0" upright="1">
                          <a:noAutofit/>
                        </wps:bodyPr>
                      </wps:wsp>
                      <wps:wsp>
                        <wps:cNvPr id="171" name="自选图形 42"/>
                        <wps:cNvCnPr>
                          <a:cxnSpLocks noChangeShapeType="1"/>
                        </wps:cNvCnPr>
                        <wps:spPr bwMode="auto">
                          <a:xfrm flipH="1">
                            <a:off x="1574803" y="3306443"/>
                            <a:ext cx="636201" cy="2500"/>
                          </a:xfrm>
                          <a:prstGeom prst="straightConnector1">
                            <a:avLst/>
                          </a:prstGeom>
                          <a:noFill/>
                          <a:ln w="9525">
                            <a:solidFill>
                              <a:srgbClr val="000000"/>
                            </a:solidFill>
                            <a:round/>
                          </a:ln>
                        </wps:spPr>
                        <wps:bodyPr/>
                      </wps:wsp>
                      <wps:wsp>
                        <wps:cNvPr id="172" name="自选图形 43"/>
                        <wps:cNvCnPr>
                          <a:cxnSpLocks noChangeShapeType="1"/>
                        </wps:cNvCnPr>
                        <wps:spPr bwMode="auto">
                          <a:xfrm flipV="1">
                            <a:off x="1566503" y="3308943"/>
                            <a:ext cx="600" cy="329004"/>
                          </a:xfrm>
                          <a:prstGeom prst="straightConnector1">
                            <a:avLst/>
                          </a:prstGeom>
                          <a:noFill/>
                          <a:ln w="9525">
                            <a:solidFill>
                              <a:srgbClr val="000000"/>
                            </a:solidFill>
                            <a:round/>
                          </a:ln>
                        </wps:spPr>
                        <wps:bodyPr/>
                      </wps:wsp>
                      <wps:wsp>
                        <wps:cNvPr id="173" name="自选图形 44"/>
                        <wps:cNvCnPr>
                          <a:cxnSpLocks noChangeShapeType="1"/>
                        </wps:cNvCnPr>
                        <wps:spPr bwMode="auto">
                          <a:xfrm flipH="1">
                            <a:off x="1565203" y="3916051"/>
                            <a:ext cx="1300" cy="243803"/>
                          </a:xfrm>
                          <a:prstGeom prst="straightConnector1">
                            <a:avLst/>
                          </a:prstGeom>
                          <a:noFill/>
                          <a:ln w="9525">
                            <a:solidFill>
                              <a:srgbClr val="000000"/>
                            </a:solidFill>
                            <a:round/>
                            <a:tailEnd type="triangle" w="med" len="lg"/>
                          </a:ln>
                        </wps:spPr>
                        <wps:bodyPr/>
                      </wps:wsp>
                      <wps:wsp>
                        <wps:cNvPr id="174" name="自选图形 45"/>
                        <wps:cNvCnPr>
                          <a:cxnSpLocks noChangeShapeType="1"/>
                        </wps:cNvCnPr>
                        <wps:spPr bwMode="auto">
                          <a:xfrm>
                            <a:off x="1691003" y="1947525"/>
                            <a:ext cx="415901" cy="600"/>
                          </a:xfrm>
                          <a:prstGeom prst="straightConnector1">
                            <a:avLst/>
                          </a:prstGeom>
                          <a:noFill/>
                          <a:ln w="9525">
                            <a:solidFill>
                              <a:srgbClr val="000000"/>
                            </a:solidFill>
                            <a:round/>
                            <a:tailEnd type="triangle" w="med" len="lg"/>
                          </a:ln>
                        </wps:spPr>
                        <wps:bodyPr/>
                      </wps:wsp>
                      <wps:wsp>
                        <wps:cNvPr id="175" name="自选图形 46"/>
                        <wps:cNvCnPr>
                          <a:cxnSpLocks noChangeShapeType="1"/>
                        </wps:cNvCnPr>
                        <wps:spPr bwMode="auto">
                          <a:xfrm>
                            <a:off x="3175006" y="1947525"/>
                            <a:ext cx="543501" cy="600"/>
                          </a:xfrm>
                          <a:prstGeom prst="straightConnector1">
                            <a:avLst/>
                          </a:prstGeom>
                          <a:noFill/>
                          <a:ln w="9525">
                            <a:solidFill>
                              <a:srgbClr val="000000"/>
                            </a:solidFill>
                            <a:prstDash val="dash"/>
                            <a:round/>
                            <a:tailEnd type="triangle" w="med" len="lg"/>
                          </a:ln>
                        </wps:spPr>
                        <wps:bodyPr/>
                      </wps:wsp>
                      <wps:wsp>
                        <wps:cNvPr id="176" name="自选图形 47"/>
                        <wps:cNvCnPr>
                          <a:cxnSpLocks noChangeShapeType="1"/>
                        </wps:cNvCnPr>
                        <wps:spPr bwMode="auto">
                          <a:xfrm flipH="1">
                            <a:off x="1166402" y="2086627"/>
                            <a:ext cx="700" cy="278104"/>
                          </a:xfrm>
                          <a:prstGeom prst="straightConnector1">
                            <a:avLst/>
                          </a:prstGeom>
                          <a:noFill/>
                          <a:ln w="9525">
                            <a:solidFill>
                              <a:srgbClr val="000000"/>
                            </a:solidFill>
                            <a:round/>
                            <a:tailEnd type="triangle" w="med" len="lg"/>
                          </a:ln>
                        </wps:spPr>
                        <wps:bodyPr/>
                      </wps:wsp>
                      <wps:wsp>
                        <wps:cNvPr id="177" name="矩形 49"/>
                        <wps:cNvSpPr>
                          <a:spLocks noChangeArrowheads="1"/>
                        </wps:cNvSpPr>
                        <wps:spPr bwMode="auto">
                          <a:xfrm>
                            <a:off x="1222302" y="2725435"/>
                            <a:ext cx="603301" cy="278104"/>
                          </a:xfrm>
                          <a:prstGeom prst="rect">
                            <a:avLst/>
                          </a:prstGeom>
                          <a:noFill/>
                          <a:ln>
                            <a:noFill/>
                          </a:ln>
                        </wps:spPr>
                        <wps:txbx>
                          <w:txbxContent>
                            <w:p>
                              <w:pPr>
                                <w:spacing w:line="240" w:lineRule="auto"/>
                                <w:ind w:firstLine="0" w:firstLineChars="0"/>
                                <w:jc w:val="center"/>
                                <w:rPr>
                                  <w:sz w:val="21"/>
                                </w:rPr>
                              </w:pPr>
                              <w:r>
                                <w:rPr>
                                  <w:rFonts w:hint="eastAsia"/>
                                  <w:sz w:val="21"/>
                                </w:rPr>
                                <w:t>压裂液</w:t>
                              </w:r>
                            </w:p>
                          </w:txbxContent>
                        </wps:txbx>
                        <wps:bodyPr rot="0" vert="horz" wrap="square" lIns="91440" tIns="45720" rIns="91440" bIns="45720" anchor="t" anchorCtr="0" upright="1">
                          <a:noAutofit/>
                        </wps:bodyPr>
                      </wps:wsp>
                      <wps:wsp>
                        <wps:cNvPr id="178" name="自选图形 50"/>
                        <wps:cNvCnPr>
                          <a:cxnSpLocks noChangeShapeType="1"/>
                        </wps:cNvCnPr>
                        <wps:spPr bwMode="auto">
                          <a:xfrm>
                            <a:off x="1825603" y="2864437"/>
                            <a:ext cx="290801" cy="700"/>
                          </a:xfrm>
                          <a:prstGeom prst="straightConnector1">
                            <a:avLst/>
                          </a:prstGeom>
                          <a:noFill/>
                          <a:ln w="9525">
                            <a:solidFill>
                              <a:srgbClr val="000000"/>
                            </a:solidFill>
                            <a:round/>
                            <a:tailEnd type="triangle" w="med" len="lg"/>
                          </a:ln>
                        </wps:spPr>
                        <wps:bodyPr/>
                      </wps:wsp>
                      <wps:wsp>
                        <wps:cNvPr id="179" name="自选图形 51"/>
                        <wps:cNvCnPr>
                          <a:cxnSpLocks noChangeShapeType="1"/>
                        </wps:cNvCnPr>
                        <wps:spPr bwMode="auto">
                          <a:xfrm>
                            <a:off x="2653605" y="3003539"/>
                            <a:ext cx="2600" cy="163802"/>
                          </a:xfrm>
                          <a:prstGeom prst="straightConnector1">
                            <a:avLst/>
                          </a:prstGeom>
                          <a:noFill/>
                          <a:ln w="9525">
                            <a:solidFill>
                              <a:srgbClr val="000000"/>
                            </a:solidFill>
                            <a:round/>
                            <a:tailEnd type="stealth" w="med" len="med"/>
                          </a:ln>
                        </wps:spPr>
                        <wps:bodyPr/>
                      </wps:wsp>
                      <wps:wsp>
                        <wps:cNvPr id="180" name="自选图形 52"/>
                        <wps:cNvCnPr>
                          <a:cxnSpLocks noChangeShapeType="1"/>
                        </wps:cNvCnPr>
                        <wps:spPr bwMode="auto">
                          <a:xfrm flipV="1">
                            <a:off x="4251908" y="1668122"/>
                            <a:ext cx="600" cy="140302"/>
                          </a:xfrm>
                          <a:prstGeom prst="straightConnector1">
                            <a:avLst/>
                          </a:prstGeom>
                          <a:noFill/>
                          <a:ln w="9525">
                            <a:solidFill>
                              <a:srgbClr val="000000"/>
                            </a:solidFill>
                            <a:prstDash val="lgDash"/>
                            <a:round/>
                          </a:ln>
                        </wps:spPr>
                        <wps:bodyPr/>
                      </wps:wsp>
                      <wps:wsp>
                        <wps:cNvPr id="181" name="自选图形 53"/>
                        <wps:cNvCnPr>
                          <a:cxnSpLocks noChangeShapeType="1"/>
                        </wps:cNvCnPr>
                        <wps:spPr bwMode="auto">
                          <a:xfrm flipH="1">
                            <a:off x="2929806" y="1668122"/>
                            <a:ext cx="1323403" cy="0"/>
                          </a:xfrm>
                          <a:prstGeom prst="straightConnector1">
                            <a:avLst/>
                          </a:prstGeom>
                          <a:noFill/>
                          <a:ln w="12700">
                            <a:solidFill>
                              <a:srgbClr val="000000"/>
                            </a:solidFill>
                            <a:prstDash val="lgDash"/>
                            <a:round/>
                          </a:ln>
                        </wps:spPr>
                        <wps:bodyPr/>
                      </wps:wsp>
                      <wps:wsp>
                        <wps:cNvPr id="182" name="自选图形 54"/>
                        <wps:cNvCnPr>
                          <a:cxnSpLocks noChangeShapeType="1"/>
                        </wps:cNvCnPr>
                        <wps:spPr bwMode="auto">
                          <a:xfrm>
                            <a:off x="2933006" y="1668122"/>
                            <a:ext cx="700" cy="140302"/>
                          </a:xfrm>
                          <a:prstGeom prst="straightConnector1">
                            <a:avLst/>
                          </a:prstGeom>
                          <a:noFill/>
                          <a:ln w="9525">
                            <a:solidFill>
                              <a:srgbClr val="000000"/>
                            </a:solidFill>
                            <a:round/>
                            <a:tailEnd type="stealth" w="med" len="med"/>
                          </a:ln>
                        </wps:spPr>
                        <wps:bodyPr/>
                      </wps:wsp>
                      <wps:wsp>
                        <wps:cNvPr id="183" name="自选图形 55"/>
                        <wps:cNvCnPr>
                          <a:cxnSpLocks noChangeShapeType="1"/>
                        </wps:cNvCnPr>
                        <wps:spPr bwMode="auto">
                          <a:xfrm flipH="1">
                            <a:off x="4250008" y="2086627"/>
                            <a:ext cx="2500" cy="197403"/>
                          </a:xfrm>
                          <a:prstGeom prst="straightConnector1">
                            <a:avLst/>
                          </a:prstGeom>
                          <a:noFill/>
                          <a:ln w="9525">
                            <a:solidFill>
                              <a:srgbClr val="000000"/>
                            </a:solidFill>
                            <a:round/>
                            <a:tailEnd type="triangle" w="med" len="lg"/>
                          </a:ln>
                        </wps:spPr>
                        <wps:bodyPr/>
                      </wps:wsp>
                      <wps:wsp>
                        <wps:cNvPr id="184" name="矩形 57"/>
                        <wps:cNvSpPr>
                          <a:spLocks noChangeArrowheads="1"/>
                        </wps:cNvSpPr>
                        <wps:spPr bwMode="auto">
                          <a:xfrm>
                            <a:off x="3663307" y="3167341"/>
                            <a:ext cx="904802" cy="278204"/>
                          </a:xfrm>
                          <a:prstGeom prst="rect">
                            <a:avLst/>
                          </a:prstGeom>
                          <a:noFill/>
                          <a:ln>
                            <a:noFill/>
                          </a:ln>
                        </wps:spPr>
                        <wps:txbx>
                          <w:txbxContent>
                            <w:p>
                              <w:pPr>
                                <w:spacing w:line="240" w:lineRule="auto"/>
                                <w:ind w:firstLine="0" w:firstLineChars="0"/>
                                <w:jc w:val="center"/>
                                <w:rPr>
                                  <w:sz w:val="21"/>
                                </w:rPr>
                              </w:pPr>
                              <w:r>
                                <w:rPr>
                                  <w:rFonts w:hint="eastAsia"/>
                                  <w:sz w:val="21"/>
                                </w:rPr>
                                <w:t>废气、噪声</w:t>
                              </w:r>
                            </w:p>
                            <w:p>
                              <w:pPr>
                                <w:spacing w:line="240" w:lineRule="auto"/>
                                <w:ind w:firstLine="0" w:firstLineChars="0"/>
                                <w:jc w:val="center"/>
                              </w:pPr>
                            </w:p>
                          </w:txbxContent>
                        </wps:txbx>
                        <wps:bodyPr rot="0" vert="horz" wrap="square" lIns="91440" tIns="45720" rIns="91440" bIns="45720" anchor="t" anchorCtr="0" upright="1">
                          <a:noAutofit/>
                        </wps:bodyPr>
                      </wps:wsp>
                      <wps:wsp>
                        <wps:cNvPr id="185" name="矩形 58"/>
                        <wps:cNvSpPr>
                          <a:spLocks noChangeArrowheads="1"/>
                        </wps:cNvSpPr>
                        <wps:spPr bwMode="auto">
                          <a:xfrm>
                            <a:off x="3681007" y="3637947"/>
                            <a:ext cx="469901" cy="278104"/>
                          </a:xfrm>
                          <a:prstGeom prst="rect">
                            <a:avLst/>
                          </a:prstGeom>
                          <a:noFill/>
                          <a:ln>
                            <a:noFill/>
                          </a:ln>
                        </wps:spPr>
                        <wps:txbx>
                          <w:txbxContent>
                            <w:p>
                              <w:pPr>
                                <w:spacing w:line="240" w:lineRule="auto"/>
                                <w:ind w:firstLine="0" w:firstLineChars="0"/>
                                <w:jc w:val="center"/>
                                <w:rPr>
                                  <w:sz w:val="21"/>
                                </w:rPr>
                              </w:pPr>
                              <w:r>
                                <w:rPr>
                                  <w:rFonts w:hint="eastAsia"/>
                                  <w:sz w:val="21"/>
                                </w:rPr>
                                <w:t>噪声</w:t>
                              </w:r>
                            </w:p>
                          </w:txbxContent>
                        </wps:txbx>
                        <wps:bodyPr rot="0" vert="horz" wrap="square" lIns="91440" tIns="45720" rIns="91440" bIns="45720" anchor="t" anchorCtr="0" upright="1">
                          <a:noAutofit/>
                        </wps:bodyPr>
                      </wps:wsp>
                      <wps:wsp>
                        <wps:cNvPr id="186" name="矩形 59"/>
                        <wps:cNvSpPr>
                          <a:spLocks noChangeArrowheads="1"/>
                        </wps:cNvSpPr>
                        <wps:spPr bwMode="auto">
                          <a:xfrm>
                            <a:off x="3663307" y="2725435"/>
                            <a:ext cx="1253502" cy="278104"/>
                          </a:xfrm>
                          <a:prstGeom prst="rect">
                            <a:avLst/>
                          </a:prstGeom>
                          <a:noFill/>
                          <a:ln>
                            <a:noFill/>
                          </a:ln>
                        </wps:spPr>
                        <wps:txbx>
                          <w:txbxContent>
                            <w:p>
                              <w:pPr>
                                <w:spacing w:line="240" w:lineRule="auto"/>
                                <w:ind w:firstLine="0" w:firstLineChars="0"/>
                                <w:jc w:val="center"/>
                                <w:rPr>
                                  <w:sz w:val="21"/>
                                </w:rPr>
                              </w:pPr>
                              <w:r>
                                <w:rPr>
                                  <w:rFonts w:hint="eastAsia"/>
                                  <w:sz w:val="21"/>
                                </w:rPr>
                                <w:t>压裂返排液、噪声</w:t>
                              </w:r>
                            </w:p>
                            <w:p>
                              <w:pPr>
                                <w:spacing w:line="240" w:lineRule="auto"/>
                                <w:ind w:firstLine="0" w:firstLineChars="0"/>
                                <w:jc w:val="center"/>
                              </w:pPr>
                            </w:p>
                          </w:txbxContent>
                        </wps:txbx>
                        <wps:bodyPr rot="0" vert="horz" wrap="square" lIns="91440" tIns="45720" rIns="91440" bIns="45720" anchor="t" anchorCtr="0" upright="1">
                          <a:noAutofit/>
                        </wps:bodyPr>
                      </wps:wsp>
                      <wps:wsp>
                        <wps:cNvPr id="187" name="自选图形 60"/>
                        <wps:cNvCnPr>
                          <a:cxnSpLocks noChangeShapeType="1"/>
                        </wps:cNvCnPr>
                        <wps:spPr bwMode="auto">
                          <a:xfrm>
                            <a:off x="3190206" y="2864437"/>
                            <a:ext cx="488301" cy="1300"/>
                          </a:xfrm>
                          <a:prstGeom prst="straightConnector1">
                            <a:avLst/>
                          </a:prstGeom>
                          <a:noFill/>
                          <a:ln w="9525">
                            <a:solidFill>
                              <a:srgbClr val="000000"/>
                            </a:solidFill>
                            <a:prstDash val="dash"/>
                            <a:round/>
                            <a:tailEnd type="triangle" w="med" len="lg"/>
                          </a:ln>
                        </wps:spPr>
                        <wps:bodyPr/>
                      </wps:wsp>
                      <wps:wsp>
                        <wps:cNvPr id="188" name="自选图形 61"/>
                        <wps:cNvCnPr>
                          <a:cxnSpLocks noChangeShapeType="1"/>
                        </wps:cNvCnPr>
                        <wps:spPr bwMode="auto">
                          <a:xfrm>
                            <a:off x="3100706" y="3306443"/>
                            <a:ext cx="562601" cy="600"/>
                          </a:xfrm>
                          <a:prstGeom prst="straightConnector1">
                            <a:avLst/>
                          </a:prstGeom>
                          <a:noFill/>
                          <a:ln w="9525">
                            <a:solidFill>
                              <a:srgbClr val="000000"/>
                            </a:solidFill>
                            <a:prstDash val="dash"/>
                            <a:round/>
                            <a:tailEnd type="triangle" w="med" len="lg"/>
                          </a:ln>
                        </wps:spPr>
                        <wps:bodyPr/>
                      </wps:wsp>
                      <wps:wsp>
                        <wps:cNvPr id="189" name="自选图形 62"/>
                        <wps:cNvCnPr>
                          <a:cxnSpLocks noChangeShapeType="1"/>
                        </wps:cNvCnPr>
                        <wps:spPr bwMode="auto">
                          <a:xfrm flipV="1">
                            <a:off x="3100706" y="3772549"/>
                            <a:ext cx="595601" cy="4400"/>
                          </a:xfrm>
                          <a:prstGeom prst="straightConnector1">
                            <a:avLst/>
                          </a:prstGeom>
                          <a:noFill/>
                          <a:ln w="9525">
                            <a:solidFill>
                              <a:srgbClr val="000000"/>
                            </a:solidFill>
                            <a:prstDash val="dash"/>
                            <a:round/>
                            <a:tailEnd type="triangle" w="med" len="lg"/>
                          </a:ln>
                        </wps:spPr>
                        <wps:bodyPr/>
                      </wps:wsp>
                      <wps:wsp>
                        <wps:cNvPr id="190" name="矩形 66"/>
                        <wps:cNvSpPr>
                          <a:spLocks noChangeArrowheads="1"/>
                        </wps:cNvSpPr>
                        <wps:spPr bwMode="auto">
                          <a:xfrm>
                            <a:off x="1974804" y="2349530"/>
                            <a:ext cx="469901" cy="278104"/>
                          </a:xfrm>
                          <a:prstGeom prst="rect">
                            <a:avLst/>
                          </a:prstGeom>
                          <a:noFill/>
                          <a:ln>
                            <a:noFill/>
                          </a:ln>
                        </wps:spPr>
                        <wps:txbx>
                          <w:txbxContent>
                            <w:p>
                              <w:pPr>
                                <w:spacing w:line="240" w:lineRule="auto"/>
                                <w:ind w:firstLine="0" w:firstLineChars="0"/>
                                <w:jc w:val="center"/>
                                <w:rPr>
                                  <w:sz w:val="21"/>
                                </w:rPr>
                              </w:pPr>
                              <w:r>
                                <w:rPr>
                                  <w:rFonts w:hint="eastAsia"/>
                                  <w:sz w:val="21"/>
                                </w:rPr>
                                <w:t>噪声</w:t>
                              </w:r>
                            </w:p>
                          </w:txbxContent>
                        </wps:txbx>
                        <wps:bodyPr rot="0" vert="horz" wrap="square" lIns="91440" tIns="45720" rIns="91440" bIns="45720" anchor="t" anchorCtr="0" upright="1">
                          <a:noAutofit/>
                        </wps:bodyPr>
                      </wps:wsp>
                      <wps:wsp>
                        <wps:cNvPr id="191" name="自选图形 67"/>
                        <wps:cNvCnPr>
                          <a:cxnSpLocks noChangeShapeType="1"/>
                        </wps:cNvCnPr>
                        <wps:spPr bwMode="auto">
                          <a:xfrm flipH="1">
                            <a:off x="2202804" y="2086627"/>
                            <a:ext cx="600" cy="278104"/>
                          </a:xfrm>
                          <a:prstGeom prst="straightConnector1">
                            <a:avLst/>
                          </a:prstGeom>
                          <a:noFill/>
                          <a:ln w="9525">
                            <a:solidFill>
                              <a:srgbClr val="000000"/>
                            </a:solidFill>
                            <a:round/>
                            <a:tailEnd type="triangle" w="med" len="lg"/>
                          </a:ln>
                        </wps:spPr>
                        <wps:bodyPr/>
                      </wps:wsp>
                      <wps:wsp>
                        <wps:cNvPr id="192" name="矩形 68"/>
                        <wps:cNvSpPr>
                          <a:spLocks noChangeArrowheads="1"/>
                        </wps:cNvSpPr>
                        <wps:spPr bwMode="auto">
                          <a:xfrm>
                            <a:off x="3663307" y="145402"/>
                            <a:ext cx="1253502" cy="278104"/>
                          </a:xfrm>
                          <a:prstGeom prst="rect">
                            <a:avLst/>
                          </a:prstGeom>
                          <a:noFill/>
                          <a:ln>
                            <a:noFill/>
                          </a:ln>
                        </wps:spPr>
                        <wps:txbx>
                          <w:txbxContent>
                            <w:p>
                              <w:pPr>
                                <w:spacing w:line="240" w:lineRule="auto"/>
                                <w:ind w:firstLine="0" w:firstLineChars="0"/>
                                <w:jc w:val="center"/>
                              </w:pPr>
                              <w:r>
                                <w:rPr>
                                  <w:rFonts w:hint="eastAsia"/>
                                  <w:sz w:val="21"/>
                                </w:rPr>
                                <w:t>植被破坏水土流失</w:t>
                              </w:r>
                            </w:p>
                          </w:txbxContent>
                        </wps:txbx>
                        <wps:bodyPr rot="0" vert="horz" wrap="square" lIns="91440" tIns="45720" rIns="91440" bIns="45720" anchor="t" anchorCtr="0" upright="1">
                          <a:noAutofit/>
                        </wps:bodyPr>
                      </wps:wsp>
                      <wps:wsp>
                        <wps:cNvPr id="193" name="自选图形 69"/>
                        <wps:cNvCnPr>
                          <a:cxnSpLocks noChangeShapeType="1"/>
                        </wps:cNvCnPr>
                        <wps:spPr bwMode="auto">
                          <a:xfrm>
                            <a:off x="3220006" y="284404"/>
                            <a:ext cx="443301" cy="700"/>
                          </a:xfrm>
                          <a:prstGeom prst="straightConnector1">
                            <a:avLst/>
                          </a:prstGeom>
                          <a:noFill/>
                          <a:ln w="9525">
                            <a:solidFill>
                              <a:srgbClr val="000000"/>
                            </a:solidFill>
                            <a:prstDash val="dash"/>
                            <a:round/>
                            <a:tailEnd type="triangle" w="med" len="lg"/>
                          </a:ln>
                        </wps:spPr>
                        <wps:bodyPr/>
                      </wps:wsp>
                      <wps:wsp>
                        <wps:cNvPr id="194" name="矩形 70"/>
                        <wps:cNvSpPr>
                          <a:spLocks noChangeArrowheads="1"/>
                        </wps:cNvSpPr>
                        <wps:spPr bwMode="auto">
                          <a:xfrm>
                            <a:off x="3227706" y="1423018"/>
                            <a:ext cx="737801" cy="278104"/>
                          </a:xfrm>
                          <a:prstGeom prst="rect">
                            <a:avLst/>
                          </a:prstGeom>
                          <a:noFill/>
                          <a:ln>
                            <a:noFill/>
                          </a:ln>
                        </wps:spPr>
                        <wps:txbx>
                          <w:txbxContent>
                            <w:p>
                              <w:pPr>
                                <w:spacing w:line="240" w:lineRule="auto"/>
                                <w:ind w:firstLine="0" w:firstLineChars="0"/>
                                <w:jc w:val="center"/>
                                <w:rPr>
                                  <w:sz w:val="21"/>
                                </w:rPr>
                              </w:pPr>
                              <w:r>
                                <w:rPr>
                                  <w:rFonts w:hint="eastAsia"/>
                                  <w:sz w:val="21"/>
                                </w:rPr>
                                <w:t>回收泥浆</w:t>
                              </w:r>
                            </w:p>
                            <w:p>
                              <w:pPr>
                                <w:spacing w:line="240" w:lineRule="auto"/>
                                <w:ind w:firstLine="0" w:firstLineChars="0"/>
                                <w:jc w:val="center"/>
                              </w:pPr>
                            </w:p>
                          </w:txbxContent>
                        </wps:txbx>
                        <wps:bodyPr rot="0" vert="horz" wrap="square" lIns="91440" tIns="45720" rIns="91440" bIns="45720" anchor="t" anchorCtr="0" upright="1">
                          <a:noAutofit/>
                        </wps:bodyPr>
                      </wps:wsp>
                      <wps:wsp>
                        <wps:cNvPr id="195" name="自选图形 71"/>
                        <wps:cNvCnPr>
                          <a:cxnSpLocks noChangeShapeType="1"/>
                        </wps:cNvCnPr>
                        <wps:spPr bwMode="auto">
                          <a:xfrm>
                            <a:off x="2620605" y="423505"/>
                            <a:ext cx="5700" cy="259103"/>
                          </a:xfrm>
                          <a:prstGeom prst="straightConnector1">
                            <a:avLst/>
                          </a:prstGeom>
                          <a:noFill/>
                          <a:ln w="12700">
                            <a:solidFill>
                              <a:srgbClr val="000000"/>
                            </a:solidFill>
                            <a:round/>
                            <a:tailEnd type="stealth" w="med" len="med"/>
                          </a:ln>
                        </wps:spPr>
                        <wps:bodyPr/>
                      </wps:wsp>
                      <wps:wsp>
                        <wps:cNvPr id="196" name="矩形 111"/>
                        <wps:cNvSpPr>
                          <a:spLocks noChangeArrowheads="1"/>
                        </wps:cNvSpPr>
                        <wps:spPr bwMode="auto">
                          <a:xfrm>
                            <a:off x="3838507" y="2285030"/>
                            <a:ext cx="865802" cy="278104"/>
                          </a:xfrm>
                          <a:prstGeom prst="rect">
                            <a:avLst/>
                          </a:prstGeom>
                          <a:noFill/>
                          <a:ln>
                            <a:noFill/>
                          </a:ln>
                        </wps:spPr>
                        <wps:txbx>
                          <w:txbxContent>
                            <w:p>
                              <w:pPr>
                                <w:pStyle w:val="16"/>
                                <w:spacing w:before="0" w:beforeAutospacing="0" w:after="0" w:afterAutospacing="0"/>
                                <w:jc w:val="center"/>
                              </w:pPr>
                              <w:r>
                                <w:rPr>
                                  <w:rFonts w:hint="eastAsia" w:ascii="Times New Roman"/>
                                  <w:kern w:val="2"/>
                                  <w:sz w:val="21"/>
                                  <w:szCs w:val="21"/>
                                </w:rPr>
                                <w:t>噪声、</w:t>
                              </w:r>
                              <w:r>
                                <w:rPr>
                                  <w:rFonts w:ascii="Times New Roman"/>
                                  <w:kern w:val="2"/>
                                  <w:sz w:val="21"/>
                                  <w:szCs w:val="21"/>
                                </w:rPr>
                                <w:t>固废</w:t>
                              </w:r>
                            </w:p>
                          </w:txbxContent>
                        </wps:txbx>
                        <wps:bodyPr rot="0" vert="horz" wrap="square" lIns="91440" tIns="45720" rIns="91440" bIns="45720" anchor="t" anchorCtr="0" upright="1">
                          <a:noAutofit/>
                        </wps:bodyPr>
                      </wps:wsp>
                    </wpc:wpc>
                  </a:graphicData>
                </a:graphic>
              </wp:inline>
            </w:drawing>
          </mc:Choice>
          <mc:Fallback>
            <w:pict>
              <v:group id="画布 112" o:spid="_x0000_s1026" o:spt="203" style="height:365.8pt;width:415.3pt;" coordsize="5274310,4645660" editas="canvas"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">
                <o:lock v:ext="edit" aspectratio="f"/>
                <v:shape id="画布 112" o:spid="_x0000_s1026" style="position:absolute;left:0;top:0;height:4645660;width:5274310;"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">
                  <v:fill on="f" focussize="0,0"/>
                  <v:stroke on="f"/>
                  <v:imagedata o:title=""/>
                  <o:lock v:ext="edit" aspectratio="f"/>
                </v:shape>
                <v:rect id="矩形 16" o:spid="_x0000_s1026" o:spt="1" style="position:absolute;left:2020504;top:145402;height:278104;width:11995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QlGBB1wAAAAUBAAAPAAAAAAAAAAEAIAAAACIA&#10;AABkcnMvZG93bnJldi54bWxQSwECFAAUAAAACACHTuJAWxbT/kMCAACJBAAADgAAAAAAAAABACAA&#10;AAAmAQAAZHJzL2Uyb0RvYy54bWxQSwUGAAAAAAYABgBZAQAA2wU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场地平整</w:t>
                        </w:r>
                      </w:p>
                    </w:txbxContent>
                  </v:textbox>
                </v:rect>
                <v:rect id="矩形 17" o:spid="_x0000_s1026" o:spt="1" style="position:absolute;left:1921504;top:682609;height:278104;width:1859904;"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CUYEHXAAAABQEAAA8AAAAAAAAAAQAgAAAAIgAA&#10;AGRycy9kb3ducmV2LnhtbFBLAQIUABQAAAAIAIdO4kCpTFUYQgIAAIkEAAAOAAAAAAAAAAEAIAAA&#10;ACYBAABkcnMvZTJvRG9jLnhtbFBLBQYAAAAABgAGAFkBAADaBQ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井场、</w:t>
                        </w:r>
                        <w:r>
                          <w:rPr>
                            <w:sz w:val="21"/>
                          </w:rPr>
                          <w:t>集气站</w:t>
                        </w:r>
                        <w:r>
                          <w:rPr>
                            <w:rFonts w:hint="eastAsia"/>
                            <w:sz w:val="21"/>
                          </w:rPr>
                          <w:t>基础设施建设</w:t>
                        </w:r>
                      </w:p>
                    </w:txbxContent>
                  </v:textbox>
                </v:rect>
                <v:rect id="矩形 18" o:spid="_x0000_s1026" o:spt="1" style="position:absolute;left:2104304;top:1198215;height:278104;width:10681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lGBB1wAAAAUBAAAPAAAAAAAAAAEAIAAA&#10;ACIAAABkcnMvZG93bnJldi54bWxQSwECFAAUAAAACACHTuJAWQh7XUYCAACKBAAADgAAAAAAAAAB&#10;ACAAAAAmAQAAZHJzL2Uyb0RvYy54bWxQSwUGAAAAAAYABgBZAQAA3gU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设备搬运安装</w:t>
                        </w:r>
                      </w:p>
                    </w:txbxContent>
                  </v:textbox>
                </v:rect>
                <v:shape id="自选图形 19" o:spid="_x0000_s1026" o:spt="32" type="#_x0000_t32" style="position:absolute;left:1564003;top:284404;flip:x;height:700;width:456501;" filled="f" stroked="t" coordsize="21600,21600" o:gfxdata="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7PbKLXAAAABQEAAA8AAAAAAAAAAQAgAAAAIgAAAGRycy9kb3ducmV2LnhtbFBLAQIUABQAAAAI&#10;AIdO4kAr2WmyJwIAABMEAAAOAAAAAAAAAAEAIAAAACYBAABkcnMvZTJvRG9jLnhtbFBLBQYAAAAA&#10;BgAGAFkBAAC/BQAAAAA=&#10;">
                  <v:fill on="f" focussize="0,0"/>
                  <v:stroke color="#000000" joinstyle="round" dashstyle="dash" endarrow="block" endarrowlength="long"/>
                  <v:imagedata o:title=""/>
                  <o:lock v:ext="edit" aspectratio="f"/>
                </v:shape>
                <v:rect id="矩形 20" o:spid="_x0000_s1026" o:spt="1" style="position:absolute;left:554901;top:145402;height:278104;width:10091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TuNydcAAAAFAQAA&#10;DwAAAAAAAAABACAAAAAiAAAAZHJzL2Rvd25yZXYueG1sUEsBAhQAFAAAAAgAh07iQM9aozEaAgAA&#10;FQQAAA4AAAAAAAAAAQAgAAAAJgEAAGRycy9lMm9Eb2MueG1sUEsFBgAAAAAGAAYAWQEAALIFAAAA&#10;AA==&#10;">
                  <v:fill on="f" focussize="0,0"/>
                  <v:stroke on="f"/>
                  <v:imagedata o:title=""/>
                  <o:lock v:ext="edit" aspectratio="f"/>
                  <v:textbox>
                    <w:txbxContent>
                      <w:p>
                        <w:pPr>
                          <w:spacing w:line="240" w:lineRule="auto"/>
                          <w:ind w:firstLine="0" w:firstLineChars="0"/>
                          <w:jc w:val="center"/>
                          <w:rPr>
                            <w:sz w:val="21"/>
                          </w:rPr>
                        </w:pPr>
                        <w:r>
                          <w:rPr>
                            <w:rFonts w:hint="eastAsia"/>
                            <w:sz w:val="21"/>
                          </w:rPr>
                          <w:t>噪声、扬尘等</w:t>
                        </w:r>
                      </w:p>
                    </w:txbxContent>
                  </v:textbox>
                </v:rect>
                <v:rect id="矩形 21" o:spid="_x0000_s1026" o:spt="1" style="position:absolute;left:2106904;top:1808423;height:278204;width:10681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JRgQdcAAAAFAQAADwAAAAAAAAABACAAAAAi&#10;AAAAZHJzL2Rvd25yZXYueG1sUEsBAhQAFAAAAAgAh07iQHSPh/9EAgAAigQAAA4AAAAAAAAAAQAg&#10;AAAAJgEAAGRycy9lMm9Eb2MueG1sUEsFBgAAAAAGAAYAWQEAANwFA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钻井、固井</w:t>
                        </w:r>
                      </w:p>
                    </w:txbxContent>
                  </v:textbox>
                </v:rect>
                <v:rect id="矩形 22" o:spid="_x0000_s1026" o:spt="1" style="position:absolute;left:2116404;top:2725435;height:278104;width:10738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CUYEHXAAAABQEAAA8AAAAAAAAAAQAgAAAA&#10;IgAAAGRycy9kb3ducmV2LnhtbFBLAQIUABQAAAAIAIdO4kBfUw4FRQIAAIoEAAAOAAAAAAAAAAEA&#10;IAAAACYBAABkcnMvZTJvRG9jLnhtbFBLBQYAAAAABgAGAFkBAADdBQ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压裂作业</w:t>
                        </w:r>
                      </w:p>
                    </w:txbxContent>
                  </v:textbox>
                </v:rect>
                <v:rect id="矩形 23" o:spid="_x0000_s1026" o:spt="1" style="position:absolute;left:2211004;top:3167341;height:278204;width:8897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lGBB1wAAAAUBAAAPAAAAAAAAAAEAIAAA&#10;ACIAAABkcnMvZG93bnJldi54bWxQSwECFAAUAAAACACHTuJA3dbwJUYCAACJBAAADgAAAAAAAAAB&#10;ACAAAAAmAQAAZHJzL2Uyb0RvYy54bWxQSwUGAAAAAAYABgBZAQAA3gU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试气工程</w:t>
                        </w:r>
                      </w:p>
                    </w:txbxContent>
                  </v:textbox>
                </v:rect>
                <v:rect id="矩形 24" o:spid="_x0000_s1026" o:spt="1" style="position:absolute;left:2218604;top:3637947;height:278104;width:8821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lGBB1wAAAAUBAAAPAAAAAAAAAAEAIAAA&#10;ACIAAABkcnMvZG93bnJldi54bWxQSwECFAAUAAAACACHTuJAQignhkYCAACJBAAADgAAAAAAAAAB&#10;ACAAAAAmAQAAZHJzL2Uyb0RvYy54bWxQSwUGAAAAAAYABgBZAQAA3gU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打井塞封井</w:t>
                        </w:r>
                      </w:p>
                    </w:txbxContent>
                  </v:textbox>
                </v:rect>
                <v:rect id="矩形 25" o:spid="_x0000_s1026" o:spt="1" style="position:absolute;left:2210404;top:4159854;height:285204;width:9011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CUYEHXAAAABQEAAA8AAAAAAAAAAQAgAAAA&#10;IgAAAGRycy9kb3ducmV2LnhtbFBLAQIUABQAAAAIAIdO4kDZQDzORQIAAIkEAAAOAAAAAAAAAAEA&#10;IAAAACYBAABkcnMvZTJvRG9jLnhtbFBLBQYAAAAABgAGAFkBAADdBQ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下一步开采</w:t>
                        </w:r>
                      </w:p>
                    </w:txbxContent>
                  </v:textbox>
                </v:rect>
                <v:rect id="矩形 26" o:spid="_x0000_s1026" o:spt="1" style="position:absolute;left:641301;top:1808423;height:278204;width:10497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JRgQdcAAAAFAQAADwAAAAAAAAABACAA&#10;AAAiAAAAZHJzL2Rvd25yZXYueG1sUEsBAhQAFAAAAAgAh07iQLrh0axHAgAAiQQAAA4AAAAAAAAA&#10;AQAgAAAAJgEAAGRycy9lMm9Eb2MueG1sUEsFBgAAAAAGAAYAWQEAAN8FA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柴油发电机</w:t>
                        </w:r>
                      </w:p>
                    </w:txbxContent>
                  </v:textbox>
                </v:rect>
                <v:rect id="矩形 27" o:spid="_x0000_s1026" o:spt="1" style="position:absolute;left:3718507;top:1808423;height:278204;width:1068102;"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CUYEHXAAAABQEAAA8AAAAAAAAAAQAg&#10;AAAAIgAAAGRycy9kb3ducmV2LnhtbFBLAQIUABQAAAAIAIdO4kBlqqqaSAIAAIoEAAAOAAAAAAAA&#10;AAEAIAAAACYBAABkcnMvZTJvRG9jLnhtbFBLBQYAAAAABgAGAFkBAADgBQ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泥浆循环系统</w:t>
                        </w:r>
                      </w:p>
                    </w:txbxContent>
                  </v:textbox>
                </v:rect>
                <v:rect id="矩形 28" o:spid="_x0000_s1026" o:spt="1" style="position:absolute;left:1237602;top:3637947;height:278104;width:657201;"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lGBB1wAAAAUBAAAPAAAAAAAAAAEAIAAA&#10;ACIAAABkcnMvZG93bnJldi54bWxQSwECFAAUAAAACACHTuJAFIBi9EYCAACJBAAADgAAAAAAAAAB&#10;ACAAAAAmAQAAZHJzL2Uyb0RvYy54bWxQSwUGAAAAAAYABgBZAQAA3gU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弃井</w:t>
                        </w:r>
                      </w:p>
                    </w:txbxContent>
                  </v:textbox>
                </v:rect>
                <v:rect id="矩形 29" o:spid="_x0000_s1026" o:spt="1" style="position:absolute;left:714301;top:4159854;height:316904;width:1430703;" fillcolor="#FFFFFF" filled="t" stroked="t" coordsize="21600,21600" o:gfxdata="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JRgQdcAAAAFAQAADwAAAAAAAAABACAA&#10;AAAiAAAAZHJzL2Rvd25yZXYueG1sUEsBAhQAFAAAAAgAh07iQKTFk7JHAgAAiQQAAA4AAAAAAAAA&#10;AQAgAAAAJgEAAGRycy9lMm9Eb2MueG1sUEsFBgAAAAAGAAYAWQEAAN8FAAAAAA==&#10;">
                  <v:fill on="t" focussize="0,0"/>
                  <v:stroke weight="1pt" color="#000000" miterlimit="8" joinstyle="miter"/>
                  <v:imagedata o:title=""/>
                  <o:lock v:ext="edit" aspectratio="f"/>
                  <v:textbox>
                    <w:txbxContent>
                      <w:p>
                        <w:pPr>
                          <w:spacing w:line="240" w:lineRule="auto"/>
                          <w:ind w:firstLine="0" w:firstLineChars="0"/>
                          <w:jc w:val="center"/>
                          <w:rPr>
                            <w:sz w:val="21"/>
                          </w:rPr>
                        </w:pPr>
                        <w:r>
                          <w:rPr>
                            <w:rFonts w:hint="eastAsia"/>
                            <w:sz w:val="21"/>
                          </w:rPr>
                          <w:t>场地清理及土地复垦</w:t>
                        </w:r>
                      </w:p>
                    </w:txbxContent>
                  </v:textbox>
                </v:rect>
                <v:shape id="自选图形 30" o:spid="_x0000_s1026" o:spt="32" type="#_x0000_t32" style="position:absolute;left:2626305;top:960712;height:237503;width:26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9MTUdUAAAAFAQAADwAAAAAA&#10;AAABACAAAAAiAAAAZHJzL2Rvd25yZXYueG1sUEsBAhQAFAAAAAgAh07iQKMgh/gWAgAA8gMAAA4A&#10;AAAAAAAAAQAgAAAAJAEAAGRycy9lMm9Eb2MueG1sUEsFBgAAAAAGAAYAWQEAAKwFAAAAAA==&#10;">
                  <v:fill on="f" focussize="0,0"/>
                  <v:stroke color="#000000" joinstyle="round" endarrow="classic"/>
                  <v:imagedata o:title=""/>
                  <o:lock v:ext="edit" aspectratio="f"/>
                </v:shape>
                <v:shape id="自选图形 31" o:spid="_x0000_s1026" o:spt="32" type="#_x0000_t32" style="position:absolute;left:2638405;top:1476319;height:332104;width:25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9MTUdUAAAAFAQAADwAAAAAA&#10;AAABACAAAAAiAAAAZHJzL2Rvd25yZXYueG1sUEsBAhQAFAAAAAgAh07iQPo/GdcWAgAA8wMAAA4A&#10;AAAAAAAAAQAgAAAAJAEAAGRycy9lMm9Eb2MueG1sUEsFBgAAAAAGAAYAWQEAAKwFAAAAAA==&#10;">
                  <v:fill on="f" focussize="0,0"/>
                  <v:stroke color="#000000" joinstyle="round" endarrow="classic"/>
                  <v:imagedata o:title=""/>
                  <o:lock v:ext="edit" aspectratio="f"/>
                </v:shape>
                <v:shape id="自选图形 32" o:spid="_x0000_s1026" o:spt="32" type="#_x0000_t32" style="position:absolute;left:2640905;top:2086627;height:638808;width:124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TE1HVAAAABQEAAA8A&#10;AAAAAAAAAQAgAAAAIgAAAGRycy9kb3ducmV2LnhtbFBLAQIUABQAAAAIAIdO4kADNHw8GgIAAPQD&#10;AAAOAAAAAAAAAAEAIAAAACQBAABkcnMvZTJvRG9jLnhtbFBLBQYAAAAABgAGAFkBAACwBQAAAAA=&#10;">
                  <v:fill on="f" focussize="0,0"/>
                  <v:stroke color="#000000" joinstyle="round" endarrow="classic"/>
                  <v:imagedata o:title=""/>
                  <o:lock v:ext="edit" aspectratio="f"/>
                </v:shape>
                <v:shape id="自选图形 33" o:spid="_x0000_s1026" o:spt="32" type="#_x0000_t32" style="position:absolute;left:1506203;top:821611;flip:x;height:10200;width:415301;" filled="f" stroked="t" coordsize="21600,21600" o:gfxdata="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3s9sotcAAAAFAQAADwAAAAAAAAABACAAAAAiAAAAZHJzL2Rvd25yZXYueG1sUEsBAhQAFAAA&#10;AAgAh07iQHj283cpAgAAFQQAAA4AAAAAAAAAAQAgAAAAJgEAAGRycy9lMm9Eb2MueG1sUEsFBgAA&#10;AAAGAAYAWQEAAMEFAAAAAA==&#10;">
                  <v:fill on="f" focussize="0,0"/>
                  <v:stroke color="#000000" joinstyle="round" dashstyle="dash" endarrow="block" endarrowlength="long"/>
                  <v:imagedata o:title=""/>
                  <o:lock v:ext="edit" aspectratio="f"/>
                </v:shape>
                <v:shape id="自选图形 34" o:spid="_x0000_s1026" o:spt="32" type="#_x0000_t32" style="position:absolute;left:1567103;top:1336617;flip:x;height:700;width:534101;" filled="f" stroked="t" coordsize="21600,21600" o:gfxdata="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7PbKLXAAAABQEAAA8AAAAAAAAAAQAgAAAAIgAAAGRycy9kb3ducmV2LnhtbFBLAQIUABQAAAAI&#10;AIdO4kDnlZu6JwIAABQEAAAOAAAAAAAAAAEAIAAAACYBAABkcnMvZTJvRG9jLnhtbFBLBQYAAAAA&#10;BgAGAFkBAAC/BQAAAAA=&#10;">
                  <v:fill on="f" focussize="0,0"/>
                  <v:stroke color="#000000" joinstyle="round" dashstyle="dash" endarrow="block" endarrowlength="long"/>
                  <v:imagedata o:title=""/>
                  <o:lock v:ext="edit" aspectratio="f"/>
                </v:shape>
                <v:shape id="自选图形 35" o:spid="_x0000_s1026" o:spt="32" type="#_x0000_t32" style="position:absolute;left:2656205;top:3445545;height:192402;width:38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TE1HVAAAABQEAAA8A&#10;AAAAAAAAAQAgAAAAIgAAAGRycy9kb3ducmV2LnhtbFBLAQIUABQAAAAIAIdO4kCvDsLxGgIAAPMD&#10;AAAOAAAAAAAAAAEAIAAAACQBAABkcnMvZTJvRG9jLnhtbFBLBQYAAAAABgAGAFkBAACwBQAAAAA=&#10;">
                  <v:fill on="f" focussize="0,0"/>
                  <v:stroke color="#000000" joinstyle="round" endarrow="classic"/>
                  <v:imagedata o:title=""/>
                  <o:lock v:ext="edit" aspectratio="f"/>
                </v:shape>
                <v:shape id="自选图形 36" o:spid="_x0000_s1026" o:spt="32" type="#_x0000_t32" style="position:absolute;left:2660005;top:3916051;height:243803;width:12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TE1HVAAAABQEAAA8AAAAA&#10;AAAAAQAgAAAAIgAAAGRycy9kb3ducmV2LnhtbFBLAQIUABQAAAAIAIdO4kD7dFxlFwIAAPMDAAAO&#10;AAAAAAAAAAEAIAAAACQBAABkcnMvZTJvRG9jLnhtbFBLBQYAAAAABgAGAFkBAACtBQAAAAA=&#10;">
                  <v:fill on="f" focussize="0,0"/>
                  <v:stroke color="#000000" joinstyle="round" endarrow="classic"/>
                  <v:imagedata o:title=""/>
                  <o:lock v:ext="edit" aspectratio="f"/>
                </v:shape>
                <v:rect id="矩形 37" o:spid="_x0000_s1026" o:spt="1" style="position:absolute;left:558101;top:682609;height:278104;width:10090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U7jcnXAAAABQEA&#10;AA8AAAAAAAAAAQAgAAAAIgAAAGRycy9kb3ducmV2LnhtbFBLAQIUABQAAAAIAIdO4kCDara5GwIA&#10;ABUEAAAOAAAAAAAAAAEAIAAAACYBAABkcnMvZTJvRG9jLnhtbFBLBQYAAAAABgAGAFkBAACzBQAA&#10;AAA=&#10;">
                  <v:fill on="f" focussize="0,0"/>
                  <v:stroke on="f"/>
                  <v:imagedata o:title=""/>
                  <o:lock v:ext="edit" aspectratio="f"/>
                  <v:textbox>
                    <w:txbxContent>
                      <w:p>
                        <w:pPr>
                          <w:spacing w:line="240" w:lineRule="auto"/>
                          <w:ind w:firstLine="0" w:firstLineChars="0"/>
                          <w:jc w:val="center"/>
                          <w:rPr>
                            <w:sz w:val="21"/>
                          </w:rPr>
                        </w:pPr>
                        <w:r>
                          <w:rPr>
                            <w:rFonts w:hint="eastAsia"/>
                            <w:sz w:val="21"/>
                          </w:rPr>
                          <w:t>噪声、扬尘等</w:t>
                        </w:r>
                      </w:p>
                    </w:txbxContent>
                  </v:textbox>
                </v:rect>
                <v:rect id="矩形 38" o:spid="_x0000_s1026" o:spt="1" style="position:absolute;left:558101;top:1198215;height:278104;width:10090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U7jcnXAAAABQEA&#10;AA8AAAAAAAAAAQAgAAAAIgAAAGRycy9kb3ducmV2LnhtbFBLAQIUABQAAAAIAIdO4kDfROB5GwIA&#10;ABYEAAAOAAAAAAAAAAEAIAAAACYBAABkcnMvZTJvRG9jLnhtbFBLBQYAAAAABgAGAFkBAACzBQAA&#10;AAA=&#10;">
                  <v:fill on="f" focussize="0,0"/>
                  <v:stroke on="f"/>
                  <v:imagedata o:title=""/>
                  <o:lock v:ext="edit" aspectratio="f"/>
                  <v:textbox>
                    <w:txbxContent>
                      <w:p>
                        <w:pPr>
                          <w:spacing w:line="240" w:lineRule="auto"/>
                          <w:ind w:firstLine="0" w:firstLineChars="0"/>
                          <w:jc w:val="center"/>
                          <w:rPr>
                            <w:sz w:val="21"/>
                          </w:rPr>
                        </w:pPr>
                        <w:r>
                          <w:rPr>
                            <w:rFonts w:hint="eastAsia"/>
                            <w:sz w:val="21"/>
                          </w:rPr>
                          <w:t>噪声、废气等</w:t>
                        </w:r>
                      </w:p>
                    </w:txbxContent>
                  </v:textbox>
                </v:rect>
                <v:rect id="矩形 39" o:spid="_x0000_s1026" o:spt="1" style="position:absolute;left:725801;top:2364731;height:278104;width:8794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1O43J1wAAAAUB&#10;AAAPAAAAAAAAAAEAIAAAACIAAABkcnMvZG93bnJldi54bWxQSwECFAAUAAAACACHTuJA+ndfoBwC&#10;AAAVBAAADgAAAAAAAAABACAAAAAmAQAAZHJzL2Uyb0RvYy54bWxQSwUGAAAAAAYABgBZAQAAtAUA&#10;AAAA&#10;">
                  <v:fill on="f" focussize="0,0"/>
                  <v:stroke on="f"/>
                  <v:imagedata o:title=""/>
                  <o:lock v:ext="edit" aspectratio="f"/>
                  <v:textbox>
                    <w:txbxContent>
                      <w:p>
                        <w:pPr>
                          <w:spacing w:line="240" w:lineRule="auto"/>
                          <w:ind w:firstLine="0" w:firstLineChars="0"/>
                          <w:jc w:val="center"/>
                          <w:rPr>
                            <w:sz w:val="21"/>
                          </w:rPr>
                        </w:pPr>
                        <w:r>
                          <w:rPr>
                            <w:rFonts w:hint="eastAsia"/>
                            <w:sz w:val="21"/>
                          </w:rPr>
                          <w:t>噪声、废气</w:t>
                        </w:r>
                      </w:p>
                    </w:txbxContent>
                  </v:textbox>
                </v:rect>
                <v:shape id="自选图形 40" o:spid="_x0000_s1026" o:spt="32" type="#_x0000_t32" style="position:absolute;left:975302;top:3772549;flip:x;height:600;width:262300;" filled="f" stroked="t" coordsize="21600,21600" o:gfxdata="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ez2yi1wAAAAUBAAAPAAAAAAAAAAEAIAAAACIAAABkcnMvZG93bnJldi54bWxQSwECFAAUAAAA&#10;CACHTuJAy5VosCgCAAATBAAADgAAAAAAAAABACAAAAAmAQAAZHJzL2Uyb0RvYy54bWxQSwUGAAAA&#10;AAYABgBZAQAAwAUAAAAA&#10;">
                  <v:fill on="f" focussize="0,0"/>
                  <v:stroke color="#000000" joinstyle="round" dashstyle="dash" endarrow="block" endarrowlength="long"/>
                  <v:imagedata o:title=""/>
                  <o:lock v:ext="edit" aspectratio="f"/>
                </v:shape>
                <v:rect id="矩形 41" o:spid="_x0000_s1026" o:spt="1" style="position:absolute;left:554901;top:3637947;height:278104;width:488401;"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1O43J1wAAAAUBAAAP&#10;AAAAAAAAAAEAIAAAACIAAABkcnMvZG93bnJldi54bWxQSwECFAAUAAAACACHTuJALETJMBkCAAAV&#10;BAAADgAAAAAAAAABACAAAAAmAQAAZHJzL2Uyb0RvYy54bWxQSwUGAAAAAAYABgBZAQAAsQUAAAAA&#10;">
                  <v:fill on="f" focussize="0,0"/>
                  <v:stroke on="f"/>
                  <v:imagedata o:title=""/>
                  <o:lock v:ext="edit" aspectratio="f"/>
                  <v:textbox>
                    <w:txbxContent>
                      <w:p>
                        <w:pPr>
                          <w:spacing w:line="240" w:lineRule="auto"/>
                          <w:ind w:firstLine="0" w:firstLineChars="0"/>
                          <w:jc w:val="center"/>
                          <w:rPr>
                            <w:sz w:val="21"/>
                          </w:rPr>
                        </w:pPr>
                        <w:r>
                          <w:rPr>
                            <w:rFonts w:hint="eastAsia"/>
                            <w:sz w:val="21"/>
                          </w:rPr>
                          <w:t>噪声</w:t>
                        </w:r>
                      </w:p>
                    </w:txbxContent>
                  </v:textbox>
                </v:rect>
                <v:shape id="自选图形 42" o:spid="_x0000_s1026" o:spt="32" type="#_x0000_t32" style="position:absolute;left:1574803;top:3306443;flip:x;height:2500;width:636201;" filled="f" stroked="t" coordsize="21600,21600" o:gfxdata="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rM5RX1QAAAAUBAAAPAAAAAAAAAAEAIAAAACIAAABkcnMv&#10;ZG93bnJldi54bWxQSwECFAAUAAAACACHTuJAcT62nwYCAADQAwAADgAAAAAAAAABACAAAAAkAQAA&#10;ZHJzL2Uyb0RvYy54bWxQSwUGAAAAAAYABgBZAQAAnAUAAAAA&#10;">
                  <v:fill on="f" focussize="0,0"/>
                  <v:stroke color="#000000" joinstyle="round"/>
                  <v:imagedata o:title=""/>
                  <o:lock v:ext="edit" aspectratio="f"/>
                </v:shape>
                <v:shape id="自选图形 43" o:spid="_x0000_s1026" o:spt="32" type="#_x0000_t32" style="position:absolute;left:1566503;top:3308943;flip:y;height:329004;width:600;" filled="f" stroked="t" coordsize="21600,21600" o:gfxdata="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szlFfVAAAABQEAAA8AAAAAAAAAAQAgAAAAIgAAAGRycy9kb3du&#10;cmV2LnhtbFBLAQIUABQAAAAIAIdO4kAkPUakAgIAAM8DAAAOAAAAAAAAAAEAIAAAACQBAABkcnMv&#10;ZTJvRG9jLnhtbFBLBQYAAAAABgAGAFkBAACYBQAAAAA=&#10;">
                  <v:fill on="f" focussize="0,0"/>
                  <v:stroke color="#000000" joinstyle="round"/>
                  <v:imagedata o:title=""/>
                  <o:lock v:ext="edit" aspectratio="f"/>
                </v:shape>
                <v:shape id="自选图形 44" o:spid="_x0000_s1026" o:spt="32" type="#_x0000_t32" style="position:absolute;left:1565203;top:3916051;flip:x;height:243803;width:1300;" filled="f" stroked="t" coordsize="21600,21600" o:gfxdata="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QuHY9YAAAAF&#10;AQAADwAAAAAAAAABACAAAAAiAAAAZHJzL2Rvd25yZXYueG1sUEsBAhQAFAAAAAgAh07iQIydm7Ae&#10;AgAA/QMAAA4AAAAAAAAAAQAgAAAAJQEAAGRycy9lMm9Eb2MueG1sUEsFBgAAAAAGAAYAWQEAALUF&#10;AAAAAA==&#10;">
                  <v:fill on="f" focussize="0,0"/>
                  <v:stroke color="#000000" joinstyle="round" endarrow="block" endarrowlength="long"/>
                  <v:imagedata o:title=""/>
                  <o:lock v:ext="edit" aspectratio="f"/>
                </v:shape>
                <v:shape id="自选图形 45" o:spid="_x0000_s1026" o:spt="32" type="#_x0000_t32" style="position:absolute;left:1691003;top:1947525;height:600;width:415901;" filled="f" stroked="t" coordsize="21600,21600" o:gfxdata="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I4DrtQAAAAFAQAADwAAAAAAAAAB&#10;ACAAAAAiAAAAZHJzL2Rvd25yZXYueG1sUEsBAhQAFAAAAAgAh07iQPK86kIUAgAA8gMAAA4AAAAA&#10;AAAAAQAgAAAAIwEAAGRycy9lMm9Eb2MueG1sUEsFBgAAAAAGAAYAWQEAAKkFAAAAAA==&#10;">
                  <v:fill on="f" focussize="0,0"/>
                  <v:stroke color="#000000" joinstyle="round" endarrow="block" endarrowlength="long"/>
                  <v:imagedata o:title=""/>
                  <o:lock v:ext="edit" aspectratio="f"/>
                </v:shape>
                <v:shape id="自选图形 46" o:spid="_x0000_s1026" o:spt="32" type="#_x0000_t32" style="position:absolute;left:3175006;top:1947525;height:600;width:543501;" filled="f" stroked="t" coordsize="21600,21600" o:gfxdata="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N3sMS1wAA&#10;AAUBAAAPAAAAAAAAAAEAIAAAACIAAABkcnMvZG93bnJldi54bWxQSwECFAAUAAAACACHTuJAS8sd&#10;lx8CAAAKBAAADgAAAAAAAAABACAAAAAmAQAAZHJzL2Uyb0RvYy54bWxQSwUGAAAAAAYABgBZAQAA&#10;twUAAAAA&#10;">
                  <v:fill on="f" focussize="0,0"/>
                  <v:stroke color="#000000" joinstyle="round" dashstyle="dash" endarrow="block" endarrowlength="long"/>
                  <v:imagedata o:title=""/>
                  <o:lock v:ext="edit" aspectratio="f"/>
                </v:shape>
                <v:shape id="自选图形 47" o:spid="_x0000_s1026" o:spt="32" type="#_x0000_t32" style="position:absolute;left:1166402;top:2086627;flip:x;height:278104;width:700;" filled="f" stroked="t" coordsize="21600,21600" o:gfxdata="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ULh2PWAAAABQEA&#10;AA8AAAAAAAAAAQAgAAAAIgAAAGRycy9kb3ducmV2LnhtbFBLAQIUABQAAAAIAIdO4kD8GIbnHAIA&#10;APwDAAAOAAAAAAAAAAEAIAAAACUBAABkcnMvZTJvRG9jLnhtbFBLBQYAAAAABgAGAFkBAACzBQAA&#10;AAA=&#10;">
                  <v:fill on="f" focussize="0,0"/>
                  <v:stroke color="#000000" joinstyle="round" endarrow="block" endarrowlength="long"/>
                  <v:imagedata o:title=""/>
                  <o:lock v:ext="edit" aspectratio="f"/>
                </v:shape>
                <v:rect id="矩形 49" o:spid="_x0000_s1026" o:spt="1" style="position:absolute;left:1222302;top:2725435;height:278104;width:603301;"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U7jcnXAAAABQEA&#10;AA8AAAAAAAAAAQAgAAAAIgAAAGRycy9kb3ducmV2LnhtbFBLAQIUABQAAAAIAIdO4kDejZBQGwIA&#10;ABYEAAAOAAAAAAAAAAEAIAAAACYBAABkcnMvZTJvRG9jLnhtbFBLBQYAAAAABgAGAFkBAACzBQAA&#10;AAA=&#10;">
                  <v:fill on="f" focussize="0,0"/>
                  <v:stroke on="f"/>
                  <v:imagedata o:title=""/>
                  <o:lock v:ext="edit" aspectratio="f"/>
                  <v:textbox>
                    <w:txbxContent>
                      <w:p>
                        <w:pPr>
                          <w:spacing w:line="240" w:lineRule="auto"/>
                          <w:ind w:firstLine="0" w:firstLineChars="0"/>
                          <w:jc w:val="center"/>
                          <w:rPr>
                            <w:sz w:val="21"/>
                          </w:rPr>
                        </w:pPr>
                        <w:r>
                          <w:rPr>
                            <w:rFonts w:hint="eastAsia"/>
                            <w:sz w:val="21"/>
                          </w:rPr>
                          <w:t>压裂液</w:t>
                        </w:r>
                      </w:p>
                    </w:txbxContent>
                  </v:textbox>
                </v:rect>
                <v:shape id="自选图形 50" o:spid="_x0000_s1026" o:spt="32" type="#_x0000_t32" style="position:absolute;left:1825603;top:2864437;height:700;width:290801;" filled="f" stroked="t" coordsize="21600,21600" o:gfxdata="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I4DrtQAAAAFAQAADwAA&#10;AAAAAAABACAAAAAiAAAAZHJzL2Rvd25yZXYueG1sUEsBAhQAFAAAAAgAh07iQCskSv8aAgAA8gMA&#10;AA4AAAAAAAAAAQAgAAAAIwEAAGRycy9lMm9Eb2MueG1sUEsFBgAAAAAGAAYAWQEAAK8FAAAAAA==&#10;">
                  <v:fill on="f" focussize="0,0"/>
                  <v:stroke color="#000000" joinstyle="round" endarrow="block" endarrowlength="long"/>
                  <v:imagedata o:title=""/>
                  <o:lock v:ext="edit" aspectratio="f"/>
                </v:shape>
                <v:shape id="自选图形 51" o:spid="_x0000_s1026" o:spt="32" type="#_x0000_t32" style="position:absolute;left:2653605;top:3003539;height:163802;width:26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0xNR1QAAAAUBAAAPAAAAAAAA&#10;AAEAIAAAACIAAABkcnMvZG93bnJldi54bWxQSwECFAAUAAAACACHTuJA30ntcBUCAADzAwAADgAA&#10;AAAAAAABACAAAAAkAQAAZHJzL2Uyb0RvYy54bWxQSwUGAAAAAAYABgBZAQAAqwUAAAAA&#10;">
                  <v:fill on="f" focussize="0,0"/>
                  <v:stroke color="#000000" joinstyle="round" endarrow="classic"/>
                  <v:imagedata o:title=""/>
                  <o:lock v:ext="edit" aspectratio="f"/>
                </v:shape>
                <v:shape id="自选图形 52" o:spid="_x0000_s1026" o:spt="32" type="#_x0000_t32" style="position:absolute;left:4251908;top:1668122;flip:y;height:140302;width:600;" filled="f" stroked="t" coordsize="21600,21600" o:gfxdata="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cJZDn1AAAAAUBAAAPAAAAAAAAAAEAIAAAACIA&#10;AABkcnMvZG93bnJldi54bWxQSwECFAAUAAAACACHTuJAaaX1MQ0CAADpAwAADgAAAAAAAAABACAA&#10;AAAjAQAAZHJzL2Uyb0RvYy54bWxQSwUGAAAAAAYABgBZAQAAogUAAAAA&#10;">
                  <v:fill on="f" focussize="0,0"/>
                  <v:stroke color="#000000" joinstyle="round" dashstyle="longDash"/>
                  <v:imagedata o:title=""/>
                  <o:lock v:ext="edit" aspectratio="f"/>
                </v:shape>
                <v:shape id="自选图形 53" o:spid="_x0000_s1026" o:spt="32" type="#_x0000_t32" style="position:absolute;left:2929806;top:1668122;flip:x;height:0;width:1323403;" filled="f" stroked="t" coordsize="21600,21600" o:gfxdata="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Ry8/fXAAAABQEAAA8AAAAAAAAAAQAg&#10;AAAAIgAAAGRycy9kb3ducmV2LnhtbFBLAQIUABQAAAAIAIdO4kBQTPPmDwIAAOkDAAAOAAAAAAAA&#10;AAEAIAAAACYBAABkcnMvZTJvRG9jLnhtbFBLBQYAAAAABgAGAFkBAACnBQAAAAA=&#10;">
                  <v:fill on="f" focussize="0,0"/>
                  <v:stroke weight="1pt" color="#000000" joinstyle="round" dashstyle="longDash"/>
                  <v:imagedata o:title=""/>
                  <o:lock v:ext="edit" aspectratio="f"/>
                </v:shape>
                <v:shape id="自选图形 54" o:spid="_x0000_s1026" o:spt="32" type="#_x0000_t32" style="position:absolute;left:2933006;top:1668122;height:140302;width:700;" filled="f" stroked="t" coordsize="21600,21600" o:gfxdata="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0xNR1QAAAAUBAAAPAAAA&#10;AAAAAAEAIAAAACIAAABkcnMvZG93bnJldi54bWxQSwECFAAUAAAACACHTuJAJuhLKBgCAADyAwAA&#10;DgAAAAAAAAABACAAAAAkAQAAZHJzL2Uyb0RvYy54bWxQSwUGAAAAAAYABgBZAQAArgUAAAAA&#10;">
                  <v:fill on="f" focussize="0,0"/>
                  <v:stroke color="#000000" joinstyle="round" endarrow="classic"/>
                  <v:imagedata o:title=""/>
                  <o:lock v:ext="edit" aspectratio="f"/>
                </v:shape>
                <v:shape id="自选图形 55" o:spid="_x0000_s1026" o:spt="32" type="#_x0000_t32" style="position:absolute;left:4250008;top:2086627;flip:x;height:197403;width:2500;" filled="f" stroked="t" coordsize="21600,21600" o:gfxdata="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1C4dj1gAAAAUB&#10;AAAPAAAAAAAAAAEAIAAAACIAAABkcnMvZG93bnJldi54bWxQSwECFAAUAAAACACHTuJAoWnrXB0C&#10;AAD9AwAADgAAAAAAAAABACAAAAAlAQAAZHJzL2Uyb0RvYy54bWxQSwUGAAAAAAYABgBZAQAAtAUA&#10;AAAA&#10;">
                  <v:fill on="f" focussize="0,0"/>
                  <v:stroke color="#000000" joinstyle="round" endarrow="block" endarrowlength="long"/>
                  <v:imagedata o:title=""/>
                  <o:lock v:ext="edit" aspectratio="f"/>
                </v:shape>
                <v:rect id="矩形 57" o:spid="_x0000_s1026" o:spt="1" style="position:absolute;left:3663307;top:3167341;height:278204;width:9048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TuNydcAAAAF&#10;AQAADwAAAAAAAAABACAAAAAiAAAAZHJzL2Rvd25yZXYueG1sUEsBAhQAFAAAAAgAh07iQEISgz4d&#10;AgAAFgQAAA4AAAAAAAAAAQAgAAAAJgEAAGRycy9lMm9Eb2MueG1sUEsFBgAAAAAGAAYAWQEAALUF&#10;AAAAAA==&#10;">
                  <v:fill on="f" focussize="0,0"/>
                  <v:stroke on="f"/>
                  <v:imagedata o:title=""/>
                  <o:lock v:ext="edit" aspectratio="f"/>
                  <v:textbox>
                    <w:txbxContent>
                      <w:p>
                        <w:pPr>
                          <w:spacing w:line="240" w:lineRule="auto"/>
                          <w:ind w:firstLine="0" w:firstLineChars="0"/>
                          <w:jc w:val="center"/>
                          <w:rPr>
                            <w:sz w:val="21"/>
                          </w:rPr>
                        </w:pPr>
                        <w:r>
                          <w:rPr>
                            <w:rFonts w:hint="eastAsia"/>
                            <w:sz w:val="21"/>
                          </w:rPr>
                          <w:t>废气、噪声</w:t>
                        </w:r>
                      </w:p>
                      <w:p>
                        <w:pPr>
                          <w:spacing w:line="240" w:lineRule="auto"/>
                          <w:ind w:firstLine="0" w:firstLineChars="0"/>
                          <w:jc w:val="center"/>
                        </w:pPr>
                      </w:p>
                    </w:txbxContent>
                  </v:textbox>
                </v:rect>
                <v:rect id="矩形 58" o:spid="_x0000_s1026" o:spt="1" style="position:absolute;left:3681007;top:3637947;height:278104;width:469901;"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U7jcnXAAAABQEA&#10;AA8AAAAAAAAAAQAgAAAAIgAAAGRycy9kb3ducmV2LnhtbFBLAQIUABQAAAAIAIdO4kBcSvsuGwIA&#10;ABYEAAAOAAAAAAAAAAEAIAAAACYBAABkcnMvZTJvRG9jLnhtbFBLBQYAAAAABgAGAFkBAACzBQAA&#10;AAA=&#10;">
                  <v:fill on="f" focussize="0,0"/>
                  <v:stroke on="f"/>
                  <v:imagedata o:title=""/>
                  <o:lock v:ext="edit" aspectratio="f"/>
                  <v:textbox>
                    <w:txbxContent>
                      <w:p>
                        <w:pPr>
                          <w:spacing w:line="240" w:lineRule="auto"/>
                          <w:ind w:firstLine="0" w:firstLineChars="0"/>
                          <w:jc w:val="center"/>
                          <w:rPr>
                            <w:sz w:val="21"/>
                          </w:rPr>
                        </w:pPr>
                        <w:r>
                          <w:rPr>
                            <w:rFonts w:hint="eastAsia"/>
                            <w:sz w:val="21"/>
                          </w:rPr>
                          <w:t>噪声</w:t>
                        </w:r>
                      </w:p>
                    </w:txbxContent>
                  </v:textbox>
                </v:rect>
                <v:rect id="矩形 59" o:spid="_x0000_s1026" o:spt="1" style="position:absolute;left:3663307;top:2725435;height:278104;width:12535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TuNydcAAAAF&#10;AQAADwAAAAAAAAABACAAAAAiAAAAZHJzL2Rvd25yZXYueG1sUEsBAhQAFAAAAAgAh07iQH3CV78d&#10;AgAAFwQAAA4AAAAAAAAAAQAgAAAAJgEAAGRycy9lMm9Eb2MueG1sUEsFBgAAAAAGAAYAWQEAALUF&#10;AAAAAA==&#10;">
                  <v:fill on="f" focussize="0,0"/>
                  <v:stroke on="f"/>
                  <v:imagedata o:title=""/>
                  <o:lock v:ext="edit" aspectratio="f"/>
                  <v:textbox>
                    <w:txbxContent>
                      <w:p>
                        <w:pPr>
                          <w:spacing w:line="240" w:lineRule="auto"/>
                          <w:ind w:firstLine="0" w:firstLineChars="0"/>
                          <w:jc w:val="center"/>
                          <w:rPr>
                            <w:sz w:val="21"/>
                          </w:rPr>
                        </w:pPr>
                        <w:r>
                          <w:rPr>
                            <w:rFonts w:hint="eastAsia"/>
                            <w:sz w:val="21"/>
                          </w:rPr>
                          <w:t>压裂返排液、噪声</w:t>
                        </w:r>
                      </w:p>
                      <w:p>
                        <w:pPr>
                          <w:spacing w:line="240" w:lineRule="auto"/>
                          <w:ind w:firstLine="0" w:firstLineChars="0"/>
                          <w:jc w:val="center"/>
                        </w:pPr>
                      </w:p>
                    </w:txbxContent>
                  </v:textbox>
                </v:rect>
                <v:shape id="自选图形 60" o:spid="_x0000_s1026" o:spt="32" type="#_x0000_t32" style="position:absolute;left:3190206;top:2864437;height:1300;width:488301;" filled="f" stroked="t" coordsize="21600,21600" o:gfxdata="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d7DEtcAAAAFAQAADwAAAAAAAAABACAAAAAiAAAAZHJzL2Rvd25yZXYueG1sUEsBAhQAFAAAAAgA&#10;h07iQOtFiZEmAgAACwQAAA4AAAAAAAAAAQAgAAAAJgEAAGRycy9lMm9Eb2MueG1sUEsFBgAAAAAG&#10;AAYAWQEAAL4FAAAAAA==&#10;">
                  <v:fill on="f" focussize="0,0"/>
                  <v:stroke color="#000000" joinstyle="round" dashstyle="dash" endarrow="block" endarrowlength="long"/>
                  <v:imagedata o:title=""/>
                  <o:lock v:ext="edit" aspectratio="f"/>
                </v:shape>
                <v:shape id="自选图形 61" o:spid="_x0000_s1026" o:spt="32" type="#_x0000_t32" style="position:absolute;left:3100706;top:3306443;height:600;width:562601;" filled="f" stroked="t" coordsize="21600,21600" o:gfxdata="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Dd7D&#10;EtcAAAAFAQAADwAAAAAAAAABACAAAAAiAAAAZHJzL2Rvd25yZXYueG1sUEsBAhQAFAAAAAgAh07i&#10;QNSuxTgjAgAACgQAAA4AAAAAAAAAAQAgAAAAJgEAAGRycy9lMm9Eb2MueG1sUEsFBgAAAAAGAAYA&#10;WQEAALsFAAAAAA==&#10;">
                  <v:fill on="f" focussize="0,0"/>
                  <v:stroke color="#000000" joinstyle="round" dashstyle="dash" endarrow="block" endarrowlength="long"/>
                  <v:imagedata o:title=""/>
                  <o:lock v:ext="edit" aspectratio="f"/>
                </v:shape>
                <v:shape id="自选图形 62" o:spid="_x0000_s1026" o:spt="32" type="#_x0000_t32" style="position:absolute;left:3100706;top:3772549;flip:y;height:4400;width:595601;" filled="f" stroked="t" coordsize="21600,21600" o:gfxdata="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7PbKLXAAAABQEAAA8AAAAAAAAAAQAgAAAAIgAAAGRycy9kb3ducmV2LnhtbFBLAQIUABQA&#10;AAAIAIdO4kDwLeXeKgIAABUEAAAOAAAAAAAAAAEAIAAAACYBAABkcnMvZTJvRG9jLnhtbFBLBQYA&#10;AAAABgAGAFkBAADCBQAAAAA=&#10;">
                  <v:fill on="f" focussize="0,0"/>
                  <v:stroke color="#000000" joinstyle="round" dashstyle="dash" endarrow="block" endarrowlength="long"/>
                  <v:imagedata o:title=""/>
                  <o:lock v:ext="edit" aspectratio="f"/>
                </v:shape>
                <v:rect id="矩形 66" o:spid="_x0000_s1026" o:spt="1" style="position:absolute;left:1974804;top:2349530;height:278104;width:469901;"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TuNydcAAAAFAQAA&#10;DwAAAAAAAAABACAAAAAiAAAAZHJzL2Rvd25yZXYueG1sUEsBAhQAFAAAAAgAh07iQJx9gggaAgAA&#10;FgQAAA4AAAAAAAAAAQAgAAAAJgEAAGRycy9lMm9Eb2MueG1sUEsFBgAAAAAGAAYAWQEAALIFAAAA&#10;AA==&#10;">
                  <v:fill on="f" focussize="0,0"/>
                  <v:stroke on="f"/>
                  <v:imagedata o:title=""/>
                  <o:lock v:ext="edit" aspectratio="f"/>
                  <v:textbox>
                    <w:txbxContent>
                      <w:p>
                        <w:pPr>
                          <w:spacing w:line="240" w:lineRule="auto"/>
                          <w:ind w:firstLine="0" w:firstLineChars="0"/>
                          <w:jc w:val="center"/>
                          <w:rPr>
                            <w:sz w:val="21"/>
                          </w:rPr>
                        </w:pPr>
                        <w:r>
                          <w:rPr>
                            <w:rFonts w:hint="eastAsia"/>
                            <w:sz w:val="21"/>
                          </w:rPr>
                          <w:t>噪声</w:t>
                        </w:r>
                      </w:p>
                    </w:txbxContent>
                  </v:textbox>
                </v:rect>
                <v:shape id="自选图形 67" o:spid="_x0000_s1026" o:spt="32" type="#_x0000_t32" style="position:absolute;left:2202804;top:2086627;flip:x;height:278104;width:600;" filled="f" stroked="t" coordsize="21600,21600" o:gfxdata="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1C4dj1gAAAAUB&#10;AAAPAAAAAAAAAAEAIAAAACIAAABkcnMvZG93bnJldi54bWxQSwECFAAUAAAACACHTuJA+ywTQh0C&#10;AAD8AwAADgAAAAAAAAABACAAAAAlAQAAZHJzL2Uyb0RvYy54bWxQSwUGAAAAAAYABgBZAQAAtAUA&#10;AAAA&#10;">
                  <v:fill on="f" focussize="0,0"/>
                  <v:stroke color="#000000" joinstyle="round" endarrow="block" endarrowlength="long"/>
                  <v:imagedata o:title=""/>
                  <o:lock v:ext="edit" aspectratio="f"/>
                </v:shape>
                <v:rect id="矩形 68" o:spid="_x0000_s1026" o:spt="1" style="position:absolute;left:3663307;top:145402;height:278104;width:12535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1O43J1wAAAAUB&#10;AAAPAAAAAAAAAAEAIAAAACIAAABkcnMvZG93bnJldi54bWxQSwECFAAUAAAACACHTuJAuWuGuhwC&#10;AAAWBAAADgAAAAAAAAABACAAAAAmAQAAZHJzL2Uyb0RvYy54bWxQSwUGAAAAAAYABgBZAQAAtAUA&#10;AAAA&#10;">
                  <v:fill on="f" focussize="0,0"/>
                  <v:stroke on="f"/>
                  <v:imagedata o:title=""/>
                  <o:lock v:ext="edit" aspectratio="f"/>
                  <v:textbox>
                    <w:txbxContent>
                      <w:p>
                        <w:pPr>
                          <w:spacing w:line="240" w:lineRule="auto"/>
                          <w:ind w:firstLine="0" w:firstLineChars="0"/>
                          <w:jc w:val="center"/>
                        </w:pPr>
                        <w:r>
                          <w:rPr>
                            <w:rFonts w:hint="eastAsia"/>
                            <w:sz w:val="21"/>
                          </w:rPr>
                          <w:t>植被破坏水土流失</w:t>
                        </w:r>
                      </w:p>
                    </w:txbxContent>
                  </v:textbox>
                </v:rect>
                <v:shape id="自选图形 69" o:spid="_x0000_s1026" o:spt="32" type="#_x0000_t32" style="position:absolute;left:3220006;top:284404;height:700;width:443301;" filled="f" stroked="t" coordsize="21600,21600" o:gfxdata="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N3sMS&#10;1wAAAAUBAAAPAAAAAAAAAAEAIAAAACIAAABkcnMvZG93bnJldi54bWxQSwECFAAUAAAACACHTuJA&#10;rZPbyyICAAAJBAAADgAAAAAAAAABACAAAAAmAQAAZHJzL2Uyb0RvYy54bWxQSwUGAAAAAAYABgBZ&#10;AQAAugUAAAAA&#10;">
                  <v:fill on="f" focussize="0,0"/>
                  <v:stroke color="#000000" joinstyle="round" dashstyle="dash" endarrow="block" endarrowlength="long"/>
                  <v:imagedata o:title=""/>
                  <o:lock v:ext="edit" aspectratio="f"/>
                </v:shape>
                <v:rect id="矩形 70" o:spid="_x0000_s1026" o:spt="1" style="position:absolute;left:3227706;top:1423018;height:278104;width:737801;"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TuNydcAAAAF&#10;AQAADwAAAAAAAAABACAAAAAiAAAAZHJzL2Rvd25yZXYueG1sUEsBAhQAFAAAAAgAh07iQDlT5UQd&#10;AgAAFgQAAA4AAAAAAAAAAQAgAAAAJgEAAGRycy9lMm9Eb2MueG1sUEsFBgAAAAAGAAYAWQEAALUF&#10;AAAAAA==&#10;">
                  <v:fill on="f" focussize="0,0"/>
                  <v:stroke on="f"/>
                  <v:imagedata o:title=""/>
                  <o:lock v:ext="edit" aspectratio="f"/>
                  <v:textbox>
                    <w:txbxContent>
                      <w:p>
                        <w:pPr>
                          <w:spacing w:line="240" w:lineRule="auto"/>
                          <w:ind w:firstLine="0" w:firstLineChars="0"/>
                          <w:jc w:val="center"/>
                          <w:rPr>
                            <w:sz w:val="21"/>
                          </w:rPr>
                        </w:pPr>
                        <w:r>
                          <w:rPr>
                            <w:rFonts w:hint="eastAsia"/>
                            <w:sz w:val="21"/>
                          </w:rPr>
                          <w:t>回收泥浆</w:t>
                        </w:r>
                      </w:p>
                      <w:p>
                        <w:pPr>
                          <w:spacing w:line="240" w:lineRule="auto"/>
                          <w:ind w:firstLine="0" w:firstLineChars="0"/>
                          <w:jc w:val="center"/>
                        </w:pPr>
                      </w:p>
                    </w:txbxContent>
                  </v:textbox>
                </v:rect>
                <v:shape id="自选图形 71" o:spid="_x0000_s1026" o:spt="32" type="#_x0000_t32" style="position:absolute;left:2620605;top:423505;height:259103;width:5700;" filled="f" stroked="t" coordsize="21600,21600" o:gfxdata="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5YFPndUAAAAFAQAADwAAAAAAAAAB&#10;ACAAAAAiAAAAZHJzL2Rvd25yZXYueG1sUEsBAhQAFAAAAAgAh07iQCcGKggTAgAA8wMAAA4AAAAA&#10;AAAAAQAgAAAAJAEAAGRycy9lMm9Eb2MueG1sUEsFBgAAAAAGAAYAWQEAAKkFAAAAAA==&#10;">
                  <v:fill on="f" focussize="0,0"/>
                  <v:stroke weight="1pt" color="#000000" joinstyle="round" endarrow="classic"/>
                  <v:imagedata o:title=""/>
                  <o:lock v:ext="edit" aspectratio="f"/>
                </v:shape>
                <v:rect id="矩形 111" o:spid="_x0000_s1026" o:spt="1" style="position:absolute;left:3838507;top:2285030;height:278104;width:865802;" filled="f" stroked="f" coordsize="21600,21600" o:gfxdata="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TuNydcAAAAFAQAA&#10;DwAAAAAAAAABACAAAAAiAAAAZHJzL2Rvd25yZXYueG1sUEsBAhQAFAAAAAgAh07iQFT1EE8aAgAA&#10;FwQAAA4AAAAAAAAAAQAgAAAAJgEAAGRycy9lMm9Eb2MueG1sUEsFBgAAAAAGAAYAWQEAALIFAAAA&#10;AA==&#10;">
                  <v:fill on="f" focussize="0,0"/>
                  <v:stroke on="f"/>
                  <v:imagedata o:title=""/>
                  <o:lock v:ext="edit" aspectratio="f"/>
                  <v:textbox>
                    <w:txbxContent>
                      <w:p>
                        <w:pPr>
                          <w:pStyle w:val="16"/>
                          <w:spacing w:before="0" w:beforeAutospacing="0" w:after="0" w:afterAutospacing="0"/>
                          <w:jc w:val="center"/>
                        </w:pPr>
                        <w:r>
                          <w:rPr>
                            <w:rFonts w:hint="eastAsia" w:ascii="Times New Roman"/>
                            <w:kern w:val="2"/>
                            <w:sz w:val="21"/>
                            <w:szCs w:val="21"/>
                          </w:rPr>
                          <w:t>噪声、</w:t>
                        </w:r>
                        <w:r>
                          <w:rPr>
                            <w:rFonts w:ascii="Times New Roman"/>
                            <w:kern w:val="2"/>
                            <w:sz w:val="21"/>
                            <w:szCs w:val="21"/>
                          </w:rPr>
                          <w:t>固废</w:t>
                        </w:r>
                      </w:p>
                    </w:txbxContent>
                  </v:textbox>
                </v:rect>
                <w10:wrap type="none"/>
                <w10:anchorlock/>
              </v:group>
            </w:pict>
          </mc:Fallback>
        </mc:AlternateContent>
      </w:r>
    </w:p>
    <w:p>
      <w:pPr>
        <w:ind w:firstLine="0" w:firstLineChars="0"/>
        <w:jc w:val="center"/>
        <w:rPr>
          <w:rFonts w:ascii="Times New Roman" w:hAnsi="Times New Roman"/>
          <w:szCs w:val="24"/>
        </w:rPr>
      </w:pPr>
      <w:r>
        <w:rPr>
          <w:rFonts w:ascii="Times New Roman" w:hAnsi="Times New Roman"/>
          <w:b/>
        </w:rPr>
        <w:t>图3.4-1 煤成气</w:t>
      </w:r>
      <w:r>
        <w:rPr>
          <w:rFonts w:hint="eastAsia" w:ascii="Times New Roman" w:hAnsi="Times New Roman"/>
          <w:b/>
        </w:rPr>
        <w:t>勘探施工期</w:t>
      </w:r>
      <w:r>
        <w:rPr>
          <w:rFonts w:ascii="Times New Roman" w:hAnsi="Times New Roman"/>
          <w:b/>
        </w:rPr>
        <w:t>工艺流程及产污环节示意图</w:t>
      </w:r>
    </w:p>
    <w:p>
      <w:pPr>
        <w:ind w:firstLine="0" w:firstLineChars="0"/>
        <w:outlineLvl w:val="2"/>
        <w:rPr>
          <w:rFonts w:ascii="Times New Roman" w:hAnsi="Times New Roman"/>
          <w:b/>
          <w:sz w:val="28"/>
          <w:szCs w:val="28"/>
        </w:rPr>
      </w:pPr>
      <w:r>
        <w:rPr>
          <w:rFonts w:hint="eastAsia" w:ascii="Times New Roman" w:hAnsi="Times New Roman"/>
          <w:b/>
          <w:sz w:val="28"/>
          <w:szCs w:val="28"/>
        </w:rPr>
        <w:t>3</w:t>
      </w:r>
      <w:r>
        <w:rPr>
          <w:rFonts w:ascii="Times New Roman" w:hAnsi="Times New Roman"/>
          <w:b/>
          <w:sz w:val="28"/>
          <w:szCs w:val="28"/>
        </w:rPr>
        <w:t xml:space="preserve">.4.2 </w:t>
      </w:r>
      <w:r>
        <w:rPr>
          <w:rFonts w:hint="eastAsia" w:ascii="Times New Roman" w:hAnsi="Times New Roman"/>
          <w:b/>
          <w:sz w:val="28"/>
          <w:szCs w:val="28"/>
        </w:rPr>
        <w:t>运营期期</w:t>
      </w:r>
      <w:r>
        <w:rPr>
          <w:rFonts w:ascii="Times New Roman" w:hAnsi="Times New Roman"/>
          <w:b/>
          <w:sz w:val="28"/>
          <w:szCs w:val="28"/>
        </w:rPr>
        <w:t>工艺流程及产污环节</w:t>
      </w:r>
    </w:p>
    <w:p>
      <w:pPr>
        <w:ind w:firstLine="480"/>
        <w:rPr>
          <w:rFonts w:ascii="Times New Roman" w:hAnsi="Times New Roman"/>
          <w:szCs w:val="24"/>
        </w:rPr>
      </w:pPr>
      <w:r>
        <w:rPr>
          <w:rFonts w:ascii="Times New Roman" w:hAnsi="Times New Roman"/>
          <w:szCs w:val="24"/>
        </w:rPr>
        <w:t>煤成气从井场开发井的采气树采出后经油嘴计量排入输气管线，</w:t>
      </w:r>
      <w:r>
        <w:rPr>
          <w:rFonts w:hint="eastAsia" w:ascii="Times New Roman" w:hAnsi="Times New Roman"/>
          <w:szCs w:val="24"/>
        </w:rPr>
        <w:t>集气站接集气管网来气（1~3MPa）后进入生产分离器（操作参数1~3MPa），经重力分离后气体进入分子筛脱水系统（操作参数1~3MPa），煤成气脱水后</w:t>
      </w:r>
      <w:r>
        <w:rPr>
          <w:rFonts w:ascii="Times New Roman" w:hAnsi="Times New Roman"/>
          <w:szCs w:val="24"/>
        </w:rPr>
        <w:t>进入计量器，最后进入集输主管线，输送到康宁中心处理厂附近的交接计量处</w:t>
      </w:r>
      <w:r>
        <w:rPr>
          <w:rFonts w:hint="eastAsia" w:ascii="Times New Roman" w:hAnsi="Times New Roman"/>
          <w:szCs w:val="24"/>
        </w:rPr>
        <w:t>。由生产分离器分离出的污水进入污水罐（50m</w:t>
      </w:r>
      <w:r>
        <w:rPr>
          <w:rFonts w:hint="eastAsia" w:ascii="Times New Roman" w:hAnsi="Times New Roman"/>
          <w:szCs w:val="24"/>
          <w:vertAlign w:val="superscript"/>
        </w:rPr>
        <w:t>3</w:t>
      </w:r>
      <w:r>
        <w:rPr>
          <w:rFonts w:hint="eastAsia" w:ascii="Times New Roman" w:hAnsi="Times New Roman"/>
          <w:szCs w:val="24"/>
        </w:rPr>
        <w:t>）再经</w:t>
      </w:r>
      <w:r>
        <w:rPr>
          <w:rFonts w:ascii="Times New Roman" w:hAnsi="Times New Roman"/>
          <w:szCs w:val="24"/>
        </w:rPr>
        <w:t>管线</w:t>
      </w:r>
      <w:r>
        <w:rPr>
          <w:rFonts w:hint="eastAsia" w:ascii="Times New Roman" w:hAnsi="Times New Roman"/>
          <w:szCs w:val="24"/>
        </w:rPr>
        <w:t>外输至站外污水处理厂，分离出的含油污水进入轻烃罐（50m</w:t>
      </w:r>
      <w:r>
        <w:rPr>
          <w:rFonts w:hint="eastAsia" w:ascii="Times New Roman" w:hAnsi="Times New Roman"/>
          <w:szCs w:val="24"/>
          <w:vertAlign w:val="superscript"/>
        </w:rPr>
        <w:t>3</w:t>
      </w:r>
      <w:r>
        <w:rPr>
          <w:rFonts w:hint="eastAsia" w:ascii="Times New Roman" w:hAnsi="Times New Roman"/>
          <w:szCs w:val="24"/>
        </w:rPr>
        <w:t>）再定期装车外运。</w:t>
      </w:r>
    </w:p>
    <w:p>
      <w:pPr>
        <w:ind w:firstLine="480"/>
        <w:rPr>
          <w:rFonts w:ascii="Times New Roman" w:hAnsi="Times New Roman"/>
          <w:szCs w:val="24"/>
        </w:rPr>
      </w:pPr>
      <w:r>
        <w:rPr>
          <w:rFonts w:hint="eastAsia" w:ascii="Times New Roman" w:hAnsi="Times New Roman"/>
          <w:szCs w:val="24"/>
        </w:rPr>
        <w:t>当采气后期致密气压力下降后，为保证外输管线压力，需在集气站内对致密气进行增压。因此目前在分子筛脱水系统前预留了增压系统。</w:t>
      </w:r>
    </w:p>
    <w:p>
      <w:pPr>
        <w:ind w:firstLine="480"/>
        <w:rPr>
          <w:rFonts w:ascii="Times New Roman" w:hAnsi="Times New Roman"/>
          <w:szCs w:val="24"/>
        </w:rPr>
      </w:pPr>
      <w:r>
        <w:rPr>
          <w:rFonts w:hint="eastAsia" w:ascii="Times New Roman" w:hAnsi="Times New Roman"/>
          <w:szCs w:val="24"/>
        </w:rPr>
        <w:t>当进站管道和站内设备超压时，进站安全阀和设备上的安全阀将开启，气体进入放空火炬系统。当站内出现火灾事故时，启动进出站紧急切断阀，切断气源，并打开进出站紧急放空阀，对集气管网来气和站内气放空。</w:t>
      </w:r>
    </w:p>
    <w:p>
      <w:pPr>
        <w:ind w:firstLine="480"/>
        <w:rPr>
          <w:rFonts w:ascii="Times New Roman" w:hAnsi="Times New Roman"/>
          <w:szCs w:val="24"/>
        </w:rPr>
      </w:pPr>
      <w:r>
        <w:rPr>
          <w:rFonts w:ascii="Times New Roman" w:hAnsi="Times New Roman"/>
          <w:szCs w:val="24"/>
        </w:rPr>
        <w:t>煤成气开发工艺流程及产污环节见图3.4-2。</w:t>
      </w:r>
    </w:p>
    <w:p>
      <w:pPr>
        <w:snapToGrid w:val="0"/>
        <w:ind w:firstLine="480"/>
        <w:rPr>
          <w:rFonts w:ascii="Times New Roman" w:hAnsi="Times New Roman"/>
          <w:szCs w:val="24"/>
        </w:rPr>
        <w:sectPr>
          <w:footerReference r:id="rId11" w:type="default"/>
          <w:pgSz w:w="11906" w:h="16838"/>
          <w:pgMar w:top="1440" w:right="1797" w:bottom="1440" w:left="1797" w:header="851" w:footer="992" w:gutter="0"/>
          <w:pgNumType w:start="1"/>
          <w:cols w:space="425" w:num="1"/>
          <w:docGrid w:type="lines" w:linePitch="312" w:charSpace="0"/>
        </w:sectPr>
      </w:pPr>
    </w:p>
    <w:p>
      <w:pPr>
        <w:snapToGrid w:val="0"/>
        <w:ind w:firstLine="480"/>
        <w:rPr>
          <w:rFonts w:ascii="Times New Roman" w:hAnsi="Times New Roman"/>
          <w:szCs w:val="24"/>
        </w:rPr>
      </w:pPr>
    </w:p>
    <w:p>
      <w:pPr>
        <w:snapToGrid w:val="0"/>
        <w:ind w:firstLine="480"/>
        <w:rPr>
          <w:rFonts w:ascii="Times New Roman" w:hAnsi="Times New Roman"/>
        </w:rPr>
      </w:pPr>
      <w:r>
        <w:rPr>
          <w:rFonts w:ascii="Times New Roman" w:hAnsi="Times New Roman"/>
        </w:rPr>
        <mc:AlternateContent>
          <mc:Choice Requires="wps">
            <w:drawing>
              <wp:anchor distT="0" distB="0" distL="114300" distR="114300" simplePos="0" relativeHeight="251675648" behindDoc="0" locked="0" layoutInCell="1" allowOverlap="1">
                <wp:simplePos x="0" y="0"/>
                <wp:positionH relativeFrom="column">
                  <wp:posOffset>956945</wp:posOffset>
                </wp:positionH>
                <wp:positionV relativeFrom="paragraph">
                  <wp:posOffset>4362450</wp:posOffset>
                </wp:positionV>
                <wp:extent cx="2186305" cy="285750"/>
                <wp:effectExtent l="4445" t="3810" r="0" b="0"/>
                <wp:wrapNone/>
                <wp:docPr id="144" name="Rectangle 72"/>
                <wp:cNvGraphicFramePr/>
                <a:graphic xmlns:a="http://schemas.openxmlformats.org/drawingml/2006/main">
                  <a:graphicData uri="http://schemas.microsoft.com/office/word/2010/wordprocessingShape">
                    <wps:wsp>
                      <wps:cNvSpPr>
                        <a:spLocks noChangeArrowheads="1"/>
                      </wps:cNvSpPr>
                      <wps:spPr bwMode="auto">
                        <a:xfrm>
                          <a:off x="0" y="0"/>
                          <a:ext cx="2186305" cy="285750"/>
                        </a:xfrm>
                        <a:prstGeom prst="rect">
                          <a:avLst/>
                        </a:prstGeom>
                        <a:noFill/>
                        <a:ln>
                          <a:noFill/>
                        </a:ln>
                      </wps:spPr>
                      <wps:txbx>
                        <w:txbxContent>
                          <w:p>
                            <w:pPr>
                              <w:spacing w:line="240" w:lineRule="auto"/>
                              <w:ind w:firstLine="0" w:firstLineChars="0"/>
                              <w:jc w:val="center"/>
                              <w:rPr>
                                <w:sz w:val="21"/>
                              </w:rPr>
                            </w:pPr>
                            <w:r>
                              <w:rPr>
                                <w:rFonts w:hint="eastAsia" w:ascii="Times New Roman" w:hAnsi="Times New Roman"/>
                                <w:color w:val="000000"/>
                                <w:sz w:val="21"/>
                              </w:rPr>
                              <w:t>Z-6环保型抑制剂（罐车运输）</w:t>
                            </w:r>
                          </w:p>
                        </w:txbxContent>
                      </wps:txbx>
                      <wps:bodyPr rot="0" vert="horz" wrap="square" lIns="91440" tIns="45720" rIns="91440" bIns="45720" anchor="t" anchorCtr="0" upright="1">
                        <a:noAutofit/>
                      </wps:bodyPr>
                    </wps:wsp>
                  </a:graphicData>
                </a:graphic>
              </wp:anchor>
            </w:drawing>
          </mc:Choice>
          <mc:Fallback>
            <w:pict>
              <v:rect id="Rectangle 72" o:spid="_x0000_s1026" o:spt="1" style="position:absolute;left:0pt;margin-left:75.35pt;margin-top:343.5pt;height:22.5pt;width:172.15pt;z-index:251675648;mso-width-relative:page;mso-height-relative:page;" filled="f" stroked="f" coordsize="21600,21600" o:gfxdata="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gSqLzbAAAACwEAAA8AAAAAAAAAAQAgAAAAIgAA&#10;AGRycy9kb3ducmV2LnhtbFBLAQIUABQAAAAIAIdO4kBgr88MBQIAAA4EAAAOAAAAAAAAAAEAIAAA&#10;ACoBAABkcnMvZTJvRG9jLnhtbFBLBQYAAAAABgAGAFkBAAChBQAAAAA=&#10;">
                <v:fill on="f" focussize="0,0"/>
                <v:stroke on="f"/>
                <v:imagedata o:title=""/>
                <o:lock v:ext="edit" aspectratio="f"/>
                <v:textbox>
                  <w:txbxContent>
                    <w:p>
                      <w:pPr>
                        <w:spacing w:line="240" w:lineRule="auto"/>
                        <w:ind w:firstLine="0" w:firstLineChars="0"/>
                        <w:jc w:val="center"/>
                        <w:rPr>
                          <w:sz w:val="21"/>
                        </w:rPr>
                      </w:pPr>
                      <w:r>
                        <w:rPr>
                          <w:rFonts w:hint="eastAsia" w:ascii="Times New Roman" w:hAnsi="Times New Roman"/>
                          <w:color w:val="000000"/>
                          <w:sz w:val="21"/>
                        </w:rPr>
                        <w:t>Z-6环保型抑制剂（罐车运输）</w:t>
                      </w:r>
                    </w:p>
                  </w:txbxContent>
                </v:textbox>
              </v:rect>
            </w:pict>
          </mc:Fallback>
        </mc:AlternateContent>
      </w:r>
      <w:r>
        <w:rPr>
          <w:rFonts w:ascii="Times New Roman" w:hAnsi="Times New Roman"/>
        </w:rPr>
        <mc:AlternateContent>
          <mc:Choice Requires="wpc">
            <w:drawing>
              <wp:inline distT="0" distB="0" distL="0" distR="0">
                <wp:extent cx="7934325" cy="4610100"/>
                <wp:effectExtent l="0" t="0" r="0" b="1905"/>
                <wp:docPr id="143" name="画布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7" name="AutoShape 5"/>
                        <wps:cNvCnPr>
                          <a:cxnSpLocks noChangeShapeType="1"/>
                        </wps:cNvCnPr>
                        <wps:spPr bwMode="auto">
                          <a:xfrm flipV="1">
                            <a:off x="791845" y="1321435"/>
                            <a:ext cx="5080" cy="3244215"/>
                          </a:xfrm>
                          <a:prstGeom prst="straightConnector1">
                            <a:avLst/>
                          </a:prstGeom>
                          <a:noFill/>
                          <a:ln w="9525">
                            <a:solidFill>
                              <a:srgbClr val="000000"/>
                            </a:solidFill>
                            <a:round/>
                            <a:tailEnd type="triangle" w="med" len="med"/>
                          </a:ln>
                        </wps:spPr>
                        <wps:bodyPr/>
                      </wps:wsp>
                      <wps:wsp>
                        <wps:cNvPr id="68" name="Rectangle 6"/>
                        <wps:cNvSpPr>
                          <a:spLocks noChangeArrowheads="1"/>
                        </wps:cNvSpPr>
                        <wps:spPr bwMode="auto">
                          <a:xfrm>
                            <a:off x="5111750" y="3481705"/>
                            <a:ext cx="918210" cy="2768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办公生活区</w:t>
                              </w:r>
                            </w:p>
                          </w:txbxContent>
                        </wps:txbx>
                        <wps:bodyPr rot="0" vert="horz" wrap="square" lIns="91440" tIns="45720" rIns="91440" bIns="45720" anchor="t" anchorCtr="0" upright="1">
                          <a:noAutofit/>
                        </wps:bodyPr>
                      </wps:wsp>
                      <wps:wsp>
                        <wps:cNvPr id="69" name="Rectangle 7"/>
                        <wps:cNvSpPr>
                          <a:spLocks noChangeArrowheads="1"/>
                        </wps:cNvSpPr>
                        <wps:spPr bwMode="auto">
                          <a:xfrm>
                            <a:off x="62865" y="1068070"/>
                            <a:ext cx="613410" cy="48768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开发井采气树</w:t>
                              </w:r>
                            </w:p>
                          </w:txbxContent>
                        </wps:txbx>
                        <wps:bodyPr rot="0" vert="horz" wrap="square" lIns="91440" tIns="45720" rIns="91440" bIns="45720" anchor="t" anchorCtr="0" upright="1">
                          <a:noAutofit/>
                        </wps:bodyPr>
                      </wps:wsp>
                      <wps:wsp>
                        <wps:cNvPr id="70" name="Rectangle 8"/>
                        <wps:cNvSpPr>
                          <a:spLocks noChangeArrowheads="1"/>
                        </wps:cNvSpPr>
                        <wps:spPr bwMode="auto">
                          <a:xfrm>
                            <a:off x="537845" y="209550"/>
                            <a:ext cx="519430" cy="306705"/>
                          </a:xfrm>
                          <a:prstGeom prst="rect">
                            <a:avLst/>
                          </a:prstGeom>
                          <a:noFill/>
                          <a:ln>
                            <a:noFill/>
                          </a:ln>
                        </wps:spPr>
                        <wps:txbx>
                          <w:txbxContent>
                            <w:p>
                              <w:pPr>
                                <w:spacing w:line="240" w:lineRule="auto"/>
                                <w:ind w:firstLine="0" w:firstLineChars="0"/>
                                <w:jc w:val="center"/>
                                <w:rPr>
                                  <w:sz w:val="21"/>
                                </w:rPr>
                              </w:pPr>
                              <w:r>
                                <w:rPr>
                                  <w:rFonts w:hint="eastAsia"/>
                                  <w:sz w:val="21"/>
                                </w:rPr>
                                <w:t>井场</w:t>
                              </w:r>
                            </w:p>
                          </w:txbxContent>
                        </wps:txbx>
                        <wps:bodyPr rot="0" vert="horz" wrap="square" lIns="91440" tIns="45720" rIns="91440" bIns="45720" anchor="t" anchorCtr="0" upright="1">
                          <a:noAutofit/>
                        </wps:bodyPr>
                      </wps:wsp>
                      <wps:wsp>
                        <wps:cNvPr id="71" name="Rectangle 9"/>
                        <wps:cNvSpPr>
                          <a:spLocks noChangeArrowheads="1"/>
                        </wps:cNvSpPr>
                        <wps:spPr bwMode="auto">
                          <a:xfrm>
                            <a:off x="62865" y="518160"/>
                            <a:ext cx="1457325" cy="1922145"/>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72" name="Rectangle 10"/>
                        <wps:cNvSpPr>
                          <a:spLocks noChangeArrowheads="1"/>
                        </wps:cNvSpPr>
                        <wps:spPr bwMode="auto">
                          <a:xfrm>
                            <a:off x="1863090" y="501650"/>
                            <a:ext cx="5433695" cy="2056765"/>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73" name="Rectangle 11"/>
                        <wps:cNvSpPr>
                          <a:spLocks noChangeArrowheads="1"/>
                        </wps:cNvSpPr>
                        <wps:spPr bwMode="auto">
                          <a:xfrm>
                            <a:off x="6406515" y="3498850"/>
                            <a:ext cx="1194435" cy="259715"/>
                          </a:xfrm>
                          <a:prstGeom prst="rect">
                            <a:avLst/>
                          </a:prstGeom>
                          <a:noFill/>
                          <a:ln>
                            <a:noFill/>
                          </a:ln>
                        </wps:spPr>
                        <wps:txbx>
                          <w:txbxContent>
                            <w:p>
                              <w:pPr>
                                <w:spacing w:line="240" w:lineRule="auto"/>
                                <w:ind w:firstLine="0" w:firstLineChars="0"/>
                                <w:jc w:val="center"/>
                                <w:rPr>
                                  <w:sz w:val="21"/>
                                </w:rPr>
                              </w:pPr>
                              <w:r>
                                <w:rPr>
                                  <w:rFonts w:hint="eastAsia"/>
                                  <w:sz w:val="21"/>
                                </w:rPr>
                                <w:t>废水、固废、废气</w:t>
                              </w:r>
                            </w:p>
                          </w:txbxContent>
                        </wps:txbx>
                        <wps:bodyPr rot="0" vert="horz" wrap="square" lIns="91440" tIns="45720" rIns="91440" bIns="45720" anchor="t" anchorCtr="0" upright="1">
                          <a:noAutofit/>
                        </wps:bodyPr>
                      </wps:wsp>
                      <wps:wsp>
                        <wps:cNvPr id="74" name="AutoShape 12"/>
                        <wps:cNvCnPr>
                          <a:cxnSpLocks noChangeShapeType="1"/>
                        </wps:cNvCnPr>
                        <wps:spPr bwMode="auto">
                          <a:xfrm>
                            <a:off x="6029960" y="3624580"/>
                            <a:ext cx="347345" cy="635"/>
                          </a:xfrm>
                          <a:prstGeom prst="straightConnector1">
                            <a:avLst/>
                          </a:prstGeom>
                          <a:noFill/>
                          <a:ln w="9525">
                            <a:solidFill>
                              <a:srgbClr val="000000"/>
                            </a:solidFill>
                            <a:prstDash val="dash"/>
                            <a:round/>
                            <a:tailEnd type="triangle" w="med" len="med"/>
                          </a:ln>
                        </wps:spPr>
                        <wps:bodyPr/>
                      </wps:wsp>
                      <wps:wsp>
                        <wps:cNvPr id="75" name="Rectangle 13"/>
                        <wps:cNvSpPr>
                          <a:spLocks noChangeArrowheads="1"/>
                        </wps:cNvSpPr>
                        <wps:spPr bwMode="auto">
                          <a:xfrm>
                            <a:off x="970915" y="1179830"/>
                            <a:ext cx="476885" cy="2768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油嘴</w:t>
                              </w:r>
                            </w:p>
                          </w:txbxContent>
                        </wps:txbx>
                        <wps:bodyPr rot="0" vert="horz" wrap="square" lIns="91440" tIns="45720" rIns="91440" bIns="45720" anchor="t" anchorCtr="0" upright="1">
                          <a:noAutofit/>
                        </wps:bodyPr>
                      </wps:wsp>
                      <wps:wsp>
                        <wps:cNvPr id="76" name="AutoShape 14"/>
                        <wps:cNvCnPr>
                          <a:cxnSpLocks noChangeShapeType="1"/>
                        </wps:cNvCnPr>
                        <wps:spPr bwMode="auto">
                          <a:xfrm>
                            <a:off x="676275" y="1317625"/>
                            <a:ext cx="288290" cy="635"/>
                          </a:xfrm>
                          <a:prstGeom prst="straightConnector1">
                            <a:avLst/>
                          </a:prstGeom>
                          <a:noFill/>
                          <a:ln w="9525">
                            <a:solidFill>
                              <a:srgbClr val="000000"/>
                            </a:solidFill>
                            <a:round/>
                            <a:tailEnd type="triangle" w="med" len="med"/>
                          </a:ln>
                        </wps:spPr>
                        <wps:bodyPr/>
                      </wps:wsp>
                      <wps:wsp>
                        <wps:cNvPr id="77" name="AutoShape 15"/>
                        <wps:cNvCnPr>
                          <a:cxnSpLocks noChangeShapeType="1"/>
                        </wps:cNvCnPr>
                        <wps:spPr bwMode="auto">
                          <a:xfrm>
                            <a:off x="1457325" y="1320165"/>
                            <a:ext cx="720090" cy="635"/>
                          </a:xfrm>
                          <a:prstGeom prst="straightConnector1">
                            <a:avLst/>
                          </a:prstGeom>
                          <a:noFill/>
                          <a:ln w="9525">
                            <a:solidFill>
                              <a:srgbClr val="000000"/>
                            </a:solidFill>
                            <a:round/>
                            <a:tailEnd type="triangle" w="med" len="med"/>
                          </a:ln>
                        </wps:spPr>
                        <wps:bodyPr/>
                      </wps:wsp>
                      <wps:wsp>
                        <wps:cNvPr id="78" name="Rectangle 16"/>
                        <wps:cNvSpPr>
                          <a:spLocks noChangeArrowheads="1"/>
                        </wps:cNvSpPr>
                        <wps:spPr bwMode="auto">
                          <a:xfrm>
                            <a:off x="1381125" y="1296670"/>
                            <a:ext cx="729615" cy="292100"/>
                          </a:xfrm>
                          <a:prstGeom prst="rect">
                            <a:avLst/>
                          </a:prstGeom>
                          <a:noFill/>
                          <a:ln>
                            <a:noFill/>
                          </a:ln>
                        </wps:spPr>
                        <wps:txbx>
                          <w:txbxContent>
                            <w:p>
                              <w:pPr>
                                <w:spacing w:line="240" w:lineRule="auto"/>
                                <w:ind w:firstLine="0" w:firstLineChars="0"/>
                                <w:jc w:val="center"/>
                                <w:rPr>
                                  <w:sz w:val="21"/>
                                </w:rPr>
                              </w:pPr>
                              <w:r>
                                <w:rPr>
                                  <w:rFonts w:hint="eastAsia"/>
                                  <w:sz w:val="21"/>
                                </w:rPr>
                                <w:t>输气管线</w:t>
                              </w:r>
                            </w:p>
                          </w:txbxContent>
                        </wps:txbx>
                        <wps:bodyPr rot="0" vert="horz" wrap="square" lIns="91440" tIns="45720" rIns="91440" bIns="45720" anchor="t" anchorCtr="0" upright="1">
                          <a:noAutofit/>
                        </wps:bodyPr>
                      </wps:wsp>
                      <wps:wsp>
                        <wps:cNvPr id="79" name="AutoShape 17"/>
                        <wps:cNvCnPr>
                          <a:cxnSpLocks noChangeShapeType="1"/>
                        </wps:cNvCnPr>
                        <wps:spPr bwMode="auto">
                          <a:xfrm flipV="1">
                            <a:off x="3282315" y="1321435"/>
                            <a:ext cx="635" cy="682625"/>
                          </a:xfrm>
                          <a:prstGeom prst="straightConnector1">
                            <a:avLst/>
                          </a:prstGeom>
                          <a:noFill/>
                          <a:ln w="9525">
                            <a:solidFill>
                              <a:srgbClr val="000000"/>
                            </a:solidFill>
                            <a:round/>
                          </a:ln>
                        </wps:spPr>
                        <wps:bodyPr/>
                      </wps:wsp>
                      <wps:wsp>
                        <wps:cNvPr id="80" name="Rectangle 18"/>
                        <wps:cNvSpPr>
                          <a:spLocks noChangeArrowheads="1"/>
                        </wps:cNvSpPr>
                        <wps:spPr bwMode="auto">
                          <a:xfrm>
                            <a:off x="3511550" y="1852930"/>
                            <a:ext cx="629285" cy="2768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增压机</w:t>
                              </w:r>
                            </w:p>
                          </w:txbxContent>
                        </wps:txbx>
                        <wps:bodyPr rot="0" vert="horz" wrap="square" lIns="91440" tIns="45720" rIns="91440" bIns="45720" anchor="t" anchorCtr="0" upright="1">
                          <a:noAutofit/>
                        </wps:bodyPr>
                      </wps:wsp>
                      <wps:wsp>
                        <wps:cNvPr id="81" name="AutoShape 19"/>
                        <wps:cNvCnPr>
                          <a:cxnSpLocks noChangeShapeType="1"/>
                        </wps:cNvCnPr>
                        <wps:spPr bwMode="auto">
                          <a:xfrm>
                            <a:off x="791845" y="4565015"/>
                            <a:ext cx="2770505" cy="635"/>
                          </a:xfrm>
                          <a:prstGeom prst="straightConnector1">
                            <a:avLst/>
                          </a:prstGeom>
                          <a:noFill/>
                          <a:ln w="9525">
                            <a:solidFill>
                              <a:srgbClr val="000000"/>
                            </a:solidFill>
                            <a:round/>
                          </a:ln>
                        </wps:spPr>
                        <wps:bodyPr/>
                      </wps:wsp>
                      <wps:wsp>
                        <wps:cNvPr id="82" name="Rectangle 20"/>
                        <wps:cNvSpPr>
                          <a:spLocks noChangeArrowheads="1"/>
                        </wps:cNvSpPr>
                        <wps:spPr bwMode="auto">
                          <a:xfrm>
                            <a:off x="2072640" y="326072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沉降池</w:t>
                              </w:r>
                            </w:p>
                          </w:txbxContent>
                        </wps:txbx>
                        <wps:bodyPr rot="0" vert="horz" wrap="square" lIns="91440" tIns="45720" rIns="91440" bIns="45720" anchor="t" anchorCtr="0" upright="1">
                          <a:noAutofit/>
                        </wps:bodyPr>
                      </wps:wsp>
                      <wps:wsp>
                        <wps:cNvPr id="83" name="AutoShape 21"/>
                        <wps:cNvCnPr>
                          <a:cxnSpLocks noChangeShapeType="1"/>
                        </wps:cNvCnPr>
                        <wps:spPr bwMode="auto">
                          <a:xfrm flipH="1">
                            <a:off x="2514600" y="1442085"/>
                            <a:ext cx="1270" cy="226060"/>
                          </a:xfrm>
                          <a:prstGeom prst="straightConnector1">
                            <a:avLst/>
                          </a:prstGeom>
                          <a:noFill/>
                          <a:ln w="9525">
                            <a:solidFill>
                              <a:srgbClr val="000000"/>
                            </a:solidFill>
                            <a:round/>
                            <a:tailEnd type="triangle" w="med" len="med"/>
                          </a:ln>
                        </wps:spPr>
                        <wps:bodyPr/>
                      </wps:wsp>
                      <wps:wsp>
                        <wps:cNvPr id="84" name="Rectangle 22"/>
                        <wps:cNvSpPr>
                          <a:spLocks noChangeArrowheads="1"/>
                        </wps:cNvSpPr>
                        <wps:spPr bwMode="auto">
                          <a:xfrm>
                            <a:off x="2167890" y="1139825"/>
                            <a:ext cx="908685" cy="29654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生产分离撬</w:t>
                              </w:r>
                            </w:p>
                          </w:txbxContent>
                        </wps:txbx>
                        <wps:bodyPr rot="0" vert="horz" wrap="square" lIns="91440" tIns="45720" rIns="91440" bIns="45720" anchor="t" anchorCtr="0" upright="1">
                          <a:noAutofit/>
                        </wps:bodyPr>
                      </wps:wsp>
                      <wps:wsp>
                        <wps:cNvPr id="85" name="AutoShape 23"/>
                        <wps:cNvCnPr>
                          <a:cxnSpLocks noChangeShapeType="1"/>
                        </wps:cNvCnPr>
                        <wps:spPr bwMode="auto">
                          <a:xfrm flipV="1">
                            <a:off x="2924175" y="934085"/>
                            <a:ext cx="635" cy="245745"/>
                          </a:xfrm>
                          <a:prstGeom prst="straightConnector1">
                            <a:avLst/>
                          </a:prstGeom>
                          <a:noFill/>
                          <a:ln w="9525">
                            <a:solidFill>
                              <a:srgbClr val="000000"/>
                            </a:solidFill>
                            <a:round/>
                            <a:tailEnd type="triangle" w="med" len="med"/>
                          </a:ln>
                        </wps:spPr>
                        <wps:bodyPr/>
                      </wps:wsp>
                      <wps:wsp>
                        <wps:cNvPr id="86" name="Rectangle 24"/>
                        <wps:cNvSpPr>
                          <a:spLocks noChangeArrowheads="1"/>
                        </wps:cNvSpPr>
                        <wps:spPr bwMode="auto">
                          <a:xfrm>
                            <a:off x="1309370" y="777240"/>
                            <a:ext cx="744855" cy="296545"/>
                          </a:xfrm>
                          <a:prstGeom prst="rect">
                            <a:avLst/>
                          </a:prstGeom>
                          <a:noFill/>
                          <a:ln>
                            <a:noFill/>
                          </a:ln>
                        </wps:spPr>
                        <wps:txbx>
                          <w:txbxContent>
                            <w:p>
                              <w:pPr>
                                <w:spacing w:line="240" w:lineRule="auto"/>
                                <w:ind w:firstLine="0" w:firstLineChars="0"/>
                                <w:jc w:val="center"/>
                                <w:rPr>
                                  <w:sz w:val="21"/>
                                </w:rPr>
                              </w:pPr>
                              <w:r>
                                <w:rPr>
                                  <w:rFonts w:hint="eastAsia"/>
                                  <w:sz w:val="21"/>
                                </w:rPr>
                                <w:t>废气</w:t>
                              </w:r>
                            </w:p>
                          </w:txbxContent>
                        </wps:txbx>
                        <wps:bodyPr rot="0" vert="horz" wrap="square" lIns="91440" tIns="45720" rIns="91440" bIns="45720" anchor="t" anchorCtr="0" upright="1">
                          <a:noAutofit/>
                        </wps:bodyPr>
                      </wps:wsp>
                      <wps:wsp>
                        <wps:cNvPr id="87" name="Rectangle 25"/>
                        <wps:cNvSpPr>
                          <a:spLocks noChangeArrowheads="1"/>
                        </wps:cNvSpPr>
                        <wps:spPr bwMode="auto">
                          <a:xfrm>
                            <a:off x="4552315" y="685165"/>
                            <a:ext cx="876300" cy="248920"/>
                          </a:xfrm>
                          <a:prstGeom prst="rect">
                            <a:avLst/>
                          </a:prstGeom>
                          <a:noFill/>
                          <a:ln>
                            <a:noFill/>
                          </a:ln>
                        </wps:spPr>
                        <wps:txbx>
                          <w:txbxContent>
                            <w:p>
                              <w:pPr>
                                <w:spacing w:line="240" w:lineRule="auto"/>
                                <w:ind w:firstLine="0" w:firstLineChars="0"/>
                                <w:jc w:val="center"/>
                                <w:rPr>
                                  <w:sz w:val="21"/>
                                </w:rPr>
                              </w:pPr>
                              <w:r>
                                <w:rPr>
                                  <w:rFonts w:hint="eastAsia"/>
                                  <w:sz w:val="21"/>
                                </w:rPr>
                                <w:t>固废</w:t>
                              </w:r>
                            </w:p>
                          </w:txbxContent>
                        </wps:txbx>
                        <wps:bodyPr rot="0" vert="horz" wrap="square" lIns="91440" tIns="45720" rIns="91440" bIns="45720" anchor="t" anchorCtr="0" upright="1">
                          <a:noAutofit/>
                        </wps:bodyPr>
                      </wps:wsp>
                      <wps:wsp>
                        <wps:cNvPr id="88" name="Rectangle 26"/>
                        <wps:cNvSpPr>
                          <a:spLocks noChangeArrowheads="1"/>
                        </wps:cNvSpPr>
                        <wps:spPr bwMode="auto">
                          <a:xfrm>
                            <a:off x="3509010" y="1168400"/>
                            <a:ext cx="910590" cy="26797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粗过滤器</w:t>
                              </w:r>
                            </w:p>
                          </w:txbxContent>
                        </wps:txbx>
                        <wps:bodyPr rot="0" vert="horz" wrap="square" lIns="91440" tIns="45720" rIns="91440" bIns="45720" anchor="t" anchorCtr="0" upright="1">
                          <a:noAutofit/>
                        </wps:bodyPr>
                      </wps:wsp>
                      <wps:wsp>
                        <wps:cNvPr id="89" name="AutoShape 27"/>
                        <wps:cNvCnPr>
                          <a:cxnSpLocks noChangeShapeType="1"/>
                        </wps:cNvCnPr>
                        <wps:spPr bwMode="auto">
                          <a:xfrm>
                            <a:off x="3076575" y="1319530"/>
                            <a:ext cx="431800" cy="635"/>
                          </a:xfrm>
                          <a:prstGeom prst="straightConnector1">
                            <a:avLst/>
                          </a:prstGeom>
                          <a:noFill/>
                          <a:ln w="9525">
                            <a:solidFill>
                              <a:srgbClr val="000000"/>
                            </a:solidFill>
                            <a:round/>
                            <a:tailEnd type="triangle" w="med" len="med"/>
                          </a:ln>
                        </wps:spPr>
                        <wps:bodyPr/>
                      </wps:wsp>
                      <wps:wsp>
                        <wps:cNvPr id="90" name="AutoShape 28"/>
                        <wps:cNvCnPr>
                          <a:cxnSpLocks noChangeShapeType="1"/>
                        </wps:cNvCnPr>
                        <wps:spPr bwMode="auto">
                          <a:xfrm flipV="1">
                            <a:off x="4981575" y="910590"/>
                            <a:ext cx="635" cy="229235"/>
                          </a:xfrm>
                          <a:prstGeom prst="straightConnector1">
                            <a:avLst/>
                          </a:prstGeom>
                          <a:noFill/>
                          <a:ln w="9525">
                            <a:solidFill>
                              <a:srgbClr val="000000"/>
                            </a:solidFill>
                            <a:prstDash val="dash"/>
                            <a:round/>
                            <a:tailEnd type="triangle" w="med" len="med"/>
                          </a:ln>
                        </wps:spPr>
                        <wps:bodyPr/>
                      </wps:wsp>
                      <wps:wsp>
                        <wps:cNvPr id="91" name="AutoShape 29"/>
                        <wps:cNvCnPr>
                          <a:cxnSpLocks noChangeShapeType="1"/>
                        </wps:cNvCnPr>
                        <wps:spPr bwMode="auto">
                          <a:xfrm>
                            <a:off x="3829050" y="2135505"/>
                            <a:ext cx="635" cy="304800"/>
                          </a:xfrm>
                          <a:prstGeom prst="straightConnector1">
                            <a:avLst/>
                          </a:prstGeom>
                          <a:noFill/>
                          <a:ln w="9525">
                            <a:solidFill>
                              <a:srgbClr val="000000"/>
                            </a:solidFill>
                            <a:prstDash val="dash"/>
                            <a:round/>
                            <a:tailEnd type="triangle" w="med" len="med"/>
                          </a:ln>
                        </wps:spPr>
                        <wps:bodyPr/>
                      </wps:wsp>
                      <wps:wsp>
                        <wps:cNvPr id="92" name="Rectangle 30"/>
                        <wps:cNvSpPr>
                          <a:spLocks noChangeArrowheads="1"/>
                        </wps:cNvSpPr>
                        <wps:spPr bwMode="auto">
                          <a:xfrm>
                            <a:off x="3627755" y="2367915"/>
                            <a:ext cx="471805" cy="259715"/>
                          </a:xfrm>
                          <a:prstGeom prst="rect">
                            <a:avLst/>
                          </a:prstGeom>
                          <a:noFill/>
                          <a:ln>
                            <a:noFill/>
                          </a:ln>
                        </wps:spPr>
                        <wps:txbx>
                          <w:txbxContent>
                            <w:p>
                              <w:pPr>
                                <w:spacing w:line="240" w:lineRule="auto"/>
                                <w:ind w:firstLine="0" w:firstLineChars="0"/>
                                <w:jc w:val="center"/>
                                <w:rPr>
                                  <w:sz w:val="21"/>
                                </w:rPr>
                              </w:pPr>
                              <w:r>
                                <w:rPr>
                                  <w:rFonts w:hint="eastAsia"/>
                                  <w:sz w:val="21"/>
                                </w:rPr>
                                <w:t>噪声</w:t>
                              </w:r>
                            </w:p>
                          </w:txbxContent>
                        </wps:txbx>
                        <wps:bodyPr rot="0" vert="horz" wrap="square" lIns="91440" tIns="45720" rIns="91440" bIns="45720" anchor="t" anchorCtr="0" upright="1">
                          <a:noAutofit/>
                        </wps:bodyPr>
                      </wps:wsp>
                      <wps:wsp>
                        <wps:cNvPr id="93" name="Rectangle 31"/>
                        <wps:cNvSpPr>
                          <a:spLocks noChangeArrowheads="1"/>
                        </wps:cNvSpPr>
                        <wps:spPr bwMode="auto">
                          <a:xfrm>
                            <a:off x="6186805" y="1073785"/>
                            <a:ext cx="619125" cy="292100"/>
                          </a:xfrm>
                          <a:prstGeom prst="rect">
                            <a:avLst/>
                          </a:prstGeom>
                          <a:noFill/>
                          <a:ln>
                            <a:noFill/>
                          </a:ln>
                        </wps:spPr>
                        <wps:txbx>
                          <w:txbxContent>
                            <w:p>
                              <w:pPr>
                                <w:spacing w:line="240" w:lineRule="auto"/>
                                <w:ind w:firstLine="0" w:firstLineChars="0"/>
                                <w:jc w:val="center"/>
                                <w:rPr>
                                  <w:sz w:val="21"/>
                                </w:rPr>
                              </w:pPr>
                              <w:r>
                                <w:rPr>
                                  <w:rFonts w:hint="eastAsia"/>
                                  <w:sz w:val="21"/>
                                </w:rPr>
                                <w:t>煤成气</w:t>
                              </w:r>
                            </w:p>
                          </w:txbxContent>
                        </wps:txbx>
                        <wps:bodyPr rot="0" vert="horz" wrap="square" lIns="91440" tIns="45720" rIns="91440" bIns="45720" anchor="t" anchorCtr="0" upright="1">
                          <a:noAutofit/>
                        </wps:bodyPr>
                      </wps:wsp>
                      <wps:wsp>
                        <wps:cNvPr id="94" name="AutoShape 32"/>
                        <wps:cNvCnPr>
                          <a:cxnSpLocks noChangeShapeType="1"/>
                        </wps:cNvCnPr>
                        <wps:spPr bwMode="auto">
                          <a:xfrm>
                            <a:off x="6186805" y="1325245"/>
                            <a:ext cx="571500" cy="3175"/>
                          </a:xfrm>
                          <a:prstGeom prst="straightConnector1">
                            <a:avLst/>
                          </a:prstGeom>
                          <a:noFill/>
                          <a:ln w="9525">
                            <a:solidFill>
                              <a:srgbClr val="000000"/>
                            </a:solidFill>
                            <a:round/>
                            <a:tailEnd type="triangle" w="med" len="med"/>
                          </a:ln>
                        </wps:spPr>
                        <wps:bodyPr/>
                      </wps:wsp>
                      <wps:wsp>
                        <wps:cNvPr id="95" name="Rectangle 33"/>
                        <wps:cNvSpPr>
                          <a:spLocks noChangeArrowheads="1"/>
                        </wps:cNvSpPr>
                        <wps:spPr bwMode="auto">
                          <a:xfrm>
                            <a:off x="6758305" y="1073785"/>
                            <a:ext cx="480695" cy="675005"/>
                          </a:xfrm>
                          <a:prstGeom prst="rect">
                            <a:avLst/>
                          </a:prstGeom>
                          <a:noFill/>
                          <a:ln>
                            <a:noFill/>
                          </a:ln>
                        </wps:spPr>
                        <wps:txbx>
                          <w:txbxContent>
                            <w:p>
                              <w:pPr>
                                <w:spacing w:line="240" w:lineRule="auto"/>
                                <w:ind w:firstLine="0" w:firstLineChars="0"/>
                                <w:jc w:val="center"/>
                                <w:rPr>
                                  <w:sz w:val="21"/>
                                </w:rPr>
                              </w:pPr>
                              <w:r>
                                <w:rPr>
                                  <w:rFonts w:hint="eastAsia"/>
                                  <w:sz w:val="21"/>
                                </w:rPr>
                                <w:t>集输管线</w:t>
                              </w:r>
                            </w:p>
                          </w:txbxContent>
                        </wps:txbx>
                        <wps:bodyPr rot="0" vert="horz" wrap="square" lIns="91440" tIns="45720" rIns="91440" bIns="45720" anchor="t" anchorCtr="0" upright="1">
                          <a:noAutofit/>
                        </wps:bodyPr>
                      </wps:wsp>
                      <wps:wsp>
                        <wps:cNvPr id="98" name="Rectangle 34"/>
                        <wps:cNvSpPr>
                          <a:spLocks noChangeArrowheads="1"/>
                        </wps:cNvSpPr>
                        <wps:spPr bwMode="auto">
                          <a:xfrm>
                            <a:off x="2500630" y="1436370"/>
                            <a:ext cx="518795" cy="259715"/>
                          </a:xfrm>
                          <a:prstGeom prst="rect">
                            <a:avLst/>
                          </a:prstGeom>
                          <a:noFill/>
                          <a:ln>
                            <a:noFill/>
                          </a:ln>
                        </wps:spPr>
                        <wps:txbx>
                          <w:txbxContent>
                            <w:p>
                              <w:pPr>
                                <w:spacing w:line="240" w:lineRule="auto"/>
                                <w:ind w:firstLine="0" w:firstLineChars="0"/>
                                <w:jc w:val="center"/>
                                <w:rPr>
                                  <w:sz w:val="21"/>
                                </w:rPr>
                              </w:pPr>
                              <w:r>
                                <w:rPr>
                                  <w:rFonts w:hint="eastAsia"/>
                                  <w:sz w:val="21"/>
                                </w:rPr>
                                <w:t>废水</w:t>
                              </w:r>
                            </w:p>
                          </w:txbxContent>
                        </wps:txbx>
                        <wps:bodyPr rot="0" vert="horz" wrap="square" lIns="91440" tIns="45720" rIns="91440" bIns="45720" anchor="t" anchorCtr="0" upright="1">
                          <a:noAutofit/>
                        </wps:bodyPr>
                      </wps:wsp>
                      <wps:wsp>
                        <wps:cNvPr id="100" name="Rectangle 35"/>
                        <wps:cNvSpPr>
                          <a:spLocks noChangeArrowheads="1"/>
                        </wps:cNvSpPr>
                        <wps:spPr bwMode="auto">
                          <a:xfrm>
                            <a:off x="2724785" y="224155"/>
                            <a:ext cx="720090" cy="292100"/>
                          </a:xfrm>
                          <a:prstGeom prst="rect">
                            <a:avLst/>
                          </a:prstGeom>
                          <a:noFill/>
                          <a:ln>
                            <a:noFill/>
                          </a:ln>
                        </wps:spPr>
                        <wps:txbx>
                          <w:txbxContent>
                            <w:p>
                              <w:pPr>
                                <w:spacing w:line="240" w:lineRule="auto"/>
                                <w:ind w:firstLine="0" w:firstLineChars="0"/>
                                <w:jc w:val="center"/>
                                <w:rPr>
                                  <w:sz w:val="21"/>
                                </w:rPr>
                              </w:pPr>
                              <w:r>
                                <w:rPr>
                                  <w:rFonts w:hint="eastAsia"/>
                                  <w:sz w:val="21"/>
                                </w:rPr>
                                <w:t>集气站</w:t>
                              </w:r>
                            </w:p>
                          </w:txbxContent>
                        </wps:txbx>
                        <wps:bodyPr rot="0" vert="horz" wrap="square" lIns="91440" tIns="45720" rIns="91440" bIns="45720" anchor="t" anchorCtr="0" upright="1">
                          <a:noAutofit/>
                        </wps:bodyPr>
                      </wps:wsp>
                      <wps:wsp>
                        <wps:cNvPr id="101" name="Rectangle 36"/>
                        <wps:cNvSpPr>
                          <a:spLocks noChangeArrowheads="1"/>
                        </wps:cNvSpPr>
                        <wps:spPr bwMode="auto">
                          <a:xfrm>
                            <a:off x="2167890" y="166814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废水储罐</w:t>
                              </w:r>
                            </w:p>
                          </w:txbxContent>
                        </wps:txbx>
                        <wps:bodyPr rot="0" vert="horz" wrap="square" lIns="91440" tIns="45720" rIns="91440" bIns="45720" anchor="t" anchorCtr="0" upright="1">
                          <a:noAutofit/>
                        </wps:bodyPr>
                      </wps:wsp>
                      <wps:wsp>
                        <wps:cNvPr id="102" name="AutoShape 37"/>
                        <wps:cNvCnPr>
                          <a:cxnSpLocks noChangeShapeType="1"/>
                        </wps:cNvCnPr>
                        <wps:spPr bwMode="auto">
                          <a:xfrm flipV="1">
                            <a:off x="3561715" y="3529965"/>
                            <a:ext cx="635" cy="1035050"/>
                          </a:xfrm>
                          <a:prstGeom prst="straightConnector1">
                            <a:avLst/>
                          </a:prstGeom>
                          <a:noFill/>
                          <a:ln w="9525">
                            <a:solidFill>
                              <a:srgbClr val="000000"/>
                            </a:solidFill>
                            <a:round/>
                          </a:ln>
                        </wps:spPr>
                        <wps:bodyPr/>
                      </wps:wsp>
                      <wps:wsp>
                        <wps:cNvPr id="103" name="Rectangle 38"/>
                        <wps:cNvSpPr>
                          <a:spLocks noChangeArrowheads="1"/>
                        </wps:cNvSpPr>
                        <wps:spPr bwMode="auto">
                          <a:xfrm>
                            <a:off x="1948815" y="2616835"/>
                            <a:ext cx="1152525" cy="180848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104" name="Rectangle 39"/>
                        <wps:cNvSpPr>
                          <a:spLocks noChangeArrowheads="1"/>
                        </wps:cNvSpPr>
                        <wps:spPr bwMode="auto">
                          <a:xfrm>
                            <a:off x="4653915" y="1179195"/>
                            <a:ext cx="649605" cy="26797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分子筛</w:t>
                              </w:r>
                            </w:p>
                          </w:txbxContent>
                        </wps:txbx>
                        <wps:bodyPr rot="0" vert="horz" wrap="square" lIns="91440" tIns="45720" rIns="91440" bIns="45720" anchor="t" anchorCtr="0" upright="1">
                          <a:noAutofit/>
                        </wps:bodyPr>
                      </wps:wsp>
                      <wps:wsp>
                        <wps:cNvPr id="105" name="Rectangle 40"/>
                        <wps:cNvSpPr>
                          <a:spLocks noChangeArrowheads="1"/>
                        </wps:cNvSpPr>
                        <wps:spPr bwMode="auto">
                          <a:xfrm>
                            <a:off x="2863215" y="656590"/>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轻烃储罐</w:t>
                              </w:r>
                            </w:p>
                          </w:txbxContent>
                        </wps:txbx>
                        <wps:bodyPr rot="0" vert="horz" wrap="square" lIns="91440" tIns="45720" rIns="91440" bIns="45720" anchor="t" anchorCtr="0" upright="1">
                          <a:noAutofit/>
                        </wps:bodyPr>
                      </wps:wsp>
                      <wps:wsp>
                        <wps:cNvPr id="106" name="AutoShape 41"/>
                        <wps:cNvCnPr>
                          <a:cxnSpLocks noChangeShapeType="1"/>
                        </wps:cNvCnPr>
                        <wps:spPr bwMode="auto">
                          <a:xfrm flipV="1">
                            <a:off x="3723640" y="934085"/>
                            <a:ext cx="635" cy="245745"/>
                          </a:xfrm>
                          <a:prstGeom prst="straightConnector1">
                            <a:avLst/>
                          </a:prstGeom>
                          <a:noFill/>
                          <a:ln w="9525">
                            <a:solidFill>
                              <a:srgbClr val="000000"/>
                            </a:solidFill>
                            <a:round/>
                            <a:tailEnd type="triangle" w="med" len="med"/>
                          </a:ln>
                        </wps:spPr>
                        <wps:bodyPr/>
                      </wps:wsp>
                      <wps:wsp>
                        <wps:cNvPr id="107" name="AutoShape 42"/>
                        <wps:cNvCnPr>
                          <a:cxnSpLocks noChangeShapeType="1"/>
                        </wps:cNvCnPr>
                        <wps:spPr bwMode="auto">
                          <a:xfrm>
                            <a:off x="4419600" y="1321435"/>
                            <a:ext cx="228600" cy="635"/>
                          </a:xfrm>
                          <a:prstGeom prst="straightConnector1">
                            <a:avLst/>
                          </a:prstGeom>
                          <a:noFill/>
                          <a:ln w="9525">
                            <a:solidFill>
                              <a:srgbClr val="000000"/>
                            </a:solidFill>
                            <a:round/>
                            <a:tailEnd type="triangle" w="med" len="med"/>
                          </a:ln>
                        </wps:spPr>
                        <wps:bodyPr/>
                      </wps:wsp>
                      <wps:wsp>
                        <wps:cNvPr id="108" name="Rectangle 43"/>
                        <wps:cNvSpPr>
                          <a:spLocks noChangeArrowheads="1"/>
                        </wps:cNvSpPr>
                        <wps:spPr bwMode="auto">
                          <a:xfrm>
                            <a:off x="5537200" y="1168400"/>
                            <a:ext cx="649605" cy="26797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计量器</w:t>
                              </w:r>
                            </w:p>
                          </w:txbxContent>
                        </wps:txbx>
                        <wps:bodyPr rot="0" vert="horz" wrap="square" lIns="91440" tIns="45720" rIns="91440" bIns="45720" anchor="t" anchorCtr="0" upright="1">
                          <a:noAutofit/>
                        </wps:bodyPr>
                      </wps:wsp>
                      <wps:wsp>
                        <wps:cNvPr id="109" name="AutoShape 44"/>
                        <wps:cNvCnPr>
                          <a:cxnSpLocks noChangeShapeType="1"/>
                        </wps:cNvCnPr>
                        <wps:spPr bwMode="auto">
                          <a:xfrm>
                            <a:off x="5302885" y="1310640"/>
                            <a:ext cx="228600" cy="635"/>
                          </a:xfrm>
                          <a:prstGeom prst="straightConnector1">
                            <a:avLst/>
                          </a:prstGeom>
                          <a:noFill/>
                          <a:ln w="9525">
                            <a:solidFill>
                              <a:srgbClr val="000000"/>
                            </a:solidFill>
                            <a:round/>
                            <a:tailEnd type="triangle" w="med" len="med"/>
                          </a:ln>
                        </wps:spPr>
                        <wps:bodyPr/>
                      </wps:wsp>
                      <wps:wsp>
                        <wps:cNvPr id="110" name="AutoShape 45"/>
                        <wps:cNvCnPr>
                          <a:cxnSpLocks noChangeShapeType="1"/>
                        </wps:cNvCnPr>
                        <wps:spPr bwMode="auto">
                          <a:xfrm>
                            <a:off x="3282950" y="2003425"/>
                            <a:ext cx="228600" cy="635"/>
                          </a:xfrm>
                          <a:prstGeom prst="straightConnector1">
                            <a:avLst/>
                          </a:prstGeom>
                          <a:noFill/>
                          <a:ln w="9525">
                            <a:solidFill>
                              <a:srgbClr val="000000"/>
                            </a:solidFill>
                            <a:round/>
                            <a:tailEnd type="triangle" w="med" len="med"/>
                          </a:ln>
                        </wps:spPr>
                        <wps:bodyPr/>
                      </wps:wsp>
                      <wps:wsp>
                        <wps:cNvPr id="111" name="Rectangle 46"/>
                        <wps:cNvSpPr>
                          <a:spLocks noChangeArrowheads="1"/>
                        </wps:cNvSpPr>
                        <wps:spPr bwMode="auto">
                          <a:xfrm>
                            <a:off x="4373880" y="1852295"/>
                            <a:ext cx="910590" cy="26797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粗过滤器</w:t>
                              </w:r>
                            </w:p>
                          </w:txbxContent>
                        </wps:txbx>
                        <wps:bodyPr rot="0" vert="horz" wrap="square" lIns="91440" tIns="45720" rIns="91440" bIns="45720" anchor="t" anchorCtr="0" upright="1">
                          <a:noAutofit/>
                        </wps:bodyPr>
                      </wps:wsp>
                      <wps:wsp>
                        <wps:cNvPr id="112" name="AutoShape 47"/>
                        <wps:cNvCnPr>
                          <a:cxnSpLocks noChangeShapeType="1"/>
                        </wps:cNvCnPr>
                        <wps:spPr bwMode="auto">
                          <a:xfrm>
                            <a:off x="4140835" y="2002790"/>
                            <a:ext cx="228600" cy="635"/>
                          </a:xfrm>
                          <a:prstGeom prst="straightConnector1">
                            <a:avLst/>
                          </a:prstGeom>
                          <a:noFill/>
                          <a:ln w="9525">
                            <a:solidFill>
                              <a:srgbClr val="000000"/>
                            </a:solidFill>
                            <a:round/>
                            <a:tailEnd type="triangle" w="med" len="med"/>
                          </a:ln>
                        </wps:spPr>
                        <wps:bodyPr/>
                      </wps:wsp>
                      <wps:wsp>
                        <wps:cNvPr id="113" name="AutoShape 48"/>
                        <wps:cNvCnPr>
                          <a:cxnSpLocks noChangeShapeType="1"/>
                        </wps:cNvCnPr>
                        <wps:spPr bwMode="auto">
                          <a:xfrm flipV="1">
                            <a:off x="4890770" y="1492250"/>
                            <a:ext cx="635" cy="327025"/>
                          </a:xfrm>
                          <a:prstGeom prst="straightConnector1">
                            <a:avLst/>
                          </a:prstGeom>
                          <a:noFill/>
                          <a:ln w="9525">
                            <a:solidFill>
                              <a:srgbClr val="000000"/>
                            </a:solidFill>
                            <a:round/>
                            <a:tailEnd type="triangle" w="med" len="med"/>
                          </a:ln>
                        </wps:spPr>
                        <wps:bodyPr/>
                      </wps:wsp>
                      <wps:wsp>
                        <wps:cNvPr id="117" name="AutoShape 49"/>
                        <wps:cNvCnPr>
                          <a:cxnSpLocks noChangeShapeType="1"/>
                        </wps:cNvCnPr>
                        <wps:spPr bwMode="auto">
                          <a:xfrm>
                            <a:off x="2526030" y="1937385"/>
                            <a:ext cx="635" cy="828040"/>
                          </a:xfrm>
                          <a:prstGeom prst="straightConnector1">
                            <a:avLst/>
                          </a:prstGeom>
                          <a:noFill/>
                          <a:ln w="9525">
                            <a:solidFill>
                              <a:srgbClr val="000000"/>
                            </a:solidFill>
                            <a:round/>
                            <a:tailEnd type="triangle" w="med" len="med"/>
                          </a:ln>
                        </wps:spPr>
                        <wps:bodyPr/>
                      </wps:wsp>
                      <wps:wsp>
                        <wps:cNvPr id="118" name="Rectangle 50"/>
                        <wps:cNvSpPr>
                          <a:spLocks noChangeArrowheads="1"/>
                        </wps:cNvSpPr>
                        <wps:spPr bwMode="auto">
                          <a:xfrm>
                            <a:off x="2072640" y="276542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油水分离罐</w:t>
                              </w:r>
                            </w:p>
                          </w:txbxContent>
                        </wps:txbx>
                        <wps:bodyPr rot="0" vert="horz" wrap="square" lIns="91440" tIns="45720" rIns="91440" bIns="45720" anchor="t" anchorCtr="0" upright="1">
                          <a:noAutofit/>
                        </wps:bodyPr>
                      </wps:wsp>
                      <wps:wsp>
                        <wps:cNvPr id="119" name="AutoShape 51"/>
                        <wps:cNvCnPr>
                          <a:cxnSpLocks noChangeShapeType="1"/>
                        </wps:cNvCnPr>
                        <wps:spPr bwMode="auto">
                          <a:xfrm flipH="1">
                            <a:off x="2524760" y="3034665"/>
                            <a:ext cx="1270" cy="226060"/>
                          </a:xfrm>
                          <a:prstGeom prst="straightConnector1">
                            <a:avLst/>
                          </a:prstGeom>
                          <a:noFill/>
                          <a:ln w="9525">
                            <a:solidFill>
                              <a:srgbClr val="000000"/>
                            </a:solidFill>
                            <a:round/>
                            <a:tailEnd type="triangle" w="med" len="med"/>
                          </a:ln>
                        </wps:spPr>
                        <wps:bodyPr/>
                      </wps:wsp>
                      <wps:wsp>
                        <wps:cNvPr id="120" name="Rectangle 52"/>
                        <wps:cNvSpPr>
                          <a:spLocks noChangeArrowheads="1"/>
                        </wps:cNvSpPr>
                        <wps:spPr bwMode="auto">
                          <a:xfrm>
                            <a:off x="2054225" y="375856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干化池</w:t>
                              </w:r>
                            </w:p>
                          </w:txbxContent>
                        </wps:txbx>
                        <wps:bodyPr rot="0" vert="horz" wrap="square" lIns="91440" tIns="45720" rIns="91440" bIns="45720" anchor="t" anchorCtr="0" upright="1">
                          <a:noAutofit/>
                        </wps:bodyPr>
                      </wps:wsp>
                      <wps:wsp>
                        <wps:cNvPr id="121" name="AutoShape 53"/>
                        <wps:cNvCnPr>
                          <a:cxnSpLocks noChangeShapeType="1"/>
                        </wps:cNvCnPr>
                        <wps:spPr bwMode="auto">
                          <a:xfrm flipH="1">
                            <a:off x="2506345" y="3532505"/>
                            <a:ext cx="1270" cy="226060"/>
                          </a:xfrm>
                          <a:prstGeom prst="straightConnector1">
                            <a:avLst/>
                          </a:prstGeom>
                          <a:noFill/>
                          <a:ln w="9525">
                            <a:solidFill>
                              <a:srgbClr val="000000"/>
                            </a:solidFill>
                            <a:round/>
                            <a:tailEnd type="triangle" w="med" len="med"/>
                          </a:ln>
                        </wps:spPr>
                        <wps:bodyPr/>
                      </wps:wsp>
                      <wps:wsp>
                        <wps:cNvPr id="122" name="Rectangle 54"/>
                        <wps:cNvSpPr>
                          <a:spLocks noChangeArrowheads="1"/>
                        </wps:cNvSpPr>
                        <wps:spPr bwMode="auto">
                          <a:xfrm>
                            <a:off x="3322955" y="3253105"/>
                            <a:ext cx="629285" cy="2768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蒸发池</w:t>
                              </w:r>
                            </w:p>
                          </w:txbxContent>
                        </wps:txbx>
                        <wps:bodyPr rot="0" vert="horz" wrap="square" lIns="91440" tIns="45720" rIns="91440" bIns="45720" anchor="t" anchorCtr="0" upright="1">
                          <a:noAutofit/>
                        </wps:bodyPr>
                      </wps:wsp>
                      <wps:wsp>
                        <wps:cNvPr id="123" name="AutoShape 55"/>
                        <wps:cNvCnPr>
                          <a:cxnSpLocks noChangeShapeType="1"/>
                        </wps:cNvCnPr>
                        <wps:spPr bwMode="auto">
                          <a:xfrm>
                            <a:off x="2981325" y="3401695"/>
                            <a:ext cx="341630" cy="635"/>
                          </a:xfrm>
                          <a:prstGeom prst="straightConnector1">
                            <a:avLst/>
                          </a:prstGeom>
                          <a:noFill/>
                          <a:ln w="9525">
                            <a:solidFill>
                              <a:srgbClr val="000000"/>
                            </a:solidFill>
                            <a:round/>
                            <a:tailEnd type="triangle" w="med" len="med"/>
                          </a:ln>
                        </wps:spPr>
                        <wps:bodyPr/>
                      </wps:wsp>
                      <wps:wsp>
                        <wps:cNvPr id="124" name="AutoShape 56"/>
                        <wps:cNvCnPr>
                          <a:cxnSpLocks noChangeShapeType="1"/>
                        </wps:cNvCnPr>
                        <wps:spPr bwMode="auto">
                          <a:xfrm flipH="1">
                            <a:off x="1762760" y="3401060"/>
                            <a:ext cx="291465" cy="635"/>
                          </a:xfrm>
                          <a:prstGeom prst="straightConnector1">
                            <a:avLst/>
                          </a:prstGeom>
                          <a:noFill/>
                          <a:ln w="9525">
                            <a:solidFill>
                              <a:srgbClr val="000000"/>
                            </a:solidFill>
                            <a:prstDash val="dash"/>
                            <a:round/>
                            <a:tailEnd type="triangle" w="med" len="med"/>
                          </a:ln>
                        </wps:spPr>
                        <wps:bodyPr/>
                      </wps:wsp>
                      <wps:wsp>
                        <wps:cNvPr id="125" name="Rectangle 57"/>
                        <wps:cNvSpPr>
                          <a:spLocks noChangeArrowheads="1"/>
                        </wps:cNvSpPr>
                        <wps:spPr bwMode="auto">
                          <a:xfrm>
                            <a:off x="3183255" y="2627630"/>
                            <a:ext cx="1579245" cy="159893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126" name="Rectangle 58"/>
                        <wps:cNvSpPr>
                          <a:spLocks noChangeArrowheads="1"/>
                        </wps:cNvSpPr>
                        <wps:spPr bwMode="auto">
                          <a:xfrm>
                            <a:off x="3223260" y="2712085"/>
                            <a:ext cx="876300" cy="322580"/>
                          </a:xfrm>
                          <a:prstGeom prst="rect">
                            <a:avLst/>
                          </a:prstGeom>
                          <a:noFill/>
                          <a:ln>
                            <a:noFill/>
                          </a:ln>
                        </wps:spPr>
                        <wps:txbx>
                          <w:txbxContent>
                            <w:p>
                              <w:pPr>
                                <w:spacing w:line="240" w:lineRule="auto"/>
                                <w:ind w:firstLine="0" w:firstLineChars="0"/>
                                <w:jc w:val="center"/>
                                <w:rPr>
                                  <w:sz w:val="21"/>
                                </w:rPr>
                              </w:pPr>
                              <w:r>
                                <w:rPr>
                                  <w:rFonts w:hint="eastAsia"/>
                                  <w:sz w:val="21"/>
                                </w:rPr>
                                <w:t>固废、噪声</w:t>
                              </w:r>
                            </w:p>
                          </w:txbxContent>
                        </wps:txbx>
                        <wps:bodyPr rot="0" vert="horz" wrap="square" lIns="91440" tIns="45720" rIns="91440" bIns="45720" anchor="t" anchorCtr="0" upright="1">
                          <a:noAutofit/>
                        </wps:bodyPr>
                      </wps:wsp>
                      <wps:wsp>
                        <wps:cNvPr id="127" name="AutoShape 59"/>
                        <wps:cNvCnPr>
                          <a:cxnSpLocks noChangeShapeType="1"/>
                        </wps:cNvCnPr>
                        <wps:spPr bwMode="auto">
                          <a:xfrm flipV="1">
                            <a:off x="3652520" y="3011170"/>
                            <a:ext cx="635" cy="229235"/>
                          </a:xfrm>
                          <a:prstGeom prst="straightConnector1">
                            <a:avLst/>
                          </a:prstGeom>
                          <a:noFill/>
                          <a:ln w="9525">
                            <a:solidFill>
                              <a:srgbClr val="000000"/>
                            </a:solidFill>
                            <a:prstDash val="dash"/>
                            <a:round/>
                            <a:tailEnd type="triangle" w="med" len="med"/>
                          </a:ln>
                        </wps:spPr>
                        <wps:bodyPr/>
                      </wps:wsp>
                      <wps:wsp>
                        <wps:cNvPr id="128" name="Rectangle 60"/>
                        <wps:cNvSpPr>
                          <a:spLocks noChangeArrowheads="1"/>
                        </wps:cNvSpPr>
                        <wps:spPr bwMode="auto">
                          <a:xfrm>
                            <a:off x="3876040" y="2627630"/>
                            <a:ext cx="1029335" cy="292100"/>
                          </a:xfrm>
                          <a:prstGeom prst="rect">
                            <a:avLst/>
                          </a:prstGeom>
                          <a:noFill/>
                          <a:ln>
                            <a:noFill/>
                          </a:ln>
                        </wps:spPr>
                        <wps:txbx>
                          <w:txbxContent>
                            <w:p>
                              <w:pPr>
                                <w:spacing w:line="240" w:lineRule="auto"/>
                                <w:ind w:firstLine="0" w:firstLineChars="0"/>
                                <w:jc w:val="center"/>
                                <w:rPr>
                                  <w:sz w:val="21"/>
                                </w:rPr>
                              </w:pPr>
                              <w:r>
                                <w:rPr>
                                  <w:rFonts w:hint="eastAsia"/>
                                  <w:sz w:val="21"/>
                                </w:rPr>
                                <w:t>蒸发处理站</w:t>
                              </w:r>
                            </w:p>
                          </w:txbxContent>
                        </wps:txbx>
                        <wps:bodyPr rot="0" vert="horz" wrap="square" lIns="91440" tIns="45720" rIns="91440" bIns="45720" anchor="t" anchorCtr="0" upright="1">
                          <a:noAutofit/>
                        </wps:bodyPr>
                      </wps:wsp>
                      <wps:wsp>
                        <wps:cNvPr id="129" name="Rectangle 61"/>
                        <wps:cNvSpPr>
                          <a:spLocks noChangeArrowheads="1"/>
                        </wps:cNvSpPr>
                        <wps:spPr bwMode="auto">
                          <a:xfrm>
                            <a:off x="964565" y="2627630"/>
                            <a:ext cx="984250" cy="292100"/>
                          </a:xfrm>
                          <a:prstGeom prst="rect">
                            <a:avLst/>
                          </a:prstGeom>
                          <a:noFill/>
                          <a:ln>
                            <a:noFill/>
                          </a:ln>
                        </wps:spPr>
                        <wps:txbx>
                          <w:txbxContent>
                            <w:p>
                              <w:pPr>
                                <w:spacing w:line="240" w:lineRule="auto"/>
                                <w:ind w:firstLine="0" w:firstLineChars="0"/>
                                <w:jc w:val="center"/>
                                <w:rPr>
                                  <w:sz w:val="21"/>
                                </w:rPr>
                              </w:pPr>
                              <w:r>
                                <w:rPr>
                                  <w:rFonts w:hint="eastAsia"/>
                                  <w:sz w:val="21"/>
                                </w:rPr>
                                <w:t>净化处理站站站</w:t>
                              </w:r>
                            </w:p>
                          </w:txbxContent>
                        </wps:txbx>
                        <wps:bodyPr rot="0" vert="horz" wrap="square" lIns="91440" tIns="45720" rIns="91440" bIns="45720" anchor="t" anchorCtr="0" upright="1">
                          <a:noAutofit/>
                        </wps:bodyPr>
                      </wps:wsp>
                      <wps:wsp>
                        <wps:cNvPr id="130" name="AutoShape 62"/>
                        <wps:cNvCnPr>
                          <a:cxnSpLocks noChangeShapeType="1"/>
                        </wps:cNvCnPr>
                        <wps:spPr bwMode="auto">
                          <a:xfrm flipV="1">
                            <a:off x="1714500" y="1062990"/>
                            <a:ext cx="635" cy="229235"/>
                          </a:xfrm>
                          <a:prstGeom prst="straightConnector1">
                            <a:avLst/>
                          </a:prstGeom>
                          <a:noFill/>
                          <a:ln w="9525">
                            <a:solidFill>
                              <a:srgbClr val="000000"/>
                            </a:solidFill>
                            <a:prstDash val="dash"/>
                            <a:round/>
                            <a:tailEnd type="triangle" w="med" len="med"/>
                          </a:ln>
                        </wps:spPr>
                        <wps:bodyPr/>
                      </wps:wsp>
                      <wps:wsp>
                        <wps:cNvPr id="131" name="Rectangle 63"/>
                        <wps:cNvSpPr>
                          <a:spLocks noChangeArrowheads="1"/>
                        </wps:cNvSpPr>
                        <wps:spPr bwMode="auto">
                          <a:xfrm>
                            <a:off x="1257300" y="3281045"/>
                            <a:ext cx="673100" cy="248920"/>
                          </a:xfrm>
                          <a:prstGeom prst="rect">
                            <a:avLst/>
                          </a:prstGeom>
                          <a:noFill/>
                          <a:ln>
                            <a:noFill/>
                          </a:ln>
                        </wps:spPr>
                        <wps:txbx>
                          <w:txbxContent>
                            <w:p>
                              <w:pPr>
                                <w:spacing w:line="240" w:lineRule="auto"/>
                                <w:ind w:firstLine="0" w:firstLineChars="0"/>
                                <w:jc w:val="center"/>
                                <w:rPr>
                                  <w:sz w:val="21"/>
                                </w:rPr>
                              </w:pPr>
                              <w:r>
                                <w:rPr>
                                  <w:rFonts w:hint="eastAsia"/>
                                  <w:sz w:val="21"/>
                                </w:rPr>
                                <w:t>噪声</w:t>
                              </w:r>
                            </w:p>
                          </w:txbxContent>
                        </wps:txbx>
                        <wps:bodyPr rot="0" vert="horz" wrap="square" lIns="91440" tIns="45720" rIns="91440" bIns="45720" anchor="t" anchorCtr="0" upright="1">
                          <a:noAutofit/>
                        </wps:bodyPr>
                      </wps:wsp>
                      <wps:wsp>
                        <wps:cNvPr id="132" name="AutoShape 64"/>
                        <wps:cNvCnPr>
                          <a:cxnSpLocks noChangeShapeType="1"/>
                        </wps:cNvCnPr>
                        <wps:spPr bwMode="auto">
                          <a:xfrm flipH="1">
                            <a:off x="1747520" y="3878580"/>
                            <a:ext cx="291465" cy="635"/>
                          </a:xfrm>
                          <a:prstGeom prst="straightConnector1">
                            <a:avLst/>
                          </a:prstGeom>
                          <a:noFill/>
                          <a:ln w="9525">
                            <a:solidFill>
                              <a:srgbClr val="000000"/>
                            </a:solidFill>
                            <a:prstDash val="dash"/>
                            <a:round/>
                            <a:tailEnd type="triangle" w="med" len="med"/>
                          </a:ln>
                        </wps:spPr>
                        <wps:bodyPr/>
                      </wps:wsp>
                      <wps:wsp>
                        <wps:cNvPr id="133" name="Rectangle 65"/>
                        <wps:cNvSpPr>
                          <a:spLocks noChangeArrowheads="1"/>
                        </wps:cNvSpPr>
                        <wps:spPr bwMode="auto">
                          <a:xfrm>
                            <a:off x="1242060" y="3710940"/>
                            <a:ext cx="673100" cy="296545"/>
                          </a:xfrm>
                          <a:prstGeom prst="rect">
                            <a:avLst/>
                          </a:prstGeom>
                          <a:noFill/>
                          <a:ln>
                            <a:noFill/>
                          </a:ln>
                        </wps:spPr>
                        <wps:txbx>
                          <w:txbxContent>
                            <w:p>
                              <w:pPr>
                                <w:spacing w:line="240" w:lineRule="auto"/>
                                <w:ind w:firstLine="0" w:firstLineChars="0"/>
                                <w:jc w:val="center"/>
                                <w:rPr>
                                  <w:sz w:val="21"/>
                                </w:rPr>
                              </w:pPr>
                              <w:r>
                                <w:rPr>
                                  <w:rFonts w:hint="eastAsia"/>
                                  <w:sz w:val="21"/>
                                </w:rPr>
                                <w:t>固废</w:t>
                              </w:r>
                            </w:p>
                          </w:txbxContent>
                        </wps:txbx>
                        <wps:bodyPr rot="0" vert="horz" wrap="square" lIns="91440" tIns="45720" rIns="91440" bIns="45720" anchor="t" anchorCtr="0" upright="1">
                          <a:noAutofit/>
                        </wps:bodyPr>
                      </wps:wsp>
                      <wps:wsp>
                        <wps:cNvPr id="134" name="Rectangle 66"/>
                        <wps:cNvSpPr>
                          <a:spLocks noChangeArrowheads="1"/>
                        </wps:cNvSpPr>
                        <wps:spPr bwMode="auto">
                          <a:xfrm>
                            <a:off x="2472055" y="2060575"/>
                            <a:ext cx="1007745" cy="450215"/>
                          </a:xfrm>
                          <a:prstGeom prst="rect">
                            <a:avLst/>
                          </a:prstGeom>
                          <a:noFill/>
                          <a:ln>
                            <a:noFill/>
                          </a:ln>
                        </wps:spPr>
                        <wps:txbx>
                          <w:txbxContent>
                            <w:p>
                              <w:pPr>
                                <w:spacing w:line="240" w:lineRule="auto"/>
                                <w:ind w:firstLine="0" w:firstLineChars="0"/>
                                <w:jc w:val="center"/>
                                <w:rPr>
                                  <w:sz w:val="21"/>
                                </w:rPr>
                              </w:pPr>
                              <w:r>
                                <w:rPr>
                                  <w:rFonts w:hint="eastAsia" w:ascii="Times New Roman" w:hAnsi="Times New Roman"/>
                                  <w:color w:val="000000"/>
                                  <w:sz w:val="21"/>
                                </w:rPr>
                                <w:t>含有Z-6环保型抑制剂</w:t>
                              </w:r>
                              <w:r>
                                <w:rPr>
                                  <w:rFonts w:hint="eastAsia"/>
                                  <w:sz w:val="21"/>
                                </w:rPr>
                                <w:t>废水</w:t>
                              </w:r>
                            </w:p>
                          </w:txbxContent>
                        </wps:txbx>
                        <wps:bodyPr rot="0" vert="horz" wrap="square" lIns="91440" tIns="45720" rIns="91440" bIns="45720" anchor="t" anchorCtr="0" upright="1">
                          <a:noAutofit/>
                        </wps:bodyPr>
                      </wps:wsp>
                      <wps:wsp>
                        <wps:cNvPr id="135" name="Rectangle 67"/>
                        <wps:cNvSpPr>
                          <a:spLocks noChangeArrowheads="1"/>
                        </wps:cNvSpPr>
                        <wps:spPr bwMode="auto">
                          <a:xfrm>
                            <a:off x="2339975" y="925830"/>
                            <a:ext cx="761365" cy="259715"/>
                          </a:xfrm>
                          <a:prstGeom prst="rect">
                            <a:avLst/>
                          </a:prstGeom>
                          <a:noFill/>
                          <a:ln>
                            <a:noFill/>
                          </a:ln>
                        </wps:spPr>
                        <wps:txbx>
                          <w:txbxContent>
                            <w:p>
                              <w:pPr>
                                <w:spacing w:line="240" w:lineRule="auto"/>
                                <w:ind w:firstLine="0" w:firstLineChars="0"/>
                                <w:jc w:val="center"/>
                                <w:rPr>
                                  <w:sz w:val="21"/>
                                </w:rPr>
                              </w:pPr>
                              <w:r>
                                <w:rPr>
                                  <w:rFonts w:hint="eastAsia"/>
                                  <w:sz w:val="21"/>
                                </w:rPr>
                                <w:t>轻烃</w:t>
                              </w:r>
                            </w:p>
                          </w:txbxContent>
                        </wps:txbx>
                        <wps:bodyPr rot="0" vert="horz" wrap="square" lIns="91440" tIns="45720" rIns="91440" bIns="45720" anchor="t" anchorCtr="0" upright="1">
                          <a:noAutofit/>
                        </wps:bodyPr>
                      </wps:wsp>
                      <wps:wsp>
                        <wps:cNvPr id="136" name="Rectangle 68"/>
                        <wps:cNvSpPr>
                          <a:spLocks noChangeArrowheads="1"/>
                        </wps:cNvSpPr>
                        <wps:spPr bwMode="auto">
                          <a:xfrm>
                            <a:off x="3550920" y="935355"/>
                            <a:ext cx="761365" cy="259715"/>
                          </a:xfrm>
                          <a:prstGeom prst="rect">
                            <a:avLst/>
                          </a:prstGeom>
                          <a:noFill/>
                          <a:ln>
                            <a:noFill/>
                          </a:ln>
                        </wps:spPr>
                        <wps:txbx>
                          <w:txbxContent>
                            <w:p>
                              <w:pPr>
                                <w:spacing w:line="240" w:lineRule="auto"/>
                                <w:ind w:firstLine="0" w:firstLineChars="0"/>
                                <w:jc w:val="center"/>
                                <w:rPr>
                                  <w:sz w:val="21"/>
                                </w:rPr>
                              </w:pPr>
                              <w:r>
                                <w:rPr>
                                  <w:rFonts w:hint="eastAsia"/>
                                  <w:sz w:val="21"/>
                                </w:rPr>
                                <w:t>轻烃</w:t>
                              </w:r>
                            </w:p>
                          </w:txbxContent>
                        </wps:txbx>
                        <wps:bodyPr rot="0" vert="horz" wrap="square" lIns="91440" tIns="45720" rIns="91440" bIns="45720" anchor="t" anchorCtr="0" upright="1">
                          <a:noAutofit/>
                        </wps:bodyPr>
                      </wps:wsp>
                      <wps:wsp>
                        <wps:cNvPr id="137" name="Rectangle 69"/>
                        <wps:cNvSpPr>
                          <a:spLocks noChangeArrowheads="1"/>
                        </wps:cNvSpPr>
                        <wps:spPr bwMode="auto">
                          <a:xfrm>
                            <a:off x="2053590" y="408495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燃气锅炉</w:t>
                              </w:r>
                            </w:p>
                          </w:txbxContent>
                        </wps:txbx>
                        <wps:bodyPr rot="0" vert="horz" wrap="square" lIns="91440" tIns="45720" rIns="91440" bIns="45720" anchor="t" anchorCtr="0" upright="1">
                          <a:noAutofit/>
                        </wps:bodyPr>
                      </wps:wsp>
                      <wps:wsp>
                        <wps:cNvPr id="138" name="AutoShape 70"/>
                        <wps:cNvCnPr>
                          <a:cxnSpLocks noChangeShapeType="1"/>
                        </wps:cNvCnPr>
                        <wps:spPr bwMode="auto">
                          <a:xfrm flipH="1">
                            <a:off x="1746885" y="4204970"/>
                            <a:ext cx="291465" cy="635"/>
                          </a:xfrm>
                          <a:prstGeom prst="straightConnector1">
                            <a:avLst/>
                          </a:prstGeom>
                          <a:noFill/>
                          <a:ln w="9525">
                            <a:solidFill>
                              <a:srgbClr val="000000"/>
                            </a:solidFill>
                            <a:prstDash val="dash"/>
                            <a:round/>
                            <a:tailEnd type="triangle" w="med" len="med"/>
                          </a:ln>
                        </wps:spPr>
                        <wps:bodyPr/>
                      </wps:wsp>
                      <wps:wsp>
                        <wps:cNvPr id="139" name="Rectangle 71"/>
                        <wps:cNvSpPr>
                          <a:spLocks noChangeArrowheads="1"/>
                        </wps:cNvSpPr>
                        <wps:spPr bwMode="auto">
                          <a:xfrm>
                            <a:off x="1241425" y="4084955"/>
                            <a:ext cx="673100" cy="248920"/>
                          </a:xfrm>
                          <a:prstGeom prst="rect">
                            <a:avLst/>
                          </a:prstGeom>
                          <a:noFill/>
                          <a:ln>
                            <a:noFill/>
                          </a:ln>
                        </wps:spPr>
                        <wps:txbx>
                          <w:txbxContent>
                            <w:p>
                              <w:pPr>
                                <w:spacing w:line="240" w:lineRule="auto"/>
                                <w:ind w:firstLine="0" w:firstLineChars="0"/>
                                <w:jc w:val="center"/>
                                <w:rPr>
                                  <w:sz w:val="21"/>
                                </w:rPr>
                              </w:pPr>
                              <w:r>
                                <w:rPr>
                                  <w:rFonts w:hint="eastAsia"/>
                                  <w:sz w:val="21"/>
                                </w:rPr>
                                <w:t>废气</w:t>
                              </w:r>
                            </w:p>
                          </w:txbxContent>
                        </wps:txbx>
                        <wps:bodyPr rot="0" vert="horz" wrap="square" lIns="91440" tIns="45720" rIns="91440" bIns="45720" anchor="t" anchorCtr="0" upright="1">
                          <a:noAutofit/>
                        </wps:bodyPr>
                      </wps:wsp>
                      <wps:wsp>
                        <wps:cNvPr id="140" name="Rectangle 73"/>
                        <wps:cNvSpPr>
                          <a:spLocks noChangeArrowheads="1"/>
                        </wps:cNvSpPr>
                        <wps:spPr bwMode="auto">
                          <a:xfrm>
                            <a:off x="3723640" y="3815715"/>
                            <a:ext cx="908685" cy="26924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1"/>
                                </w:rPr>
                              </w:pPr>
                              <w:r>
                                <w:rPr>
                                  <w:rFonts w:hint="eastAsia"/>
                                  <w:sz w:val="21"/>
                                </w:rPr>
                                <w:t>燃气锅炉</w:t>
                              </w:r>
                            </w:p>
                          </w:txbxContent>
                        </wps:txbx>
                        <wps:bodyPr rot="0" vert="horz" wrap="square" lIns="91440" tIns="45720" rIns="91440" bIns="45720" anchor="t" anchorCtr="0" upright="1">
                          <a:noAutofit/>
                        </wps:bodyPr>
                      </wps:wsp>
                      <wps:wsp>
                        <wps:cNvPr id="141" name="AutoShape 74"/>
                        <wps:cNvCnPr>
                          <a:cxnSpLocks noChangeShapeType="1"/>
                        </wps:cNvCnPr>
                        <wps:spPr bwMode="auto">
                          <a:xfrm flipV="1">
                            <a:off x="4264660" y="3603625"/>
                            <a:ext cx="635" cy="212090"/>
                          </a:xfrm>
                          <a:prstGeom prst="straightConnector1">
                            <a:avLst/>
                          </a:prstGeom>
                          <a:noFill/>
                          <a:ln w="9525">
                            <a:solidFill>
                              <a:srgbClr val="000000"/>
                            </a:solidFill>
                            <a:prstDash val="dash"/>
                            <a:round/>
                            <a:tailEnd type="triangle" w="med" len="med"/>
                          </a:ln>
                        </wps:spPr>
                        <wps:bodyPr/>
                      </wps:wsp>
                      <wps:wsp>
                        <wps:cNvPr id="142" name="Rectangle 75"/>
                        <wps:cNvSpPr>
                          <a:spLocks noChangeArrowheads="1"/>
                        </wps:cNvSpPr>
                        <wps:spPr bwMode="auto">
                          <a:xfrm>
                            <a:off x="3959225" y="3354705"/>
                            <a:ext cx="673100" cy="248920"/>
                          </a:xfrm>
                          <a:prstGeom prst="rect">
                            <a:avLst/>
                          </a:prstGeom>
                          <a:noFill/>
                          <a:ln>
                            <a:noFill/>
                          </a:ln>
                        </wps:spPr>
                        <wps:txbx>
                          <w:txbxContent>
                            <w:p>
                              <w:pPr>
                                <w:spacing w:line="240" w:lineRule="auto"/>
                                <w:ind w:firstLine="0" w:firstLineChars="0"/>
                                <w:jc w:val="center"/>
                                <w:rPr>
                                  <w:sz w:val="21"/>
                                </w:rPr>
                              </w:pPr>
                              <w:r>
                                <w:rPr>
                                  <w:rFonts w:hint="eastAsia"/>
                                  <w:sz w:val="21"/>
                                </w:rPr>
                                <w:t>废气</w:t>
                              </w:r>
                            </w:p>
                          </w:txbxContent>
                        </wps:txbx>
                        <wps:bodyPr rot="0" vert="horz" wrap="square" lIns="91440" tIns="45720" rIns="91440" bIns="45720" anchor="t" anchorCtr="0" upright="1">
                          <a:noAutofit/>
                        </wps:bodyPr>
                      </wps:wsp>
                    </wpc:wpc>
                  </a:graphicData>
                </a:graphic>
              </wp:inline>
            </w:drawing>
          </mc:Choice>
          <mc:Fallback>
            <w:pict>
              <v:group id="画布 3" o:spid="_x0000_s1026" o:spt="203" style="height:363pt;width:624.75pt;" coordsize="7934325,4610100" editas="canvas"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">
                <o:lock v:ext="edit" aspectratio="f"/>
                <v:shape id="画布 3" o:spid="_x0000_s1026" style="position:absolute;left:0;top:0;height:4610100;width:793432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">
                  <v:fill on="f" focussize="0,0"/>
                  <v:stroke on="f"/>
                  <v:imagedata o:title=""/>
                  <o:lock v:ext="edit" aspectratio="t"/>
                </v:shape>
                <v:shape id="AutoShape 5" o:spid="_x0000_s1026" o:spt="32" type="#_x0000_t32" style="position:absolute;left:791845;top:1321435;flip:y;height:3244215;width:5080;"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&#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Q3J1wAAAAYBAAAPAAAAAAAAAAEAIAAAACIAAABk&#10;cnMvZG93bnJldi54bWxQSwECFAAUAAAACACHTuJA/eC90gcCAAD5AwAADgAAAAAAAAABACAAAAAm&#10;AQAAZHJzL2Uyb0RvYy54bWxQSwUGAAAAAAYABgBZAQAAnwUAAAAA&#10;">
                  <v:fill on="f" focussize="0,0"/>
                  <v:stroke color="#000000" joinstyle="round" endarrow="block"/>
                  <v:imagedata o:title=""/>
                  <o:lock v:ext="edit" aspectratio="f"/>
                </v:shape>
                <v:rect id="Rectangle 6" o:spid="_x0000_s1026" o:spt="1" style="position:absolute;left:5111750;top:3481705;height:276860;width:918210;"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zOdcrVAAAABgEAAA8AAAAAAAAAAQAgAAAAIgAAAGRycy9kb3du&#10;cmV2LnhtbFBLAQIUABQAAAAIAIdO4kD1iMfAOwIAAIkEAAAOAAAAAAAAAAEAIAAAACQBAABkcnMv&#10;ZTJvRG9jLnhtbFBLBQYAAAAABgAGAFkBAADR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办公生活区</w:t>
                        </w:r>
                      </w:p>
                    </w:txbxContent>
                  </v:textbox>
                </v:rect>
                <v:rect id="Rectangle 7" o:spid="_x0000_s1026" o:spt="1" style="position:absolute;left:62865;top:1068070;height:487680;width:613410;"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zOdcrVAAAABgEAAA8AAAAAAAAAAQAgAAAAIgAAAGRycy9kb3ducmV2Lnht&#10;bFBLAQIUABQAAAAIAIdO4kCzm0wlNQIAAIcEAAAOAAAAAAAAAAEAIAAAACQBAABkcnMvZTJvRG9j&#10;LnhtbFBLBQYAAAAABgAGAFkBAADL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开发井采气树</w:t>
                        </w:r>
                      </w:p>
                    </w:txbxContent>
                  </v:textbox>
                </v:rect>
                <v:rect id="Rectangle 8" o:spid="_x0000_s1026" o:spt="1" style="position:absolute;left:537845;top:209550;height:306705;width:51943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PiriHYAAAABgEAAA8AAAAAAAAAAQAg&#10;AAAAIgAAAGRycy9kb3ducmV2LnhtbFBLAQIUABQAAAAIAIdO4kDT/ZeXDgIAABUEAAAOAAAAAAAA&#10;AAEAIAAAACcBAABkcnMvZTJvRG9jLnhtbFBLBQYAAAAABgAGAFkBAACnBQAAAAA=&#10;">
                  <v:fill on="f" focussize="0,0"/>
                  <v:stroke on="f"/>
                  <v:imagedata o:title=""/>
                  <o:lock v:ext="edit" aspectratio="f"/>
                  <v:textbox>
                    <w:txbxContent>
                      <w:p>
                        <w:pPr>
                          <w:spacing w:line="240" w:lineRule="auto"/>
                          <w:ind w:firstLine="0" w:firstLineChars="0"/>
                          <w:jc w:val="center"/>
                          <w:rPr>
                            <w:sz w:val="21"/>
                          </w:rPr>
                        </w:pPr>
                        <w:r>
                          <w:rPr>
                            <w:rFonts w:hint="eastAsia"/>
                            <w:sz w:val="21"/>
                          </w:rPr>
                          <w:t>井场</w:t>
                        </w:r>
                      </w:p>
                    </w:txbxContent>
                  </v:textbox>
                </v:rect>
                <v:rect id="Rectangle 9" o:spid="_x0000_s1026" o:spt="1" style="position:absolute;left:62865;top:518160;height:1922145;width:1457325;" filled="f" stroked="t" coordsize="21600,21600" o:gfxdata="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Ny+2NUAAAAGAQAADwAAAAAAAAABACAAAAAiAAAAZHJzL2Rvd25yZXYu&#10;eG1sUEsBAhQAFAAAAAgAh07iQMvzyOI3AgAAbAQAAA4AAAAAAAAAAQAgAAAAJAEAAGRycy9lMm9E&#10;b2MueG1sUEsFBgAAAAAGAAYAWQEAAM0FAAAAAA==&#10;">
                  <v:fill on="f" focussize="0,0"/>
                  <v:stroke color="#000000" miterlimit="8" joinstyle="miter" dashstyle="dash"/>
                  <v:imagedata o:title=""/>
                  <o:lock v:ext="edit" aspectratio="f"/>
                </v:rect>
                <v:rect id="Rectangle 10" o:spid="_x0000_s1026" o:spt="1" style="position:absolute;left:1863090;top:501650;height:2056765;width:5433695;" filled="f" stroked="t" coordsize="21600,21600" o:gfxdata="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TcvtjVAAAABgEAAA8AAAAAAAAAAQAgAAAAIgAAAGRycy9kb3du&#10;cmV2LnhtbFBLAQIUABQAAAAIAIdO4kC8NWoZOwIAAG8EAAAOAAAAAAAAAAEAIAAAACQBAABkcnMv&#10;ZTJvRG9jLnhtbFBLBQYAAAAABgAGAFkBAADRBQAAAAA=&#10;">
                  <v:fill on="f" focussize="0,0"/>
                  <v:stroke color="#000000" miterlimit="8" joinstyle="miter" dashstyle="dash"/>
                  <v:imagedata o:title=""/>
                  <o:lock v:ext="edit" aspectratio="f"/>
                </v:rect>
                <v:rect id="Rectangle 11" o:spid="_x0000_s1026" o:spt="1" style="position:absolute;left:6406515;top:3498850;height:259715;width:119443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MWt3UEQAgAAGQ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废水、固废、废气</w:t>
                        </w:r>
                      </w:p>
                    </w:txbxContent>
                  </v:textbox>
                </v:rect>
                <v:shape id="AutoShape 12" o:spid="_x0000_s1026" o:spt="32" type="#_x0000_t32" style="position:absolute;left:6029960;top:3624580;height:635;width:347345;" filled="f" stroked="t" coordsize="21600,21600" o:gfxdata="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wG6QfUAAAABgEAAA8AAAAAAAAAAQAgAAAAIgAA&#10;AGRycy9kb3ducmV2LnhtbFBLAQIUABQAAAAIAIdO4kDJVppDDAIAAAcEAAAOAAAAAAAAAAEAIAAA&#10;ACMBAABkcnMvZTJvRG9jLnhtbFBLBQYAAAAABgAGAFkBAAChBQAAAAA=&#10;">
                  <v:fill on="f" focussize="0,0"/>
                  <v:stroke color="#000000" joinstyle="round" dashstyle="dash" endarrow="block"/>
                  <v:imagedata o:title=""/>
                  <o:lock v:ext="edit" aspectratio="f"/>
                </v:shape>
                <v:rect id="Rectangle 13" o:spid="_x0000_s1026" o:spt="1" style="position:absolute;left:970915;top:1179830;height:276860;width:4768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zOdcrVAAAABgEAAA8AAAAAAAAAAQAgAAAAIgAAAGRycy9kb3ducmV2&#10;LnhtbFBLAQIUABQAAAAIAIdO4kDXFf7+OAIAAIkEAAAOAAAAAAAAAAEAIAAAACQBAABkcnMvZTJv&#10;RG9jLnhtbFBLBQYAAAAABgAGAFkBAADO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油嘴</w:t>
                        </w:r>
                      </w:p>
                    </w:txbxContent>
                  </v:textbox>
                </v:rect>
                <v:shape id="AutoShape 14" o:spid="_x0000_s1026" o:spt="32" type="#_x0000_t32" style="position:absolute;left:676275;top:1317625;height:635;width:28829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w4arv2AAAAAYBAAAPAAAAAAAAAAEAIAAAACIAAABkcnMvZG93bnJl&#10;di54bWxQSwECFAAUAAAACACHTuJAFf8euP0BAADuAwAADgAAAAAAAAABACAAAAAnAQAAZHJzL2Uy&#10;b0RvYy54bWxQSwUGAAAAAAYABgBZAQAAlgUAAAAA&#10;">
                  <v:fill on="f" focussize="0,0"/>
                  <v:stroke color="#000000" joinstyle="round" endarrow="block"/>
                  <v:imagedata o:title=""/>
                  <o:lock v:ext="edit" aspectratio="f"/>
                </v:shape>
                <v:shape id="AutoShape 15" o:spid="_x0000_s1026" o:spt="32" type="#_x0000_t32" style="position:absolute;left:1457325;top:1320165;height:635;width:72009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w4arv2AAAAAYBAAAPAAAAAAAAAAEAIAAAACIAAABkcnMvZG93bnJl&#10;di54bWxQSwECFAAUAAAACACHTuJAdpz9Mv0BAADvAwAADgAAAAAAAAABACAAAAAnAQAAZHJzL2Uy&#10;b0RvYy54bWxQSwUGAAAAAAYABgBZAQAAlgUAAAAA&#10;">
                  <v:fill on="f" focussize="0,0"/>
                  <v:stroke color="#000000" joinstyle="round" endarrow="block"/>
                  <v:imagedata o:title=""/>
                  <o:lock v:ext="edit" aspectratio="f"/>
                </v:shape>
                <v:rect id="Rectangle 16" o:spid="_x0000_s1026" o:spt="1" style="position:absolute;left:1381125;top:1296670;height:292100;width:72961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KuIdgAAAAGAQAADwAAAAAAAAABACAA&#10;AAAiAAAAZHJzL2Rvd25yZXYueG1sUEsBAhQAFAAAAAgAh07iQAViGXsNAgAAGAQAAA4AAAAAAAAA&#10;AQAgAAAAJwEAAGRycy9lMm9Eb2MueG1sUEsFBgAAAAAGAAYAWQEAAKYFAAAAAA==&#10;">
                  <v:fill on="f" focussize="0,0"/>
                  <v:stroke on="f"/>
                  <v:imagedata o:title=""/>
                  <o:lock v:ext="edit" aspectratio="f"/>
                  <v:textbox>
                    <w:txbxContent>
                      <w:p>
                        <w:pPr>
                          <w:spacing w:line="240" w:lineRule="auto"/>
                          <w:ind w:firstLine="0" w:firstLineChars="0"/>
                          <w:jc w:val="center"/>
                          <w:rPr>
                            <w:sz w:val="21"/>
                          </w:rPr>
                        </w:pPr>
                        <w:r>
                          <w:rPr>
                            <w:rFonts w:hint="eastAsia"/>
                            <w:sz w:val="21"/>
                          </w:rPr>
                          <w:t>输气管线</w:t>
                        </w:r>
                      </w:p>
                    </w:txbxContent>
                  </v:textbox>
                </v:rect>
                <v:shape id="AutoShape 17" o:spid="_x0000_s1026" o:spt="32" type="#_x0000_t32" style="position:absolute;left:3282315;top:1321435;flip:y;height:682625;width:635;" filled="f" stroked="t" coordsize="21600,21600" o:gfxdata="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OEWHNtUA&#10;AAAGAQAADwAAAAAAAAABACAAAAAiAAAAZHJzL2Rvd25yZXYueG1sUEsBAhQAFAAAAAgAh07iQBzG&#10;jbDpAQAAywMAAA4AAAAAAAAAAQAgAAAAJAEAAGRycy9lMm9Eb2MueG1sUEsFBgAAAAAGAAYAWQEA&#10;AH8FAAAAAA==&#10;">
                  <v:fill on="f" focussize="0,0"/>
                  <v:stroke color="#000000" joinstyle="round"/>
                  <v:imagedata o:title=""/>
                  <o:lock v:ext="edit" aspectratio="f"/>
                </v:shape>
                <v:rect id="Rectangle 18" o:spid="_x0000_s1026" o:spt="1" style="position:absolute;left:3511550;top:1852930;height:276860;width:6292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sznXK1QAAAAYBAAAPAAAAAAAAAAEAIAAAACIAAABkcnMvZG93&#10;bnJldi54bWxQSwECFAAUAAAACACHTuJADpg7bjwCAACKBAAADgAAAAAAAAABACAAAAAkAQAAZHJz&#10;L2Uyb0RvYy54bWxQSwUGAAAAAAYABgBZAQAA0gU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增压机</w:t>
                        </w:r>
                      </w:p>
                    </w:txbxContent>
                  </v:textbox>
                </v:rect>
                <v:shape id="AutoShape 19" o:spid="_x0000_s1026" o:spt="32" type="#_x0000_t32" style="position:absolute;left:791845;top:4565015;height:635;width:2770505;" filled="f" stroked="t" coordsize="21600,21600" o:gfxdata="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ZHmCD1gAA&#10;AAYBAAAPAAAAAAAAAAEAIAAAACIAAABkcnMvZG93bnJldi54bWxQSwECFAAUAAAACACHTuJANqUb&#10;oucBAADBAwAADgAAAAAAAAABACAAAAAlAQAAZHJzL2Uyb0RvYy54bWxQSwUGAAAAAAYABgBZAQAA&#10;fgUAAAAA&#10;">
                  <v:fill on="f" focussize="0,0"/>
                  <v:stroke color="#000000" joinstyle="round"/>
                  <v:imagedata o:title=""/>
                  <o:lock v:ext="edit" aspectratio="f"/>
                </v:shape>
                <v:rect id="Rectangle 20" o:spid="_x0000_s1026" o:spt="1" style="position:absolute;left:2072640;top:326072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zOdcrVAAAABgEAAA8AAAAAAAAAAQAgAAAAIgAAAGRycy9kb3ducmV2Lnht&#10;bFBLAQIUABQAAAAIAIdO4kDQDnV/NQIAAIoEAAAOAAAAAAAAAAEAIAAAACQBAABkcnMvZTJvRG9j&#10;LnhtbFBLBQYAAAAABgAGAFkBAADL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沉降池</w:t>
                        </w:r>
                      </w:p>
                    </w:txbxContent>
                  </v:textbox>
                </v:rect>
                <v:shape id="AutoShape 21" o:spid="_x0000_s1026" o:spt="32" type="#_x0000_t32" style="position:absolute;left:2514600;top:1442085;flip:x;height:226060;width:1270;"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Q3J1wAAAAYBAAAPAAAAAAAAAAEAIAAAACIAAABk&#10;cnMvZG93bnJldi54bWxQSwECFAAUAAAACACHTuJAG5RH0AcCAAD6AwAADgAAAAAAAAABACAAAAAm&#10;AQAAZHJzL2Uyb0RvYy54bWxQSwUGAAAAAAYABgBZAQAAnwUAAAAA&#10;">
                  <v:fill on="f" focussize="0,0"/>
                  <v:stroke color="#000000" joinstyle="round" endarrow="block"/>
                  <v:imagedata o:title=""/>
                  <o:lock v:ext="edit" aspectratio="f"/>
                </v:shape>
                <v:rect id="Rectangle 22" o:spid="_x0000_s1026" o:spt="1" style="position:absolute;left:2167890;top:1139825;height:296545;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zOdcrVAAAABgEAAA8AAAAAAAAAAQAgAAAAIgAAAGRycy9kb3ducmV2&#10;LnhtbFBLAQIUABQAAAAIAIdO4kBkdgj4OAIAAIoEAAAOAAAAAAAAAAEAIAAAACQBAABkcnMvZTJv&#10;RG9jLnhtbFBLBQYAAAAABgAGAFkBAADO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生产分离撬</w:t>
                        </w:r>
                      </w:p>
                    </w:txbxContent>
                  </v:textbox>
                </v:rect>
                <v:shape id="AutoShape 23" o:spid="_x0000_s1026" o:spt="32" type="#_x0000_t32" style="position:absolute;left:2924175;top:934085;flip:y;height:245745;width:635;"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A+Q3J1wAAAAYBAAAPAAAAAAAAAAEAIAAAACIAAABkcnMv&#10;ZG93bnJldi54bWxQSwECFAAUAAAACACHTuJAbjWY1gQCAAD4AwAADgAAAAAAAAABACAAAAAmAQAA&#10;ZHJzL2Uyb0RvYy54bWxQSwUGAAAAAAYABgBZAQAAnAUAAAAA&#10;">
                  <v:fill on="f" focussize="0,0"/>
                  <v:stroke color="#000000" joinstyle="round" endarrow="block"/>
                  <v:imagedata o:title=""/>
                  <o:lock v:ext="edit" aspectratio="f"/>
                </v:shape>
                <v:rect id="Rectangle 24" o:spid="_x0000_s1026" o:spt="1" style="position:absolute;left:1309370;top:777240;height:296545;width:74485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PSNug0QAgAAFw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废气</w:t>
                        </w:r>
                      </w:p>
                    </w:txbxContent>
                  </v:textbox>
                </v:rect>
                <v:rect id="Rectangle 25" o:spid="_x0000_s1026" o:spt="1" style="position:absolute;left:4552315;top:685165;height:248920;width:8763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z4q4h2AAAAAYBAAAPAAAAAAAA&#10;AAEAIAAAACIAAABkcnMvZG93bnJldi54bWxQSwECFAAUAAAACACHTuJAqz1WFxICAAAXBAAADgAA&#10;AAAAAAABACAAAAAnAQAAZHJzL2Uyb0RvYy54bWxQSwUGAAAAAAYABgBZAQAAqwUAAAAA&#10;">
                  <v:fill on="f" focussize="0,0"/>
                  <v:stroke on="f"/>
                  <v:imagedata o:title=""/>
                  <o:lock v:ext="edit" aspectratio="f"/>
                  <v:textbox>
                    <w:txbxContent>
                      <w:p>
                        <w:pPr>
                          <w:spacing w:line="240" w:lineRule="auto"/>
                          <w:ind w:firstLine="0" w:firstLineChars="0"/>
                          <w:jc w:val="center"/>
                          <w:rPr>
                            <w:sz w:val="21"/>
                          </w:rPr>
                        </w:pPr>
                        <w:r>
                          <w:rPr>
                            <w:rFonts w:hint="eastAsia"/>
                            <w:sz w:val="21"/>
                          </w:rPr>
                          <w:t>固废</w:t>
                        </w:r>
                      </w:p>
                    </w:txbxContent>
                  </v:textbox>
                </v:rect>
                <v:rect id="Rectangle 26" o:spid="_x0000_s1026" o:spt="1" style="position:absolute;left:3509010;top:1168400;height:267970;width:910590;"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LM51ytUAAAAGAQAADwAAAAAAAAABACAAAAAiAAAAZHJzL2Rvd25y&#10;ZXYueG1sUEsBAhQAFAAAAAgAh07iQNw4muo6AgAAigQAAA4AAAAAAAAAAQAgAAAAJAEAAGRycy9l&#10;Mm9Eb2MueG1sUEsFBgAAAAAGAAYAWQEAANA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粗过滤器</w:t>
                        </w:r>
                      </w:p>
                    </w:txbxContent>
                  </v:textbox>
                </v:rect>
                <v:shape id="AutoShape 27" o:spid="_x0000_s1026" o:spt="32" type="#_x0000_t32" style="position:absolute;left:3076575;top:1319530;height:635;width:4318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4arv2AAAAAYBAAAPAAAAAAAAAAEAIAAAACIAAABkcnMvZG93&#10;bnJldi54bWxQSwECFAAUAAAACACHTuJADl3kyQACAADvAwAADgAAAAAAAAABACAAAAAnAQAAZHJz&#10;L2Uyb0RvYy54bWxQSwUGAAAAAAYABgBZAQAAmQUAAAAA&#10;">
                  <v:fill on="f" focussize="0,0"/>
                  <v:stroke color="#000000" joinstyle="round" endarrow="block"/>
                  <v:imagedata o:title=""/>
                  <o:lock v:ext="edit" aspectratio="f"/>
                </v:shape>
                <v:shape id="AutoShape 28" o:spid="_x0000_s1026" o:spt="32" type="#_x0000_t32" style="position:absolute;left:4981575;top:910590;flip:y;height:229235;width:63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QqKE9MAAAAGAQAADwAAAAAAAAABACAAAAAiAAAA&#10;ZHJzL2Rvd25yZXYueG1sUEsBAhQAFAAAAAgAh07iQKhf6UoMAgAAEAQAAA4AAAAAAAAAAQAgAAAA&#10;IgEAAGRycy9lMm9Eb2MueG1sUEsFBgAAAAAGAAYAWQEAAKAFAAAAAA==&#10;">
                  <v:fill on="f" focussize="0,0"/>
                  <v:stroke color="#000000" joinstyle="round" dashstyle="dash" endarrow="block"/>
                  <v:imagedata o:title=""/>
                  <o:lock v:ext="edit" aspectratio="f"/>
                </v:shape>
                <v:shape id="AutoShape 29" o:spid="_x0000_s1026" o:spt="32" type="#_x0000_t32" style="position:absolute;left:3829050;top:2135505;height:304800;width:635;" filled="f" stroked="t" coordsize="21600,21600" o:gfxdata="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wG6QfUAAAABgEAAA8AAAAAAAAAAQAgAAAAIgAA&#10;AGRycy9kb3ducmV2LnhtbFBLAQIUABQAAAAIAIdO4kDOjomWDAIAAAcEAAAOAAAAAAAAAAEAIAAA&#10;ACMBAABkcnMvZTJvRG9jLnhtbFBLBQYAAAAABgAGAFkBAAChBQAAAAA=&#10;">
                  <v:fill on="f" focussize="0,0"/>
                  <v:stroke color="#000000" joinstyle="round" dashstyle="dash" endarrow="block"/>
                  <v:imagedata o:title=""/>
                  <o:lock v:ext="edit" aspectratio="f"/>
                </v:shape>
                <v:rect id="Rectangle 30" o:spid="_x0000_s1026" o:spt="1" style="position:absolute;left:3627755;top:2367915;height:259715;width:47180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MT5w7QQAgAAGA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噪声</w:t>
                        </w:r>
                      </w:p>
                    </w:txbxContent>
                  </v:textbox>
                </v:rect>
                <v:rect id="Rectangle 31" o:spid="_x0000_s1026" o:spt="1" style="position:absolute;left:6186805;top:1073785;height:292100;width:61912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4q4h2AAAAAYBAAAPAAAAAAAAAAEA&#10;IAAAACIAAABkcnMvZG93bnJldi54bWxQSwECFAAUAAAACACHTuJAQQj85Q8CAAAYBAAADgAAAAAA&#10;AAABACAAAAAnAQAAZHJzL2Uyb0RvYy54bWxQSwUGAAAAAAYABgBZAQAAqAUAAAAA&#10;">
                  <v:fill on="f" focussize="0,0"/>
                  <v:stroke on="f"/>
                  <v:imagedata o:title=""/>
                  <o:lock v:ext="edit" aspectratio="f"/>
                  <v:textbox>
                    <w:txbxContent>
                      <w:p>
                        <w:pPr>
                          <w:spacing w:line="240" w:lineRule="auto"/>
                          <w:ind w:firstLine="0" w:firstLineChars="0"/>
                          <w:jc w:val="center"/>
                          <w:rPr>
                            <w:sz w:val="21"/>
                          </w:rPr>
                        </w:pPr>
                        <w:r>
                          <w:rPr>
                            <w:rFonts w:hint="eastAsia"/>
                            <w:sz w:val="21"/>
                          </w:rPr>
                          <w:t>煤成气</w:t>
                        </w:r>
                      </w:p>
                    </w:txbxContent>
                  </v:textbox>
                </v:rect>
                <v:shape id="AutoShape 32" o:spid="_x0000_s1026" o:spt="32" type="#_x0000_t32" style="position:absolute;left:6186805;top:1325245;height:3175;width:5715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Dhqu/YAAAABgEAAA8AAAAAAAAAAQAgAAAAIgAAAGRycy9k&#10;b3ducmV2LnhtbFBLAQIUABQAAAAIAIdO4kByVs/JAgIAAPADAAAOAAAAAAAAAAEAIAAAACcBAABk&#10;cnMvZTJvRG9jLnhtbFBLBQYAAAAABgAGAFkBAACbBQAAAAA=&#10;">
                  <v:fill on="f" focussize="0,0"/>
                  <v:stroke color="#000000" joinstyle="round" endarrow="block"/>
                  <v:imagedata o:title=""/>
                  <o:lock v:ext="edit" aspectratio="f"/>
                </v:shape>
                <v:rect id="Rectangle 33" o:spid="_x0000_s1026" o:spt="1" style="position:absolute;left:6758305;top:1073785;height:675005;width:48069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KuIdgAAAAGAQAADwAAAAAAAAABACAA&#10;AAAiAAAAZHJzL2Rvd25yZXYueG1sUEsBAhQAFAAAAAgAh07iQLXIdV0NAgAAGAQAAA4AAAAAAAAA&#10;AQAgAAAAJwEAAGRycy9lMm9Eb2MueG1sUEsFBgAAAAAGAAYAWQEAAKYFAAAAAA==&#10;">
                  <v:fill on="f" focussize="0,0"/>
                  <v:stroke on="f"/>
                  <v:imagedata o:title=""/>
                  <o:lock v:ext="edit" aspectratio="f"/>
                  <v:textbox>
                    <w:txbxContent>
                      <w:p>
                        <w:pPr>
                          <w:spacing w:line="240" w:lineRule="auto"/>
                          <w:ind w:firstLine="0" w:firstLineChars="0"/>
                          <w:jc w:val="center"/>
                          <w:rPr>
                            <w:sz w:val="21"/>
                          </w:rPr>
                        </w:pPr>
                        <w:r>
                          <w:rPr>
                            <w:rFonts w:hint="eastAsia"/>
                            <w:sz w:val="21"/>
                          </w:rPr>
                          <w:t>集输管线</w:t>
                        </w:r>
                      </w:p>
                    </w:txbxContent>
                  </v:textbox>
                </v:rect>
                <v:rect id="Rectangle 34" o:spid="_x0000_s1026" o:spt="1" style="position:absolute;left:2500630;top:1436370;height:259715;width:51879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Ov8rXMQAgAAGA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废水</w:t>
                        </w:r>
                      </w:p>
                    </w:txbxContent>
                  </v:textbox>
                </v:rect>
                <v:rect id="Rectangle 35" o:spid="_x0000_s1026" o:spt="1" style="position:absolute;left:2724785;top:224155;height:292100;width:72009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KuIdgAAAAGAQAADwAAAAAAAAABACAA&#10;AAAiAAAAZHJzL2Rvd25yZXYueG1sUEsBAhQAFAAAAAgAh07iQKuhpRcNAgAAGAQAAA4AAAAAAAAA&#10;AQAgAAAAJwEAAGRycy9lMm9Eb2MueG1sUEsFBgAAAAAGAAYAWQEAAKYFAAAAAA==&#10;">
                  <v:fill on="f" focussize="0,0"/>
                  <v:stroke on="f"/>
                  <v:imagedata o:title=""/>
                  <o:lock v:ext="edit" aspectratio="f"/>
                  <v:textbox>
                    <w:txbxContent>
                      <w:p>
                        <w:pPr>
                          <w:spacing w:line="240" w:lineRule="auto"/>
                          <w:ind w:firstLine="0" w:firstLineChars="0"/>
                          <w:jc w:val="center"/>
                          <w:rPr>
                            <w:sz w:val="21"/>
                          </w:rPr>
                        </w:pPr>
                        <w:r>
                          <w:rPr>
                            <w:rFonts w:hint="eastAsia"/>
                            <w:sz w:val="21"/>
                          </w:rPr>
                          <w:t>集气站</w:t>
                        </w:r>
                      </w:p>
                    </w:txbxContent>
                  </v:textbox>
                </v:rect>
                <v:rect id="Rectangle 36" o:spid="_x0000_s1026" o:spt="1" style="position:absolute;left:2167890;top:166814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LM51ytUAAAAGAQAADwAAAAAAAAABACAAAAAiAAAAZHJzL2Rv&#10;d25yZXYueG1sUEsBAhQAFAAAAAgAh07iQPcC3Vg9AgAAiwQAAA4AAAAAAAAAAQAgAAAAJAEAAGRy&#10;cy9lMm9Eb2MueG1sUEsFBgAAAAAGAAYAWQEAANM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废水储罐</w:t>
                        </w:r>
                      </w:p>
                    </w:txbxContent>
                  </v:textbox>
                </v:rect>
                <v:shape id="AutoShape 37" o:spid="_x0000_s1026" o:spt="32" type="#_x0000_t32" style="position:absolute;left:3561715;top:3529965;flip:y;height:1035050;width:635;" filled="f" stroked="t" coordsize="21600,21600" o:gfxdata="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EWH&#10;NtUAAAAGAQAADwAAAAAAAAABACAAAAAiAAAAZHJzL2Rvd25yZXYueG1sUEsBAhQAFAAAAAgAh07i&#10;QH+2gBnsAQAAzQMAAA4AAAAAAAAAAQAgAAAAJAEAAGRycy9lMm9Eb2MueG1sUEsFBgAAAAAGAAYA&#10;WQEAAIIFAAAAAA==&#10;">
                  <v:fill on="f" focussize="0,0"/>
                  <v:stroke color="#000000" joinstyle="round"/>
                  <v:imagedata o:title=""/>
                  <o:lock v:ext="edit" aspectratio="f"/>
                </v:shape>
                <v:rect id="Rectangle 38" o:spid="_x0000_s1026" o:spt="1" style="position:absolute;left:1948815;top:2616835;height:1808480;width:1152525;" filled="f" stroked="t" coordsize="21600,21600" o:gfxdata="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E3L7Y1QAAAAYBAAAPAAAAAAAAAAEAIAAAACIAAABkcnMvZG93&#10;bnJldi54bWxQSwECFAAUAAAACACHTuJAYdaEnTwCAABxBAAADgAAAAAAAAABACAAAAAkAQAAZHJz&#10;L2Uyb0RvYy54bWxQSwUGAAAAAAYABgBZAQAA0gUAAAAA&#10;">
                  <v:fill on="f" focussize="0,0"/>
                  <v:stroke color="#000000" miterlimit="8" joinstyle="miter" dashstyle="dash"/>
                  <v:imagedata o:title=""/>
                  <o:lock v:ext="edit" aspectratio="f"/>
                </v:rect>
                <v:rect id="Rectangle 39" o:spid="_x0000_s1026" o:spt="1" style="position:absolute;left:4653915;top:1179195;height:267970;width:64960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zOdcrVAAAABgEAAA8AAAAAAAAAAQAgAAAAIgAAAGRycy9k&#10;b3ducmV2LnhtbFBLAQIUABQAAAAIAIdO4kCR/ZK6PgIAAIsEAAAOAAAAAAAAAAEAIAAAACQBAABk&#10;cnMvZTJvRG9jLnhtbFBLBQYAAAAABgAGAFkBAADU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分子筛</w:t>
                        </w:r>
                      </w:p>
                    </w:txbxContent>
                  </v:textbox>
                </v:rect>
                <v:rect id="Rectangle 40" o:spid="_x0000_s1026" o:spt="1" style="position:absolute;left:2863215;top:656590;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LM51ytUAAAAGAQAADwAAAAAAAAABACAAAAAiAAAAZHJzL2Rvd25y&#10;ZXYueG1sUEsBAhQAFAAAAAgAh07iQKptQOw6AgAAigQAAA4AAAAAAAAAAQAgAAAAJAEAAGRycy9l&#10;Mm9Eb2MueG1sUEsFBgAAAAAGAAYAWQEAANA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轻烃储罐</w:t>
                        </w:r>
                      </w:p>
                    </w:txbxContent>
                  </v:textbox>
                </v:rect>
                <v:shape id="AutoShape 41" o:spid="_x0000_s1026" o:spt="32" type="#_x0000_t32" style="position:absolute;left:3723640;top:934085;flip:y;height:245745;width:635;"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D5DcnXAAAABgEAAA8AAAAAAAAAAQAgAAAAIgAAAGRy&#10;cy9kb3ducmV2LnhtbFBLAQIUABQAAAAIAIdO4kBHVsLWBgIAAPkDAAAOAAAAAAAAAAEAIAAAACYB&#10;AABkcnMvZTJvRG9jLnhtbFBLBQYAAAAABgAGAFkBAACeBQAAAAA=&#10;">
                  <v:fill on="f" focussize="0,0"/>
                  <v:stroke color="#000000" joinstyle="round" endarrow="block"/>
                  <v:imagedata o:title=""/>
                  <o:lock v:ext="edit" aspectratio="f"/>
                </v:shape>
                <v:shape id="AutoShape 42" o:spid="_x0000_s1026" o:spt="32" type="#_x0000_t32" style="position:absolute;left:4419600;top:1321435;height:635;width:2286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Dhqu/YAAAABgEAAA8AAAAAAAAAAQAgAAAAIgAAAGRycy9kb3du&#10;cmV2LnhtbFBLAQIUABQAAAAIAIdO4kAhJMbS/wEAAPADAAAOAAAAAAAAAAEAIAAAACcBAABkcnMv&#10;ZTJvRG9jLnhtbFBLBQYAAAAABgAGAFkBAACYBQAAAAA=&#10;">
                  <v:fill on="f" focussize="0,0"/>
                  <v:stroke color="#000000" joinstyle="round" endarrow="block"/>
                  <v:imagedata o:title=""/>
                  <o:lock v:ext="edit" aspectratio="f"/>
                </v:shape>
                <v:rect id="Rectangle 43" o:spid="_x0000_s1026" o:spt="1" style="position:absolute;left:5537200;top:1168400;height:267970;width:64960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LM51ytUAAAAGAQAADwAAAAAAAAABACAAAAAiAAAAZHJzL2Rv&#10;d25yZXYueG1sUEsBAhQAFAAAAAgAh07iQCg4SF09AgAAiwQAAA4AAAAAAAAAAQAgAAAAJAEAAGRy&#10;cy9lMm9Eb2MueG1sUEsFBgAAAAAGAAYAWQEAANM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计量器</w:t>
                        </w:r>
                      </w:p>
                    </w:txbxContent>
                  </v:textbox>
                </v:rect>
                <v:shape id="AutoShape 44" o:spid="_x0000_s1026" o:spt="32" type="#_x0000_t32" style="position:absolute;left:5302885;top:1310640;height:635;width:2286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4arv2AAAAAYBAAAPAAAAAAAAAAEAIAAAACIAAABkcnMvZG93&#10;bnJldi54bWxQSwECFAAUAAAACACHTuJArGK42wACAADwAwAADgAAAAAAAAABACAAAAAnAQAAZHJz&#10;L2Uyb0RvYy54bWxQSwUGAAAAAAYABgBZAQAAmQUAAAAA&#10;">
                  <v:fill on="f" focussize="0,0"/>
                  <v:stroke color="#000000" joinstyle="round" endarrow="block"/>
                  <v:imagedata o:title=""/>
                  <o:lock v:ext="edit" aspectratio="f"/>
                </v:shape>
                <v:shape id="AutoShape 45" o:spid="_x0000_s1026" o:spt="32" type="#_x0000_t32" style="position:absolute;left:3282950;top:2003425;height:635;width:2286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8OGq79gAAAAGAQAADwAAAAAAAAABACAAAAAiAAAAZHJzL2Rvd25y&#10;ZXYueG1sUEsBAhQAFAAAAAgAh07iQGtly6H+AQAA8AMAAA4AAAAAAAAAAQAgAAAAJwEAAGRycy9l&#10;Mm9Eb2MueG1sUEsFBgAAAAAGAAYAWQEAAJcFAAAAAA==&#10;">
                  <v:fill on="f" focussize="0,0"/>
                  <v:stroke color="#000000" joinstyle="round" endarrow="block"/>
                  <v:imagedata o:title=""/>
                  <o:lock v:ext="edit" aspectratio="f"/>
                </v:shape>
                <v:rect id="Rectangle 46" o:spid="_x0000_s1026" o:spt="1" style="position:absolute;left:4373880;top:1852295;height:267970;width:910590;"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LM51ytUAAAAGAQAADwAAAAAAAAABACAAAAAiAAAAZHJzL2Rv&#10;d25yZXYueG1sUEsBAhQAFAAAAAgAh07iQKGDhY89AgAAiwQAAA4AAAAAAAAAAQAgAAAAJAEAAGRy&#10;cy9lMm9Eb2MueG1sUEsFBgAAAAAGAAYAWQEAANM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粗过滤器</w:t>
                        </w:r>
                      </w:p>
                    </w:txbxContent>
                  </v:textbox>
                </v:rect>
                <v:shape id="AutoShape 47" o:spid="_x0000_s1026" o:spt="32" type="#_x0000_t32" style="position:absolute;left:4140835;top:2002790;height:635;width:22860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4arv2AAAAAYBAAAPAAAAAAAAAAEAIAAAACIAAABkcnMvZG93&#10;bnJldi54bWxQSwECFAAUAAAACACHTuJAnM1/WgACAADwAwAADgAAAAAAAAABACAAAAAnAQAAZHJz&#10;L2Uyb0RvYy54bWxQSwUGAAAAAAYABgBZAQAAmQUAAAAA&#10;">
                  <v:fill on="f" focussize="0,0"/>
                  <v:stroke color="#000000" joinstyle="round" endarrow="block"/>
                  <v:imagedata o:title=""/>
                  <o:lock v:ext="edit" aspectratio="f"/>
                </v:shape>
                <v:shape id="AutoShape 48" o:spid="_x0000_s1026" o:spt="32" type="#_x0000_t32" style="position:absolute;left:4890770;top:1492250;flip:y;height:327025;width:635;"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PkNydcAAAAGAQAADwAAAAAAAAABACAAAAAiAAAAZHJz&#10;L2Rvd25yZXYueG1sUEsBAhQAFAAAAAgAh07iQBzR+tsFAgAA+gMAAA4AAAAAAAAAAQAgAAAAJgEA&#10;AGRycy9lMm9Eb2MueG1sUEsFBgAAAAAGAAYAWQEAAJ0FAAAAAA==&#10;">
                  <v:fill on="f" focussize="0,0"/>
                  <v:stroke color="#000000" joinstyle="round" endarrow="block"/>
                  <v:imagedata o:title=""/>
                  <o:lock v:ext="edit" aspectratio="f"/>
                </v:shape>
                <v:shape id="AutoShape 49" o:spid="_x0000_s1026" o:spt="32" type="#_x0000_t32" style="position:absolute;left:2526030;top:1937385;height:828040;width:635;"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4arv2AAAAAYBAAAPAAAAAAAAAAEAIAAAACIAAABkcnMv&#10;ZG93bnJldi54bWxQSwECFAAUAAAACACHTuJA483QVgMCAADwAwAADgAAAAAAAAABACAAAAAnAQAA&#10;ZHJzL2Uyb0RvYy54bWxQSwUGAAAAAAYABgBZAQAAnAUAAAAA&#10;">
                  <v:fill on="f" focussize="0,0"/>
                  <v:stroke color="#000000" joinstyle="round" endarrow="block"/>
                  <v:imagedata o:title=""/>
                  <o:lock v:ext="edit" aspectratio="f"/>
                </v:shape>
                <v:rect id="Rectangle 50" o:spid="_x0000_s1026" o:spt="1" style="position:absolute;left:2072640;top:276542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zOdcrVAAAABgEAAA8AAAAAAAAAAQAgAAAAIgAAAGRycy9kb3ducmV2Lnht&#10;bFBLAQIUABQAAAAIAIdO4kD1xtc2NQIAAIsEAAAOAAAAAAAAAAEAIAAAACQBAABkcnMvZTJvRG9j&#10;LnhtbFBLBQYAAAAABgAGAFkBAADL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油水分离罐</w:t>
                        </w:r>
                      </w:p>
                    </w:txbxContent>
                  </v:textbox>
                </v:rect>
                <v:shape id="AutoShape 51" o:spid="_x0000_s1026" o:spt="32" type="#_x0000_t32" style="position:absolute;left:2524760;top:3034665;flip:x;height:226060;width:1270;"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&#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Q3J1wAAAAYBAAAPAAAAAAAAAAEAIAAAACIAAABk&#10;cnMvZG93bnJldi54bWxQSwECFAAUAAAACACHTuJAUujBsgcCAAD7AwAADgAAAAAAAAABACAAAAAm&#10;AQAAZHJzL2Uyb0RvYy54bWxQSwUGAAAAAAYABgBZAQAAnwUAAAAA&#10;">
                  <v:fill on="f" focussize="0,0"/>
                  <v:stroke color="#000000" joinstyle="round" endarrow="block"/>
                  <v:imagedata o:title=""/>
                  <o:lock v:ext="edit" aspectratio="f"/>
                </v:shape>
                <v:rect id="Rectangle 52" o:spid="_x0000_s1026" o:spt="1" style="position:absolute;left:2054225;top:375856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sznXK1QAAAAYBAAAPAAAAAAAAAAEAIAAAACIAAABkcnMvZG93bnJl&#10;di54bWxQSwECFAAUAAAACACHTuJAV1XbeDkCAACLBAAADgAAAAAAAAABACAAAAAkAQAAZHJzL2Uy&#10;b0RvYy54bWxQSwUGAAAAAAYABgBZAQAAzwU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干化池</w:t>
                        </w:r>
                      </w:p>
                    </w:txbxContent>
                  </v:textbox>
                </v:rect>
                <v:shape id="AutoShape 53" o:spid="_x0000_s1026" o:spt="32" type="#_x0000_t32" style="position:absolute;left:2506345;top:3532505;flip:x;height:226060;width:1270;" filled="f" stroked="t" coordsize="21600,21600" o:gfxdata="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PkNydcAAAAGAQAADwAAAAAAAAABACAAAAAiAAAA&#10;ZHJzL2Rvd25yZXYueG1sUEsBAhQAFAAAAAgAh07iQPB6IeAIAgAA+wMAAA4AAAAAAAAAAQAgAAAA&#10;JgEAAGRycy9lMm9Eb2MueG1sUEsFBgAAAAAGAAYAWQEAAKAFAAAAAA==&#10;">
                  <v:fill on="f" focussize="0,0"/>
                  <v:stroke color="#000000" joinstyle="round" endarrow="block"/>
                  <v:imagedata o:title=""/>
                  <o:lock v:ext="edit" aspectratio="f"/>
                </v:shape>
                <v:rect id="Rectangle 54" o:spid="_x0000_s1026" o:spt="1" style="position:absolute;left:3322955;top:3253105;height:276860;width:6292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LM51ytUAAAAGAQAADwAAAAAAAAABACAAAAAiAAAAZHJzL2Rv&#10;d25yZXYueG1sUEsBAhQAFAAAAAgAh07iQL/pp/49AgAAiwQAAA4AAAAAAAAAAQAgAAAAJAEAAGRy&#10;cy9lMm9Eb2MueG1sUEsFBgAAAAAGAAYAWQEAANMFA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蒸发池</w:t>
                        </w:r>
                      </w:p>
                    </w:txbxContent>
                  </v:textbox>
                </v:rect>
                <v:shape id="AutoShape 55" o:spid="_x0000_s1026" o:spt="32" type="#_x0000_t32" style="position:absolute;left:2981325;top:3401695;height:635;width:341630;" filled="f" stroked="t" coordsize="21600,21600" o:gfxdata="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4arv2AAAAAYBAAAPAAAAAAAAAAEAIAAAACIAAABkcnMvZG93&#10;bnJldi54bWxQSwECFAAUAAAACACHTuJA8YxjBwACAADwAwAADgAAAAAAAAABACAAAAAnAQAAZHJz&#10;L2Uyb0RvYy54bWxQSwUGAAAAAAYABgBZAQAAmQUAAAAA&#10;">
                  <v:fill on="f" focussize="0,0"/>
                  <v:stroke color="#000000" joinstyle="round" endarrow="block"/>
                  <v:imagedata o:title=""/>
                  <o:lock v:ext="edit" aspectratio="f"/>
                </v:shape>
                <v:shape id="AutoShape 56" o:spid="_x0000_s1026" o:spt="32" type="#_x0000_t32" style="position:absolute;left:1762760;top:3401060;flip:x;height:635;width:29146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QqKE9MAAAAGAQAADwAAAAAAAAABACAAAAAi&#10;AAAAZHJzL2Rvd25yZXYueG1sUEsBAhQAFAAAAAgAh07iQC405F4PAgAAEgQAAA4AAAAAAAAAAQAg&#10;AAAAIgEAAGRycy9lMm9Eb2MueG1sUEsFBgAAAAAGAAYAWQEAAKMFAAAAAA==&#10;">
                  <v:fill on="f" focussize="0,0"/>
                  <v:stroke color="#000000" joinstyle="round" dashstyle="dash" endarrow="block"/>
                  <v:imagedata o:title=""/>
                  <o:lock v:ext="edit" aspectratio="f"/>
                </v:shape>
                <v:rect id="Rectangle 57" o:spid="_x0000_s1026" o:spt="1" style="position:absolute;left:3183255;top:2627630;height:1598930;width:1579245;" filled="f" stroked="t" coordsize="21600,21600" o:gfxdata="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hNy+2NUAAAAGAQAADwAAAAAAAAABACAAAAAiAAAAZHJzL2Rv&#10;d25yZXYueG1sUEsBAhQAFAAAAAgAh07iQFr+9fk9AgAAcQQAAA4AAAAAAAAAAQAgAAAAJAEAAGRy&#10;cy9lMm9Eb2MueG1sUEsFBgAAAAAGAAYAWQEAANMFAAAAAA==&#10;">
                  <v:fill on="f" focussize="0,0"/>
                  <v:stroke color="#000000" miterlimit="8" joinstyle="miter" dashstyle="dash"/>
                  <v:imagedata o:title=""/>
                  <o:lock v:ext="edit" aspectratio="f"/>
                </v:rect>
                <v:rect id="Rectangle 58" o:spid="_x0000_s1026" o:spt="1" style="position:absolute;left:3223260;top:2712085;height:322580;width:8763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DPntV8QAgAAGQ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固废、噪声</w:t>
                        </w:r>
                      </w:p>
                    </w:txbxContent>
                  </v:textbox>
                </v:rect>
                <v:shape id="AutoShape 59" o:spid="_x0000_s1026" o:spt="32" type="#_x0000_t32" style="position:absolute;left:3652520;top:3011170;flip:y;height:229235;width:63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QqKE9MAAAAGAQAADwAAAAAAAAABACAAAAAi&#10;AAAAZHJzL2Rvd25yZXYueG1sUEsBAhQAFAAAAAgAh07iQGUKXYsPAgAAEgQAAA4AAAAAAAAAAQAg&#10;AAAAIgEAAGRycy9lMm9Eb2MueG1sUEsFBgAAAAAGAAYAWQEAAKMFAAAAAA==&#10;">
                  <v:fill on="f" focussize="0,0"/>
                  <v:stroke color="#000000" joinstyle="round" dashstyle="dash" endarrow="block"/>
                  <v:imagedata o:title=""/>
                  <o:lock v:ext="edit" aspectratio="f"/>
                </v:shape>
                <v:rect id="Rectangle 60" o:spid="_x0000_s1026" o:spt="1" style="position:absolute;left:3876040;top:2627630;height:292100;width:102933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PiriHYAAAABgEAAA8AAAAAAAAA&#10;AQAgAAAAIgAAAGRycy9kb3ducmV2LnhtbFBLAQIUABQAAAAIAIdO4kABEar/EQIAABoEAAAOAAAA&#10;AAAAAAEAIAAAACcBAABkcnMvZTJvRG9jLnhtbFBLBQYAAAAABgAGAFkBAACqBQAAAAA=&#10;">
                  <v:fill on="f" focussize="0,0"/>
                  <v:stroke on="f"/>
                  <v:imagedata o:title=""/>
                  <o:lock v:ext="edit" aspectratio="f"/>
                  <v:textbox>
                    <w:txbxContent>
                      <w:p>
                        <w:pPr>
                          <w:spacing w:line="240" w:lineRule="auto"/>
                          <w:ind w:firstLine="0" w:firstLineChars="0"/>
                          <w:jc w:val="center"/>
                          <w:rPr>
                            <w:sz w:val="21"/>
                          </w:rPr>
                        </w:pPr>
                        <w:r>
                          <w:rPr>
                            <w:rFonts w:hint="eastAsia"/>
                            <w:sz w:val="21"/>
                          </w:rPr>
                          <w:t>蒸发处理站</w:t>
                        </w:r>
                      </w:p>
                    </w:txbxContent>
                  </v:textbox>
                </v:rect>
                <v:rect id="Rectangle 61" o:spid="_x0000_s1026" o:spt="1" style="position:absolute;left:964565;top:2627630;height:292100;width:98425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PiriHYAAAABgEAAA8AAAAAAAAAAQAg&#10;AAAAIgAAAGRycy9kb3ducmV2LnhtbFBLAQIUABQAAAAIAIdO4kA9MBXmDgIAABgEAAAOAAAAAAAA&#10;AAEAIAAAACcBAABkcnMvZTJvRG9jLnhtbFBLBQYAAAAABgAGAFkBAACnBQAAAAA=&#10;">
                  <v:fill on="f" focussize="0,0"/>
                  <v:stroke on="f"/>
                  <v:imagedata o:title=""/>
                  <o:lock v:ext="edit" aspectratio="f"/>
                  <v:textbox>
                    <w:txbxContent>
                      <w:p>
                        <w:pPr>
                          <w:spacing w:line="240" w:lineRule="auto"/>
                          <w:ind w:firstLine="0" w:firstLineChars="0"/>
                          <w:jc w:val="center"/>
                          <w:rPr>
                            <w:sz w:val="21"/>
                          </w:rPr>
                        </w:pPr>
                        <w:r>
                          <w:rPr>
                            <w:rFonts w:hint="eastAsia"/>
                            <w:sz w:val="21"/>
                          </w:rPr>
                          <w:t>净化处理站站站</w:t>
                        </w:r>
                      </w:p>
                    </w:txbxContent>
                  </v:textbox>
                </v:rect>
                <v:shape id="AutoShape 62" o:spid="_x0000_s1026" o:spt="32" type="#_x0000_t32" style="position:absolute;left:1714500;top:1062990;flip:y;height:229235;width:63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QqKE9MAAAAGAQAADwAAAAAAAAABACAAAAAi&#10;AAAAZHJzL2Rvd25yZXYueG1sUEsBAhQAFAAAAAgAh07iQNWsE6gPAgAAEgQAAA4AAAAAAAAAAQAg&#10;AAAAIgEAAGRycy9lMm9Eb2MueG1sUEsFBgAAAAAGAAYAWQEAAKMFAAAAAA==&#10;">
                  <v:fill on="f" focussize="0,0"/>
                  <v:stroke color="#000000" joinstyle="round" dashstyle="dash" endarrow="block"/>
                  <v:imagedata o:title=""/>
                  <o:lock v:ext="edit" aspectratio="f"/>
                </v:shape>
                <v:rect id="Rectangle 63" o:spid="_x0000_s1026" o:spt="1" style="position:absolute;left:1257300;top:3281045;height:248920;width:6731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EfGyWoQAgAAGQ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噪声</w:t>
                        </w:r>
                      </w:p>
                    </w:txbxContent>
                  </v:textbox>
                </v:rect>
                <v:shape id="AutoShape 64" o:spid="_x0000_s1026" o:spt="32" type="#_x0000_t32" style="position:absolute;left:1747520;top:3878580;flip:x;height:635;width:29146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QqKE9MAAAAGAQAADwAAAAAAAAABACAA&#10;AAAiAAAAZHJzL2Rvd25yZXYueG1sUEsBAhQAFAAAAAgAh07iQE3w6kASAgAAEgQAAA4AAAAAAAAA&#10;AQAgAAAAIgEAAGRycy9lMm9Eb2MueG1sUEsFBgAAAAAGAAYAWQEAAKYFAAAAAA==&#10;">
                  <v:fill on="f" focussize="0,0"/>
                  <v:stroke color="#000000" joinstyle="round" dashstyle="dash" endarrow="block"/>
                  <v:imagedata o:title=""/>
                  <o:lock v:ext="edit" aspectratio="f"/>
                </v:shape>
                <v:rect id="Rectangle 65" o:spid="_x0000_s1026" o:spt="1" style="position:absolute;left:1242060;top:3710940;height:296545;width:6731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BsnlaEQAgAAGQ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固废</w:t>
                        </w:r>
                      </w:p>
                    </w:txbxContent>
                  </v:textbox>
                </v:rect>
                <v:rect id="Rectangle 66" o:spid="_x0000_s1026" o:spt="1" style="position:absolute;left:2472055;top:2060575;height:450215;width:100774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PiriHYAAAABgEAAA8AAAAAAAAA&#10;AQAgAAAAIgAAAGRycy9kb3ducmV2LnhtbFBLAQIUABQAAAAIAIdO4kDR04juEQIAABoEAAAOAAAA&#10;AAAAAAEAIAAAACcBAABkcnMvZTJvRG9jLnhtbFBLBQYAAAAABgAGAFkBAACqBQAAAAA=&#10;">
                  <v:fill on="f" focussize="0,0"/>
                  <v:stroke on="f"/>
                  <v:imagedata o:title=""/>
                  <o:lock v:ext="edit" aspectratio="f"/>
                  <v:textbox>
                    <w:txbxContent>
                      <w:p>
                        <w:pPr>
                          <w:spacing w:line="240" w:lineRule="auto"/>
                          <w:ind w:firstLine="0" w:firstLineChars="0"/>
                          <w:jc w:val="center"/>
                          <w:rPr>
                            <w:sz w:val="21"/>
                          </w:rPr>
                        </w:pPr>
                        <w:r>
                          <w:rPr>
                            <w:rFonts w:hint="eastAsia" w:ascii="Times New Roman" w:hAnsi="Times New Roman"/>
                            <w:color w:val="000000"/>
                            <w:sz w:val="21"/>
                          </w:rPr>
                          <w:t>含有Z-6环保型抑制剂</w:t>
                        </w:r>
                        <w:r>
                          <w:rPr>
                            <w:rFonts w:hint="eastAsia"/>
                            <w:sz w:val="21"/>
                          </w:rPr>
                          <w:t>废水</w:t>
                        </w:r>
                      </w:p>
                    </w:txbxContent>
                  </v:textbox>
                </v:rect>
                <v:rect id="Rectangle 67" o:spid="_x0000_s1026" o:spt="1" style="position:absolute;left:2339975;top:925830;height:259715;width:76136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KuIdgAAAAGAQAADwAAAAAAAAAB&#10;ACAAAAAiAAAAZHJzL2Rvd25yZXYueG1sUEsBAhQAFAAAAAgAh07iQGUp8NoQAgAAGAQAAA4AAAAA&#10;AAAAAQAgAAAAJwEAAGRycy9lMm9Eb2MueG1sUEsFBgAAAAAGAAYAWQEAAKkFAAAAAA==&#10;">
                  <v:fill on="f" focussize="0,0"/>
                  <v:stroke on="f"/>
                  <v:imagedata o:title=""/>
                  <o:lock v:ext="edit" aspectratio="f"/>
                  <v:textbox>
                    <w:txbxContent>
                      <w:p>
                        <w:pPr>
                          <w:spacing w:line="240" w:lineRule="auto"/>
                          <w:ind w:firstLine="0" w:firstLineChars="0"/>
                          <w:jc w:val="center"/>
                          <w:rPr>
                            <w:sz w:val="21"/>
                          </w:rPr>
                        </w:pPr>
                        <w:r>
                          <w:rPr>
                            <w:rFonts w:hint="eastAsia"/>
                            <w:sz w:val="21"/>
                          </w:rPr>
                          <w:t>轻烃</w:t>
                        </w:r>
                      </w:p>
                    </w:txbxContent>
                  </v:textbox>
                </v:rect>
                <v:rect id="Rectangle 68" o:spid="_x0000_s1026" o:spt="1" style="position:absolute;left:3550920;top:935355;height:259715;width:761365;"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4q4h2AAAAAYBAAAPAAAAAAAAAAEA&#10;IAAAACIAAABkcnMvZG93bnJldi54bWxQSwECFAAUAAAACACHTuJAwM8J9Q8CAAAYBAAADgAAAAAA&#10;AAABACAAAAAnAQAAZHJzL2Uyb0RvYy54bWxQSwUGAAAAAAYABgBZAQAAqAUAAAAA&#10;">
                  <v:fill on="f" focussize="0,0"/>
                  <v:stroke on="f"/>
                  <v:imagedata o:title=""/>
                  <o:lock v:ext="edit" aspectratio="f"/>
                  <v:textbox>
                    <w:txbxContent>
                      <w:p>
                        <w:pPr>
                          <w:spacing w:line="240" w:lineRule="auto"/>
                          <w:ind w:firstLine="0" w:firstLineChars="0"/>
                          <w:jc w:val="center"/>
                          <w:rPr>
                            <w:sz w:val="21"/>
                          </w:rPr>
                        </w:pPr>
                        <w:r>
                          <w:rPr>
                            <w:rFonts w:hint="eastAsia"/>
                            <w:sz w:val="21"/>
                          </w:rPr>
                          <w:t>轻烃</w:t>
                        </w:r>
                      </w:p>
                    </w:txbxContent>
                  </v:textbox>
                </v:rect>
                <v:rect id="Rectangle 69" o:spid="_x0000_s1026" o:spt="1" style="position:absolute;left:2053590;top:408495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zOdcrVAAAABgEAAA8AAAAAAAAAAQAgAAAAIgAAAGRycy9k&#10;b3ducmV2LnhtbFBLAQIUABQAAAAIAIdO4kB+9O/0PgIAAIsEAAAOAAAAAAAAAAEAIAAAACQBAABk&#10;cnMvZTJvRG9jLnhtbFBLBQYAAAAABgAGAFkBAADUBQ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燃气锅炉</w:t>
                        </w:r>
                      </w:p>
                    </w:txbxContent>
                  </v:textbox>
                </v:rect>
                <v:shape id="AutoShape 70" o:spid="_x0000_s1026" o:spt="32" type="#_x0000_t32" style="position:absolute;left:1746885;top:4204970;flip:x;height:635;width:29146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FCooT0wAAAAYBAAAPAAAAAAAAAAEAIAAA&#10;ACIAAABkcnMvZG93bnJldi54bWxQSwECFAAUAAAACACHTuJALVIA+xECAAASBAAADgAAAAAAAAAB&#10;ACAAAAAiAQAAZHJzL2Uyb0RvYy54bWxQSwUGAAAAAAYABgBZAQAApQUAAAAA&#10;">
                  <v:fill on="f" focussize="0,0"/>
                  <v:stroke color="#000000" joinstyle="round" dashstyle="dash" endarrow="block"/>
                  <v:imagedata o:title=""/>
                  <o:lock v:ext="edit" aspectratio="f"/>
                </v:shape>
                <v:rect id="Rectangle 71" o:spid="_x0000_s1026" o:spt="1" style="position:absolute;left:1241425;top:4084955;height:248920;width:6731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PiriHYAAAABgEAAA8AAAAAAAAA&#10;AQAgAAAAIgAAAGRycy9kb3ducmV2LnhtbFBLAQIUABQAAAAIAIdO4kCJJ4ABEQIAABkEAAAOAAAA&#10;AAAAAAEAIAAAACcBAABkcnMvZTJvRG9jLnhtbFBLBQYAAAAABgAGAFkBAACqBQAAAAA=&#10;">
                  <v:fill on="f" focussize="0,0"/>
                  <v:stroke on="f"/>
                  <v:imagedata o:title=""/>
                  <o:lock v:ext="edit" aspectratio="f"/>
                  <v:textbox>
                    <w:txbxContent>
                      <w:p>
                        <w:pPr>
                          <w:spacing w:line="240" w:lineRule="auto"/>
                          <w:ind w:firstLine="0" w:firstLineChars="0"/>
                          <w:jc w:val="center"/>
                          <w:rPr>
                            <w:sz w:val="21"/>
                          </w:rPr>
                        </w:pPr>
                        <w:r>
                          <w:rPr>
                            <w:rFonts w:hint="eastAsia"/>
                            <w:sz w:val="21"/>
                          </w:rPr>
                          <w:t>废气</w:t>
                        </w:r>
                      </w:p>
                    </w:txbxContent>
                  </v:textbox>
                </v:rect>
                <v:rect id="Rectangle 73" o:spid="_x0000_s1026" o:spt="1" style="position:absolute;left:3723640;top:3815715;height:269240;width:908685;" fillcolor="#FFFFFF" filled="t" stroked="t" coordsize="21600,21600" o:gfxdata="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sznXK1QAAAAYBAAAPAAAAAAAAAAEAIAAAACIAAABkcnMvZG93bnJl&#10;di54bWxQSwECFAAUAAAACACHTuJAO8FuVzkCAACLBAAADgAAAAAAAAABACAAAAAkAQAAZHJzL2Uy&#10;b0RvYy54bWxQSwUGAAAAAAYABgBZAQAAzwUAAAAA&#10;">
                  <v:fill on="t" focussize="0,0"/>
                  <v:stroke color="#000000" miterlimit="8" joinstyle="miter"/>
                  <v:imagedata o:title=""/>
                  <o:lock v:ext="edit" aspectratio="f"/>
                  <v:textbox>
                    <w:txbxContent>
                      <w:p>
                        <w:pPr>
                          <w:spacing w:line="240" w:lineRule="auto"/>
                          <w:ind w:firstLine="0" w:firstLineChars="0"/>
                          <w:jc w:val="center"/>
                          <w:rPr>
                            <w:sz w:val="21"/>
                          </w:rPr>
                        </w:pPr>
                        <w:r>
                          <w:rPr>
                            <w:rFonts w:hint="eastAsia"/>
                            <w:sz w:val="21"/>
                          </w:rPr>
                          <w:t>燃气锅炉</w:t>
                        </w:r>
                      </w:p>
                    </w:txbxContent>
                  </v:textbox>
                </v:rect>
                <v:shape id="AutoShape 74" o:spid="_x0000_s1026" o:spt="32" type="#_x0000_t32" style="position:absolute;left:4264660;top:3603625;flip:y;height:212090;width:635;" filled="f" stroked="t" coordsize="21600,21600" o:gfxdata="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UKihPTAAAABgEAAA8AAAAAAAAAAQAgAAAA&#10;IgAAAGRycy9kb3ducmV2LnhtbFBLAQIUABQAAAAIAIdO4kBWgnibEAIAABIEAAAOAAAAAAAAAAEA&#10;IAAAACIBAABkcnMvZTJvRG9jLnhtbFBLBQYAAAAABgAGAFkBAACkBQAAAAA=&#10;">
                  <v:fill on="f" focussize="0,0"/>
                  <v:stroke color="#000000" joinstyle="round" dashstyle="dash" endarrow="block"/>
                  <v:imagedata o:title=""/>
                  <o:lock v:ext="edit" aspectratio="f"/>
                </v:shape>
                <v:rect id="Rectangle 75" o:spid="_x0000_s1026" o:spt="1" style="position:absolute;left:3959225;top:3354705;height:248920;width:673100;" filled="f" stroked="f" coordsize="21600,21600" o:gfxdata="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KuIdgAAAAGAQAADwAAAAAA&#10;AAABACAAAAAiAAAAZHJzL2Rvd25yZXYueG1sUEsBAhQAFAAAAAgAh07iQKUeGbcTAgAAGQQAAA4A&#10;AAAAAAAAAQAgAAAAJwEAAGRycy9lMm9Eb2MueG1sUEsFBgAAAAAGAAYAWQEAAKwFAAAAAA==&#10;">
                  <v:fill on="f" focussize="0,0"/>
                  <v:stroke on="f"/>
                  <v:imagedata o:title=""/>
                  <o:lock v:ext="edit" aspectratio="f"/>
                  <v:textbox>
                    <w:txbxContent>
                      <w:p>
                        <w:pPr>
                          <w:spacing w:line="240" w:lineRule="auto"/>
                          <w:ind w:firstLine="0" w:firstLineChars="0"/>
                          <w:jc w:val="center"/>
                          <w:rPr>
                            <w:sz w:val="21"/>
                          </w:rPr>
                        </w:pPr>
                        <w:r>
                          <w:rPr>
                            <w:rFonts w:hint="eastAsia"/>
                            <w:sz w:val="21"/>
                          </w:rPr>
                          <w:t>废气</w:t>
                        </w:r>
                      </w:p>
                    </w:txbxContent>
                  </v:textbox>
                </v:rect>
                <w10:wrap type="none"/>
                <w10:anchorlock/>
              </v:group>
            </w:pict>
          </mc:Fallback>
        </mc:AlternateContent>
      </w:r>
    </w:p>
    <w:p>
      <w:pPr>
        <w:snapToGrid w:val="0"/>
        <w:ind w:firstLine="0" w:firstLineChars="0"/>
        <w:jc w:val="center"/>
        <w:rPr>
          <w:rFonts w:ascii="Times New Roman" w:hAnsi="Times New Roman"/>
        </w:rPr>
      </w:pPr>
      <w:r>
        <w:rPr>
          <w:rFonts w:ascii="Times New Roman" w:hAnsi="Times New Roman"/>
          <w:b/>
        </w:rPr>
        <w:t>图3.4-2 煤成气开发工艺流程及产污环节示意图</w:t>
      </w:r>
    </w:p>
    <w:p>
      <w:pPr>
        <w:snapToGrid w:val="0"/>
        <w:ind w:firstLine="480"/>
        <w:jc w:val="center"/>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spacing w:before="156" w:beforeLines="50" w:after="156" w:afterLines="50"/>
        <w:ind w:firstLine="0" w:firstLineChars="0"/>
        <w:outlineLvl w:val="1"/>
        <w:rPr>
          <w:rFonts w:ascii="Times New Roman" w:hAnsi="Times New Roman"/>
          <w:b/>
          <w:sz w:val="30"/>
          <w:szCs w:val="30"/>
        </w:rPr>
      </w:pPr>
      <w:bookmarkStart w:id="48" w:name="_Toc524624583"/>
      <w:r>
        <w:rPr>
          <w:rFonts w:ascii="Times New Roman" w:hAnsi="Times New Roman"/>
          <w:b/>
          <w:sz w:val="30"/>
          <w:szCs w:val="30"/>
        </w:rPr>
        <w:t>3.5 项目环境影响分析</w:t>
      </w:r>
      <w:bookmarkEnd w:id="48"/>
    </w:p>
    <w:p>
      <w:pPr>
        <w:snapToGrid w:val="0"/>
        <w:ind w:firstLine="480"/>
        <w:rPr>
          <w:rFonts w:ascii="Times New Roman" w:hAnsi="Times New Roman"/>
          <w:szCs w:val="24"/>
        </w:rPr>
      </w:pPr>
      <w:r>
        <w:rPr>
          <w:rFonts w:ascii="Times New Roman" w:hAnsi="Times New Roman"/>
          <w:szCs w:val="24"/>
        </w:rPr>
        <w:t>煤成气开发在不同阶段和工艺过程中，其对环境的影响也不同，大致概括为两类：一是生态环境影响，二是环境污染。生态环境影响主要来自各种占地、人为活动导致的景观变化、土地利用类型的改变，以及直接影响野生动物的栖息环境，使原先相对完整的栖息地破碎化和岛屿化，连通程度下降，对物种的扩散和迁徙产生阻碍和限制。环境污染源主要是在钻井、压裂、采气、煤成气集输与处理以及配套的给排水、道路建设、通讯等工程建设和运营期间产生的环境污染，包括水、大气、固体废物和噪声污染等。</w:t>
      </w:r>
    </w:p>
    <w:p>
      <w:pPr>
        <w:snapToGrid w:val="0"/>
        <w:ind w:firstLine="480"/>
        <w:rPr>
          <w:rFonts w:ascii="Times New Roman" w:hAnsi="Times New Roman"/>
          <w:b/>
          <w:sz w:val="30"/>
          <w:szCs w:val="30"/>
        </w:rPr>
      </w:pPr>
      <w:r>
        <w:rPr>
          <w:rFonts w:ascii="Times New Roman" w:hAnsi="Times New Roman"/>
          <w:szCs w:val="24"/>
        </w:rPr>
        <w:t>煤成气开发过程可分为建设期、运营期和退役闭井期三个时期。</w:t>
      </w:r>
    </w:p>
    <w:p>
      <w:pPr>
        <w:ind w:firstLine="0" w:firstLineChars="0"/>
        <w:outlineLvl w:val="2"/>
        <w:rPr>
          <w:rFonts w:ascii="Times New Roman" w:hAnsi="Times New Roman"/>
          <w:b/>
          <w:sz w:val="28"/>
          <w:szCs w:val="28"/>
        </w:rPr>
      </w:pPr>
      <w:bookmarkStart w:id="49" w:name="_Toc524624584"/>
      <w:r>
        <w:rPr>
          <w:rFonts w:ascii="Times New Roman" w:hAnsi="Times New Roman"/>
          <w:b/>
          <w:sz w:val="28"/>
          <w:szCs w:val="28"/>
        </w:rPr>
        <w:t>3.5.1 建设期环境影响分析</w:t>
      </w:r>
      <w:bookmarkEnd w:id="49"/>
    </w:p>
    <w:p>
      <w:pPr>
        <w:snapToGrid w:val="0"/>
        <w:ind w:firstLine="480"/>
        <w:rPr>
          <w:rFonts w:ascii="Times New Roman" w:hAnsi="Times New Roman"/>
          <w:szCs w:val="24"/>
        </w:rPr>
      </w:pPr>
      <w:r>
        <w:rPr>
          <w:rFonts w:ascii="Times New Roman" w:hAnsi="Times New Roman"/>
          <w:szCs w:val="24"/>
        </w:rPr>
        <w:t>本项目的建设期主要包括地面工程（包括集气站建设、办公生活区生活废水处理站建设和钻前工程）、开发井建设工程（包括钻井固井工程、压裂工程和试气工程）以及输气管线建设工程。</w:t>
      </w:r>
    </w:p>
    <w:p>
      <w:pPr>
        <w:snapToGrid w:val="0"/>
        <w:ind w:firstLine="0" w:firstLineChars="0"/>
        <w:outlineLvl w:val="3"/>
        <w:rPr>
          <w:rFonts w:ascii="Times New Roman" w:hAnsi="Times New Roman"/>
          <w:b/>
          <w:szCs w:val="24"/>
        </w:rPr>
      </w:pPr>
      <w:r>
        <w:rPr>
          <w:rFonts w:ascii="Times New Roman" w:hAnsi="Times New Roman"/>
          <w:b/>
          <w:szCs w:val="24"/>
        </w:rPr>
        <w:t>3.5.1.1 地面工程和输气管线建设环境影响分析</w:t>
      </w:r>
    </w:p>
    <w:p>
      <w:pPr>
        <w:snapToGrid w:val="0"/>
        <w:ind w:firstLine="480"/>
        <w:rPr>
          <w:rFonts w:ascii="Times New Roman" w:hAnsi="Times New Roman"/>
          <w:szCs w:val="24"/>
        </w:rPr>
      </w:pPr>
      <w:r>
        <w:rPr>
          <w:rFonts w:ascii="Times New Roman" w:hAnsi="Times New Roman"/>
          <w:szCs w:val="24"/>
        </w:rPr>
        <w:t>地面工程主要包括平整场地、开挖土方、设备安装、道路修建等，输气管线建设主要为管线沿线的开挖和管线铺设。地面工程和输气管线建设期间主要污染源为施工扬尘、噪声和弃土。</w:t>
      </w:r>
    </w:p>
    <w:p>
      <w:pPr>
        <w:ind w:firstLine="480"/>
        <w:rPr>
          <w:rFonts w:ascii="Times New Roman" w:hAnsi="Times New Roman"/>
          <w:szCs w:val="24"/>
        </w:rPr>
      </w:pPr>
      <w:r>
        <w:rPr>
          <w:rFonts w:ascii="Times New Roman" w:hAnsi="Times New Roman"/>
          <w:szCs w:val="24"/>
        </w:rPr>
        <w:t>（1）扬尘</w:t>
      </w:r>
    </w:p>
    <w:p>
      <w:pPr>
        <w:ind w:firstLine="480"/>
        <w:rPr>
          <w:rFonts w:ascii="Times New Roman" w:hAnsi="Times New Roman"/>
          <w:szCs w:val="24"/>
        </w:rPr>
      </w:pPr>
      <w:r>
        <w:rPr>
          <w:rFonts w:ascii="Times New Roman" w:hAnsi="Times New Roman"/>
          <w:szCs w:val="24"/>
        </w:rPr>
        <w:t>地面工程和输气管线建设由于土方开挖和露天堆放，有可能在风速较大时起尘，使空气中悬浮颗粒增加，给周围环境带来一定不利影响。</w:t>
      </w:r>
    </w:p>
    <w:p>
      <w:pPr>
        <w:snapToGrid w:val="0"/>
        <w:ind w:firstLine="480"/>
        <w:rPr>
          <w:rFonts w:ascii="Times New Roman" w:hAnsi="Times New Roman"/>
          <w:szCs w:val="24"/>
        </w:rPr>
      </w:pPr>
      <w:r>
        <w:rPr>
          <w:rFonts w:ascii="Times New Roman" w:hAnsi="Times New Roman"/>
          <w:szCs w:val="24"/>
        </w:rPr>
        <w:t>扬尘产生几率和强度与土方的含水率、土壤粒度、风向、风速、湿度及土方回填时间等密切相关，据资料介绍，当灰尘含水率为0.5%时，其启动风速为4.0m/s。根据当地条件分析，一般情况下，施工过程中土方的挖掘和回填不会形成大的扬尘。但春季由于风力相对较大，有可能在小范围内形成扬尘，对周围空气质量造成不利影响。据类比资料调查，在风速为4.0m/s时，施工现场下风向不同距离的扬尘浓度见表3.5-1。</w:t>
      </w: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表3.5-1 井场下风向不同距离的扬尘浓度单位：mg/m</w:t>
      </w:r>
      <w:r>
        <w:rPr>
          <w:rFonts w:ascii="Times New Roman" w:hAnsi="Times New Roman"/>
          <w:b/>
          <w:bCs/>
          <w:sz w:val="21"/>
          <w:vertAlign w:val="superscript"/>
        </w:rPr>
        <w:t>3</w:t>
      </w:r>
    </w:p>
    <w:tbl>
      <w:tblPr>
        <w:tblStyle w:val="18"/>
        <w:tblW w:w="5000" w:type="pct"/>
        <w:tblInd w:w="0" w:type="dxa"/>
        <w:tblBorders>
          <w:top w:val="double" w:color="auto" w:sz="2" w:space="0"/>
          <w:left w:val="double" w:color="auto" w:sz="2" w:space="0"/>
          <w:bottom w:val="double" w:color="auto" w:sz="2" w:space="0"/>
          <w:right w:val="doub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1694"/>
        <w:gridCol w:w="1316"/>
        <w:gridCol w:w="1379"/>
        <w:gridCol w:w="1379"/>
        <w:gridCol w:w="1379"/>
        <w:gridCol w:w="1375"/>
      </w:tblGrid>
      <w:tr>
        <w:tblPrEx>
          <w:tblBorders>
            <w:top w:val="double" w:color="auto" w:sz="2" w:space="0"/>
            <w:left w:val="double" w:color="auto" w:sz="2" w:space="0"/>
            <w:bottom w:val="double" w:color="auto" w:sz="2" w:space="0"/>
            <w:right w:val="double" w:color="auto" w:sz="2" w:space="0"/>
            <w:insideH w:val="single" w:color="auto" w:sz="6" w:space="0"/>
            <w:insideV w:val="single" w:color="auto" w:sz="6" w:space="0"/>
          </w:tblBorders>
          <w:tblCellMar>
            <w:top w:w="0" w:type="dxa"/>
            <w:left w:w="108" w:type="dxa"/>
            <w:bottom w:w="0" w:type="dxa"/>
            <w:right w:w="108" w:type="dxa"/>
          </w:tblCellMar>
        </w:tblPrEx>
        <w:trPr>
          <w:trHeight w:val="69" w:hRule="atLeast"/>
        </w:trPr>
        <w:tc>
          <w:tcPr>
            <w:tcW w:w="994" w:type="pct"/>
            <w:tcBorders>
              <w:top w:val="single" w:color="auto" w:sz="6" w:space="0"/>
              <w:left w:val="single" w:color="auto" w:sz="6" w:space="0"/>
              <w:bottom w:val="single" w:color="auto" w:sz="6" w:space="0"/>
              <w:tl2br w:val="single" w:color="000000"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距离</w:t>
            </w:r>
          </w:p>
          <w:p>
            <w:pPr>
              <w:spacing w:line="240" w:lineRule="auto"/>
              <w:ind w:firstLine="0" w:firstLineChars="0"/>
              <w:jc w:val="center"/>
              <w:rPr>
                <w:rFonts w:ascii="Times New Roman" w:hAnsi="Times New Roman"/>
                <w:sz w:val="21"/>
              </w:rPr>
            </w:pPr>
            <w:r>
              <w:rPr>
                <w:rFonts w:ascii="Times New Roman" w:hAnsi="Times New Roman"/>
                <w:sz w:val="21"/>
              </w:rPr>
              <w:t>污染物</w:t>
            </w:r>
          </w:p>
        </w:tc>
        <w:tc>
          <w:tcPr>
            <w:tcW w:w="772"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1m</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25m</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50m</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80m</w:t>
            </w:r>
          </w:p>
        </w:tc>
        <w:tc>
          <w:tcPr>
            <w:tcW w:w="807" w:type="pct"/>
            <w:tcBorders>
              <w:top w:val="single" w:color="auto" w:sz="6" w:space="0"/>
              <w:bottom w:val="single" w:color="auto" w:sz="6" w:space="0"/>
              <w:right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150m</w:t>
            </w:r>
          </w:p>
        </w:tc>
      </w:tr>
      <w:tr>
        <w:tblPrEx>
          <w:tblBorders>
            <w:top w:val="double" w:color="auto" w:sz="2" w:space="0"/>
            <w:left w:val="double" w:color="auto" w:sz="2" w:space="0"/>
            <w:bottom w:val="double" w:color="auto" w:sz="2" w:space="0"/>
            <w:right w:val="double" w:color="auto" w:sz="2" w:space="0"/>
            <w:insideH w:val="single" w:color="auto" w:sz="6" w:space="0"/>
            <w:insideV w:val="single" w:color="auto" w:sz="6" w:space="0"/>
          </w:tblBorders>
          <w:tblCellMar>
            <w:top w:w="0" w:type="dxa"/>
            <w:left w:w="108" w:type="dxa"/>
            <w:bottom w:w="0" w:type="dxa"/>
            <w:right w:w="108" w:type="dxa"/>
          </w:tblCellMar>
        </w:tblPrEx>
        <w:trPr>
          <w:trHeight w:val="64" w:hRule="atLeast"/>
        </w:trPr>
        <w:tc>
          <w:tcPr>
            <w:tcW w:w="994" w:type="pct"/>
            <w:tcBorders>
              <w:top w:val="single" w:color="auto" w:sz="6" w:space="0"/>
              <w:left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TSP</w:t>
            </w:r>
          </w:p>
        </w:tc>
        <w:tc>
          <w:tcPr>
            <w:tcW w:w="772"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3.744</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1.630</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0.785</w:t>
            </w:r>
          </w:p>
        </w:tc>
        <w:tc>
          <w:tcPr>
            <w:tcW w:w="809" w:type="pct"/>
            <w:tcBorders>
              <w:top w:val="single" w:color="auto" w:sz="6" w:space="0"/>
              <w:bottom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0.496</w:t>
            </w:r>
          </w:p>
        </w:tc>
        <w:tc>
          <w:tcPr>
            <w:tcW w:w="807" w:type="pct"/>
            <w:tcBorders>
              <w:top w:val="single" w:color="auto" w:sz="6" w:space="0"/>
              <w:bottom w:val="single" w:color="auto" w:sz="6" w:space="0"/>
              <w:right w:val="single" w:color="auto" w:sz="6"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0.246</w:t>
            </w:r>
          </w:p>
        </w:tc>
      </w:tr>
    </w:tbl>
    <w:p>
      <w:pPr>
        <w:snapToGrid w:val="0"/>
        <w:spacing w:before="156" w:beforeLines="50"/>
        <w:ind w:firstLine="480"/>
        <w:rPr>
          <w:rFonts w:ascii="Times New Roman" w:hAnsi="Times New Roman"/>
          <w:szCs w:val="24"/>
        </w:rPr>
      </w:pPr>
      <w:r>
        <w:rPr>
          <w:rFonts w:ascii="Times New Roman" w:hAnsi="Times New Roman"/>
          <w:szCs w:val="24"/>
        </w:rPr>
        <w:t>（2）噪声</w:t>
      </w:r>
    </w:p>
    <w:p>
      <w:pPr>
        <w:ind w:firstLine="480"/>
        <w:rPr>
          <w:rFonts w:ascii="Times New Roman" w:hAnsi="Times New Roman"/>
          <w:szCs w:val="24"/>
        </w:rPr>
      </w:pPr>
      <w:r>
        <w:rPr>
          <w:rFonts w:ascii="Times New Roman" w:hAnsi="Times New Roman"/>
          <w:szCs w:val="24"/>
        </w:rPr>
        <w:t>地面工程和输气管线建设期间主要有挖掘机、推土机、电焊机、轮式装载车等机械设备产生的噪声。主要噪声源见表3.5-2</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表3.5-2 钻前建设期间噪声源</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7"/>
        <w:gridCol w:w="2137"/>
        <w:gridCol w:w="2623"/>
        <w:gridCol w:w="1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序号</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噪声源</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声级dB（A）</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1</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挖掘机</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83</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2</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推土机</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86</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电焊机</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85</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4</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轮式装载车</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r>
    </w:tbl>
    <w:p>
      <w:pPr>
        <w:spacing w:before="156" w:beforeLines="50"/>
        <w:ind w:firstLine="480"/>
        <w:rPr>
          <w:rFonts w:ascii="Times New Roman" w:hAnsi="Times New Roman"/>
          <w:szCs w:val="24"/>
        </w:rPr>
      </w:pPr>
      <w:r>
        <w:rPr>
          <w:rFonts w:ascii="Times New Roman" w:hAnsi="Times New Roman"/>
          <w:szCs w:val="24"/>
        </w:rPr>
        <w:t>（3）土石方</w:t>
      </w:r>
    </w:p>
    <w:p>
      <w:pPr>
        <w:ind w:firstLine="480"/>
        <w:rPr>
          <w:rFonts w:ascii="Times New Roman" w:hAnsi="Times New Roman"/>
          <w:szCs w:val="24"/>
        </w:rPr>
      </w:pPr>
      <w:r>
        <w:rPr>
          <w:rFonts w:ascii="Times New Roman" w:hAnsi="Times New Roman"/>
          <w:szCs w:val="24"/>
        </w:rPr>
        <w:t>钻前工程弃土主要为泥浆池开挖产生的弃土，各开井场泥浆池体积见表3.5-3，共产生弃土</w:t>
      </w:r>
      <w:r>
        <w:rPr>
          <w:rFonts w:hint="eastAsia" w:ascii="Times New Roman" w:hAnsi="Times New Roman"/>
          <w:szCs w:val="24"/>
        </w:rPr>
        <w:t>6000</w:t>
      </w:r>
      <w:r>
        <w:rPr>
          <w:rFonts w:ascii="Times New Roman" w:hAnsi="Times New Roman"/>
          <w:szCs w:val="24"/>
        </w:rPr>
        <w:t>m</w:t>
      </w:r>
      <w:r>
        <w:rPr>
          <w:rFonts w:ascii="Times New Roman" w:hAnsi="Times New Roman"/>
          <w:szCs w:val="24"/>
          <w:vertAlign w:val="superscript"/>
        </w:rPr>
        <w:t>3</w:t>
      </w:r>
      <w:r>
        <w:rPr>
          <w:rFonts w:hint="eastAsia" w:ascii="Times New Roman" w:hAnsi="Times New Roman"/>
          <w:szCs w:val="24"/>
        </w:rPr>
        <w:t>，待勘探结束后，全部用于回填泥浆池</w:t>
      </w:r>
      <w:r>
        <w:rPr>
          <w:rFonts w:ascii="Times New Roman" w:hAnsi="Times New Roman"/>
          <w:szCs w:val="24"/>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表3.5-3  井场泥浆池体积</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tcPr>
          <w:p>
            <w:pPr>
              <w:spacing w:line="240" w:lineRule="auto"/>
              <w:ind w:firstLine="0" w:firstLineChars="0"/>
              <w:jc w:val="center"/>
              <w:rPr>
                <w:rFonts w:ascii="Times New Roman" w:hAnsi="Times New Roman"/>
                <w:sz w:val="21"/>
              </w:rPr>
            </w:pPr>
            <w:r>
              <w:rPr>
                <w:rFonts w:ascii="Times New Roman" w:hAnsi="Times New Roman"/>
                <w:sz w:val="21"/>
              </w:rPr>
              <w:t>井场</w:t>
            </w: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开发井</w:t>
            </w:r>
          </w:p>
        </w:tc>
        <w:tc>
          <w:tcPr>
            <w:tcW w:w="1666" w:type="pct"/>
          </w:tcPr>
          <w:p>
            <w:pPr>
              <w:spacing w:line="240" w:lineRule="auto"/>
              <w:ind w:firstLine="0" w:firstLineChars="0"/>
              <w:jc w:val="center"/>
              <w:rPr>
                <w:rFonts w:ascii="Times New Roman" w:hAnsi="Times New Roman"/>
                <w:sz w:val="21"/>
              </w:rPr>
            </w:pPr>
            <w:r>
              <w:rPr>
                <w:rFonts w:ascii="Times New Roman" w:hAnsi="Times New Roman"/>
                <w:sz w:val="21"/>
              </w:rPr>
              <w:t>泥浆池体积（m</w:t>
            </w:r>
            <w:r>
              <w:rPr>
                <w:rFonts w:ascii="Times New Roman" w:hAnsi="Times New Roman"/>
                <w:sz w:val="21"/>
                <w:vertAlign w:val="superscript"/>
              </w:rPr>
              <w:t>3</w:t>
            </w:r>
            <w:r>
              <w:rPr>
                <w:rFonts w:ascii="Times New Roman" w:hAnsi="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LX-101 </w:t>
            </w:r>
          </w:p>
        </w:tc>
        <w:tc>
          <w:tcPr>
            <w:tcW w:w="1667" w:type="pct"/>
            <w:vAlign w:val="center"/>
          </w:tcPr>
          <w:p>
            <w:pPr>
              <w:widowControl/>
              <w:spacing w:line="240" w:lineRule="auto"/>
              <w:ind w:firstLine="0" w:firstLineChars="0"/>
              <w:jc w:val="center"/>
              <w:rPr>
                <w:rFonts w:ascii="Times New Roman" w:hAnsi="Times New Roman"/>
                <w:sz w:val="21"/>
              </w:rPr>
            </w:pPr>
            <w:r>
              <w:rPr>
                <w:rFonts w:ascii="Times New Roman" w:hAnsi="Times New Roman"/>
                <w:sz w:val="21"/>
              </w:rPr>
              <w:t>LX-101-5H</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Merge w:val="continue"/>
            <w:vAlign w:val="center"/>
          </w:tcPr>
          <w:p>
            <w:pPr>
              <w:spacing w:line="240" w:lineRule="auto"/>
              <w:ind w:firstLine="0" w:firstLineChars="0"/>
              <w:jc w:val="center"/>
              <w:rPr>
                <w:rFonts w:ascii="Times New Roman" w:hAnsi="Times New Roman"/>
                <w:sz w:val="21"/>
              </w:rPr>
            </w:pP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LX-101-6H</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LX-102</w:t>
            </w: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LX-102-5H</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LX-104</w:t>
            </w: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LX-104-9D</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w:t>
            </w:r>
            <w:r>
              <w:rPr>
                <w:rFonts w:hint="eastAsia" w:ascii="Times New Roman" w:hAnsi="Times New Roman"/>
                <w:sz w:val="21"/>
              </w:rPr>
              <w:t>05</w:t>
            </w: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LX-105-4D</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LX-106</w:t>
            </w:r>
          </w:p>
        </w:tc>
        <w:tc>
          <w:tcPr>
            <w:tcW w:w="16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LX-106-1D</w:t>
            </w:r>
          </w:p>
        </w:tc>
        <w:tc>
          <w:tcPr>
            <w:tcW w:w="1666"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1100</w:t>
            </w:r>
          </w:p>
        </w:tc>
      </w:tr>
    </w:tbl>
    <w:p>
      <w:pPr>
        <w:spacing w:before="156" w:beforeLines="50"/>
        <w:ind w:firstLine="480"/>
        <w:rPr>
          <w:rFonts w:ascii="Times New Roman" w:hAnsi="Times New Roman"/>
          <w:szCs w:val="24"/>
        </w:rPr>
      </w:pPr>
      <w:r>
        <w:rPr>
          <w:rFonts w:ascii="Times New Roman" w:hAnsi="Times New Roman"/>
          <w:szCs w:val="24"/>
        </w:rPr>
        <w:t>本项目管线包括输气管线和废水管线，输气管线直径为8cm，废水管线直径为</w:t>
      </w:r>
      <w:r>
        <w:rPr>
          <w:rFonts w:hint="eastAsia" w:ascii="Times New Roman" w:hAnsi="Times New Roman"/>
          <w:szCs w:val="24"/>
        </w:rPr>
        <w:t>73</w:t>
      </w:r>
      <w:r>
        <w:rPr>
          <w:rFonts w:ascii="Times New Roman" w:hAnsi="Times New Roman"/>
          <w:szCs w:val="24"/>
        </w:rPr>
        <w:t>cm，管沟开挖深度为</w:t>
      </w:r>
      <w:r>
        <w:rPr>
          <w:rFonts w:hint="eastAsia" w:ascii="Times New Roman" w:hAnsi="Times New Roman"/>
          <w:szCs w:val="24"/>
        </w:rPr>
        <w:t>1.5</w:t>
      </w:r>
      <w:r>
        <w:rPr>
          <w:rFonts w:ascii="Times New Roman" w:hAnsi="Times New Roman"/>
          <w:szCs w:val="24"/>
        </w:rPr>
        <w:t>m，宽度为</w:t>
      </w:r>
      <w:r>
        <w:rPr>
          <w:rFonts w:hint="eastAsia" w:ascii="Times New Roman" w:hAnsi="Times New Roman"/>
          <w:szCs w:val="24"/>
        </w:rPr>
        <w:t>1.1</w:t>
      </w:r>
      <w:r>
        <w:rPr>
          <w:rFonts w:ascii="Times New Roman" w:hAnsi="Times New Roman"/>
          <w:szCs w:val="24"/>
        </w:rPr>
        <w:t>m，开挖土石方量为</w:t>
      </w:r>
      <w:r>
        <w:rPr>
          <w:rFonts w:hint="eastAsia" w:ascii="Times New Roman" w:hAnsi="Times New Roman"/>
          <w:szCs w:val="24"/>
        </w:rPr>
        <w:t>3828</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，待管线铺设好后全部回填，产生弃土</w:t>
      </w:r>
      <w:r>
        <w:rPr>
          <w:rFonts w:hint="eastAsia" w:ascii="Times New Roman" w:hAnsi="Times New Roman"/>
          <w:szCs w:val="24"/>
        </w:rPr>
        <w:t>144m</w:t>
      </w:r>
      <w:r>
        <w:rPr>
          <w:rFonts w:hint="eastAsia" w:ascii="Times New Roman" w:hAnsi="Times New Roman"/>
          <w:szCs w:val="24"/>
          <w:vertAlign w:val="superscript"/>
        </w:rPr>
        <w:t>3</w:t>
      </w:r>
      <w:r>
        <w:rPr>
          <w:rFonts w:hint="eastAsia" w:ascii="Times New Roman" w:hAnsi="Times New Roman"/>
          <w:szCs w:val="24"/>
        </w:rPr>
        <w:t>，全部用于集气站场地平整，不外排</w:t>
      </w:r>
      <w:r>
        <w:rPr>
          <w:rFonts w:ascii="Times New Roman" w:hAnsi="Times New Roman"/>
          <w:szCs w:val="24"/>
        </w:rPr>
        <w:t>。</w:t>
      </w:r>
    </w:p>
    <w:p>
      <w:pPr>
        <w:ind w:firstLine="480"/>
        <w:rPr>
          <w:rFonts w:ascii="Times New Roman" w:hAnsi="Times New Roman"/>
          <w:szCs w:val="24"/>
        </w:rPr>
      </w:pPr>
      <w:r>
        <w:rPr>
          <w:rFonts w:ascii="Times New Roman" w:hAnsi="Times New Roman"/>
          <w:szCs w:val="24"/>
        </w:rPr>
        <w:t>（4）生活废水</w:t>
      </w:r>
    </w:p>
    <w:p>
      <w:pPr>
        <w:ind w:firstLine="480"/>
        <w:rPr>
          <w:rFonts w:ascii="Times New Roman" w:hAnsi="Times New Roman"/>
          <w:szCs w:val="24"/>
        </w:rPr>
      </w:pPr>
      <w:r>
        <w:rPr>
          <w:rFonts w:ascii="Times New Roman" w:hAnsi="Times New Roman"/>
          <w:szCs w:val="24"/>
        </w:rPr>
        <w:t>生活废水主要来源集气站建设施工人员生活所产废水。生活用水量为80L/人•天，生活废水按用水量80%计算，集气站建设施工人员为</w:t>
      </w:r>
      <w:r>
        <w:rPr>
          <w:rFonts w:hint="eastAsia" w:ascii="Times New Roman" w:hAnsi="Times New Roman"/>
          <w:szCs w:val="24"/>
        </w:rPr>
        <w:t>30</w:t>
      </w:r>
      <w:r>
        <w:rPr>
          <w:rFonts w:ascii="Times New Roman" w:hAnsi="Times New Roman"/>
          <w:szCs w:val="24"/>
        </w:rPr>
        <w:t>人，则生活用水量为</w:t>
      </w:r>
      <w:r>
        <w:rPr>
          <w:rFonts w:hint="eastAsia" w:ascii="Times New Roman" w:hAnsi="Times New Roman"/>
          <w:szCs w:val="24"/>
        </w:rPr>
        <w:t>2.4</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/d，生活废水排放量为</w:t>
      </w:r>
      <w:r>
        <w:rPr>
          <w:rFonts w:hint="eastAsia" w:ascii="Times New Roman" w:hAnsi="Times New Roman"/>
          <w:szCs w:val="24"/>
        </w:rPr>
        <w:t>1.92</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/d，建设期共</w:t>
      </w:r>
      <w:r>
        <w:rPr>
          <w:rFonts w:hint="eastAsia" w:ascii="Times New Roman" w:hAnsi="Times New Roman"/>
          <w:szCs w:val="24"/>
        </w:rPr>
        <w:t>50</w:t>
      </w:r>
      <w:r>
        <w:rPr>
          <w:rFonts w:ascii="Times New Roman" w:hAnsi="Times New Roman"/>
          <w:szCs w:val="24"/>
        </w:rPr>
        <w:t>天，则集气站建设废水排放量为</w:t>
      </w:r>
      <w:r>
        <w:rPr>
          <w:rFonts w:hint="eastAsia" w:ascii="Times New Roman" w:hAnsi="Times New Roman"/>
          <w:szCs w:val="24"/>
        </w:rPr>
        <w:t>96</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。生活废水中主要污染物为COD、SS、BOD</w:t>
      </w:r>
      <w:r>
        <w:rPr>
          <w:rFonts w:ascii="Times New Roman" w:hAnsi="Times New Roman"/>
          <w:szCs w:val="24"/>
          <w:vertAlign w:val="subscript"/>
        </w:rPr>
        <w:t>5</w:t>
      </w:r>
      <w:r>
        <w:rPr>
          <w:rFonts w:ascii="Times New Roman" w:hAnsi="Times New Roman"/>
          <w:szCs w:val="24"/>
        </w:rPr>
        <w:t>、NH</w:t>
      </w:r>
      <w:r>
        <w:rPr>
          <w:rFonts w:ascii="Times New Roman" w:hAnsi="Times New Roman"/>
          <w:szCs w:val="24"/>
          <w:vertAlign w:val="subscript"/>
        </w:rPr>
        <w:t>3</w:t>
      </w:r>
      <w:r>
        <w:rPr>
          <w:rFonts w:ascii="Times New Roman" w:hAnsi="Times New Roman"/>
          <w:szCs w:val="24"/>
        </w:rPr>
        <w:t>-N等。餐饮废水经隔油池处理后与盥洗废水排入生活废水沉淀池，沉淀后用于集气站洒水抑尘和绿化用水。</w:t>
      </w:r>
    </w:p>
    <w:p>
      <w:pPr>
        <w:ind w:firstLine="480"/>
        <w:rPr>
          <w:rFonts w:ascii="Times New Roman" w:hAnsi="Times New Roman"/>
          <w:szCs w:val="24"/>
        </w:rPr>
      </w:pPr>
      <w:r>
        <w:rPr>
          <w:rFonts w:ascii="Times New Roman" w:hAnsi="Times New Roman"/>
          <w:szCs w:val="24"/>
        </w:rPr>
        <w:t>（5）生活垃圾</w:t>
      </w:r>
    </w:p>
    <w:p>
      <w:pPr>
        <w:ind w:firstLine="480"/>
        <w:rPr>
          <w:rFonts w:ascii="Times New Roman" w:hAnsi="Times New Roman"/>
          <w:szCs w:val="24"/>
        </w:rPr>
      </w:pPr>
      <w:r>
        <w:rPr>
          <w:rFonts w:ascii="Times New Roman" w:hAnsi="Times New Roman"/>
          <w:szCs w:val="24"/>
        </w:rPr>
        <w:t>集气站建设施工人员为</w:t>
      </w:r>
      <w:r>
        <w:rPr>
          <w:rFonts w:hint="eastAsia" w:ascii="Times New Roman" w:hAnsi="Times New Roman"/>
          <w:szCs w:val="24"/>
        </w:rPr>
        <w:t>30</w:t>
      </w:r>
      <w:r>
        <w:rPr>
          <w:rFonts w:ascii="Times New Roman" w:hAnsi="Times New Roman"/>
          <w:szCs w:val="24"/>
        </w:rPr>
        <w:t>人，</w:t>
      </w:r>
      <w:r>
        <w:rPr>
          <w:rFonts w:ascii="Times New Roman" w:hAnsi="Times New Roman"/>
        </w:rPr>
        <w:t>按照每人每天产生生活垃圾0.5kg计算，整个开发区生活垃圾日产生量最多可达约</w:t>
      </w:r>
      <w:r>
        <w:rPr>
          <w:rFonts w:hint="eastAsia" w:ascii="Times New Roman" w:hAnsi="Times New Roman"/>
        </w:rPr>
        <w:t>0.015</w:t>
      </w:r>
      <w:r>
        <w:rPr>
          <w:rFonts w:ascii="Times New Roman" w:hAnsi="Times New Roman"/>
        </w:rPr>
        <w:t>t，整个建设期产生量</w:t>
      </w:r>
      <w:r>
        <w:rPr>
          <w:rFonts w:hint="eastAsia" w:ascii="Times New Roman" w:hAnsi="Times New Roman"/>
        </w:rPr>
        <w:t>0.75</w:t>
      </w:r>
      <w:r>
        <w:rPr>
          <w:rFonts w:ascii="Times New Roman" w:hAnsi="Times New Roman"/>
        </w:rPr>
        <w:t>t。生活垃圾由施工队设置临时生活垃圾收集桶，统一收集后运至环卫部门指定地点处置。</w:t>
      </w:r>
    </w:p>
    <w:p>
      <w:pPr>
        <w:snapToGrid w:val="0"/>
        <w:ind w:firstLine="480"/>
        <w:rPr>
          <w:rFonts w:ascii="Times New Roman" w:hAnsi="Times New Roman"/>
          <w:szCs w:val="24"/>
        </w:rPr>
      </w:pPr>
      <w:r>
        <w:rPr>
          <w:rFonts w:ascii="Times New Roman" w:hAnsi="Times New Roman"/>
          <w:szCs w:val="24"/>
        </w:rPr>
        <w:t>（6）生态影响</w:t>
      </w:r>
    </w:p>
    <w:p>
      <w:pPr>
        <w:snapToGrid w:val="0"/>
        <w:ind w:firstLine="480"/>
        <w:rPr>
          <w:rFonts w:ascii="Times New Roman" w:hAnsi="Times New Roman"/>
          <w:szCs w:val="24"/>
        </w:rPr>
      </w:pPr>
      <w:r>
        <w:rPr>
          <w:rFonts w:ascii="Times New Roman" w:hAnsi="Times New Roman"/>
          <w:szCs w:val="24"/>
        </w:rPr>
        <w:t>建设期对当地生态环境的破坏主要表现在场地挖填、地面建构筑物及输气管线、道路建设时对土地扰动作用，造成地貌的改变、植被的破坏、短期内使水土流失加剧，对局部生态环境有不利影响。随着建设的结束，影响也随之消失。</w:t>
      </w:r>
    </w:p>
    <w:p>
      <w:pPr>
        <w:snapToGrid w:val="0"/>
        <w:ind w:firstLine="0" w:firstLineChars="0"/>
        <w:outlineLvl w:val="3"/>
        <w:rPr>
          <w:rFonts w:ascii="Times New Roman" w:hAnsi="Times New Roman"/>
          <w:b/>
          <w:szCs w:val="24"/>
        </w:rPr>
      </w:pPr>
      <w:r>
        <w:rPr>
          <w:rFonts w:ascii="Times New Roman" w:hAnsi="Times New Roman"/>
          <w:b/>
          <w:szCs w:val="24"/>
        </w:rPr>
        <w:t>3.5.1.2 钻井固井工程和压裂工程环境影响分析</w:t>
      </w:r>
    </w:p>
    <w:p>
      <w:pPr>
        <w:ind w:firstLine="480"/>
        <w:rPr>
          <w:rFonts w:ascii="Times New Roman" w:hAnsi="Times New Roman"/>
          <w:szCs w:val="24"/>
        </w:rPr>
      </w:pPr>
      <w:r>
        <w:rPr>
          <w:rFonts w:ascii="Times New Roman" w:hAnsi="Times New Roman"/>
          <w:szCs w:val="24"/>
        </w:rPr>
        <w:t>钻井固井工程和压裂工程期间主要污染源有柴油机等产生的废气、生产废水和生活废水、生产固废和生活垃圾等。</w:t>
      </w:r>
    </w:p>
    <w:p>
      <w:pPr>
        <w:ind w:firstLine="480"/>
        <w:rPr>
          <w:rFonts w:ascii="Times New Roman" w:hAnsi="Times New Roman"/>
          <w:szCs w:val="24"/>
        </w:rPr>
      </w:pPr>
      <w:r>
        <w:rPr>
          <w:rFonts w:ascii="Times New Roman" w:hAnsi="Times New Roman"/>
          <w:szCs w:val="24"/>
        </w:rPr>
        <w:t>（1）废气</w:t>
      </w:r>
    </w:p>
    <w:p>
      <w:pPr>
        <w:ind w:firstLine="480"/>
        <w:rPr>
          <w:rFonts w:ascii="Times New Roman" w:hAnsi="Times New Roman"/>
          <w:szCs w:val="24"/>
        </w:rPr>
      </w:pPr>
      <w:r>
        <w:rPr>
          <w:rFonts w:ascii="Times New Roman" w:hAnsi="Times New Roman"/>
          <w:szCs w:val="24"/>
        </w:rPr>
        <w:t>钻井和压裂期废气主要为柴油发电机、柴油机和钻机使用柴油产生的废气，废气主要污染物为SO</w:t>
      </w:r>
      <w:r>
        <w:rPr>
          <w:rFonts w:ascii="Times New Roman" w:hAnsi="Times New Roman"/>
          <w:szCs w:val="24"/>
          <w:vertAlign w:val="subscript"/>
        </w:rPr>
        <w:t>2</w:t>
      </w:r>
      <w:r>
        <w:rPr>
          <w:rFonts w:ascii="Times New Roman" w:hAnsi="Times New Roman"/>
          <w:szCs w:val="24"/>
        </w:rPr>
        <w:t>、NO</w:t>
      </w:r>
      <w:r>
        <w:rPr>
          <w:rFonts w:ascii="Times New Roman" w:hAnsi="Times New Roman"/>
          <w:szCs w:val="24"/>
          <w:vertAlign w:val="subscript"/>
        </w:rPr>
        <w:t>X</w:t>
      </w:r>
      <w:r>
        <w:rPr>
          <w:rFonts w:ascii="Times New Roman" w:hAnsi="Times New Roman"/>
          <w:szCs w:val="24"/>
        </w:rPr>
        <w:t>、烟尘、烃类等。</w:t>
      </w:r>
    </w:p>
    <w:p>
      <w:pPr>
        <w:ind w:firstLine="480"/>
        <w:rPr>
          <w:rFonts w:ascii="Times New Roman" w:hAnsi="Times New Roman"/>
          <w:szCs w:val="24"/>
        </w:rPr>
      </w:pPr>
      <w:r>
        <w:rPr>
          <w:rFonts w:ascii="Times New Roman" w:hAnsi="Times New Roman"/>
          <w:szCs w:val="24"/>
        </w:rPr>
        <w:t>根据对先导试验区内其他已施工井场钻井柴油机耗油量调查，每百米进尺平均消耗柴油量为2t，参考《油气田开发建设与环境影响》中关于钻井废气污染物排放系数，本项目钻井过程大气污染物排放系数为：燃烧1t柴油（含硫约0.2%），排放烟气量约1.2万m</w:t>
      </w:r>
      <w:r>
        <w:rPr>
          <w:rFonts w:ascii="Times New Roman" w:hAnsi="Times New Roman"/>
          <w:szCs w:val="24"/>
          <w:vertAlign w:val="superscript"/>
        </w:rPr>
        <w:t>3</w:t>
      </w:r>
      <w:r>
        <w:rPr>
          <w:rFonts w:ascii="Times New Roman" w:hAnsi="Times New Roman"/>
          <w:szCs w:val="24"/>
        </w:rPr>
        <w:t>，SO</w:t>
      </w:r>
      <w:r>
        <w:rPr>
          <w:rFonts w:ascii="Times New Roman" w:hAnsi="Times New Roman"/>
          <w:szCs w:val="24"/>
          <w:vertAlign w:val="subscript"/>
        </w:rPr>
        <w:t>2</w:t>
      </w:r>
      <w:r>
        <w:rPr>
          <w:rFonts w:ascii="Times New Roman" w:hAnsi="Times New Roman"/>
          <w:szCs w:val="24"/>
        </w:rPr>
        <w:t>排放量约为4kg，NO</w:t>
      </w:r>
      <w:r>
        <w:rPr>
          <w:rFonts w:ascii="Times New Roman" w:hAnsi="Times New Roman"/>
          <w:szCs w:val="24"/>
          <w:vertAlign w:val="subscript"/>
        </w:rPr>
        <w:t>X</w:t>
      </w:r>
      <w:r>
        <w:rPr>
          <w:rFonts w:ascii="Times New Roman" w:hAnsi="Times New Roman"/>
          <w:szCs w:val="24"/>
        </w:rPr>
        <w:t>排放量约为2.83kg，烟尘排放量约为11kg。</w:t>
      </w:r>
    </w:p>
    <w:p>
      <w:pPr>
        <w:ind w:firstLine="480"/>
        <w:rPr>
          <w:rFonts w:ascii="Times New Roman" w:hAnsi="Times New Roman"/>
          <w:szCs w:val="24"/>
        </w:rPr>
      </w:pPr>
      <w:r>
        <w:rPr>
          <w:rFonts w:ascii="Times New Roman" w:hAnsi="Times New Roman"/>
          <w:szCs w:val="24"/>
        </w:rPr>
        <w:t>本项目新建开发井数量、平均井深及废气污染物排放量见表3.5-4。</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表3.5-4 钻井期废气污染物排放量</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8"/>
        <w:gridCol w:w="1080"/>
        <w:gridCol w:w="1080"/>
        <w:gridCol w:w="1561"/>
        <w:gridCol w:w="1241"/>
        <w:gridCol w:w="1241"/>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开发井</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平均井深(m)</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柴油耗量（t）</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排放烟气量（万m</w:t>
            </w:r>
            <w:r>
              <w:rPr>
                <w:rFonts w:ascii="Times New Roman" w:hAnsi="Times New Roman"/>
                <w:sz w:val="21"/>
                <w:vertAlign w:val="superscript"/>
              </w:rPr>
              <w:t>3</w:t>
            </w:r>
            <w:r>
              <w:rPr>
                <w:rFonts w:ascii="Times New Roman" w:hAnsi="Times New Roman"/>
                <w:sz w:val="21"/>
              </w:rPr>
              <w:t>）</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排放SO</w:t>
            </w:r>
            <w:r>
              <w:rPr>
                <w:rFonts w:ascii="Times New Roman" w:hAnsi="Times New Roman"/>
                <w:sz w:val="21"/>
                <w:vertAlign w:val="subscript"/>
              </w:rPr>
              <w:t>2</w:t>
            </w:r>
            <w:r>
              <w:rPr>
                <w:rFonts w:ascii="Times New Roman" w:hAnsi="Times New Roman"/>
                <w:sz w:val="21"/>
              </w:rPr>
              <w:t>量（t）</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排放NO</w:t>
            </w:r>
            <w:r>
              <w:rPr>
                <w:rFonts w:ascii="Times New Roman" w:hAnsi="Times New Roman"/>
                <w:sz w:val="21"/>
                <w:vertAlign w:val="subscript"/>
              </w:rPr>
              <w:t>X</w:t>
            </w:r>
            <w:r>
              <w:rPr>
                <w:rFonts w:ascii="Times New Roman" w:hAnsi="Times New Roman"/>
                <w:sz w:val="21"/>
              </w:rPr>
              <w:t>量（t）</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排放烟尘量（t）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LX-101-5H</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2855</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57.10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68.52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0.23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0.16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LX-101-6H</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3232</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64.64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77.57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0.26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0.18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LX-102-5H</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2706</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54.12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64.94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0.22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0.15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LX-104-9D</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1978</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39.56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47.47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0.16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0.11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LX-105-4D</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2268</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45.36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54.43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0.18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0.13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LX-106-1D</w:t>
            </w:r>
          </w:p>
        </w:tc>
        <w:tc>
          <w:tcPr>
            <w:tcW w:w="634" w:type="pct"/>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2190</w:t>
            </w:r>
          </w:p>
        </w:tc>
        <w:tc>
          <w:tcPr>
            <w:tcW w:w="634" w:type="pct"/>
          </w:tcPr>
          <w:p>
            <w:pPr>
              <w:spacing w:line="240" w:lineRule="auto"/>
              <w:ind w:firstLine="0" w:firstLineChars="0"/>
              <w:jc w:val="center"/>
              <w:rPr>
                <w:rFonts w:ascii="Times New Roman" w:hAnsi="Times New Roman"/>
                <w:sz w:val="21"/>
              </w:rPr>
            </w:pPr>
            <w:r>
              <w:rPr>
                <w:rFonts w:ascii="Times New Roman" w:hAnsi="Times New Roman"/>
                <w:sz w:val="21"/>
              </w:rPr>
              <w:t xml:space="preserve">43.80 </w:t>
            </w:r>
          </w:p>
        </w:tc>
        <w:tc>
          <w:tcPr>
            <w:tcW w:w="91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52.56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0.18 </w:t>
            </w:r>
          </w:p>
        </w:tc>
        <w:tc>
          <w:tcPr>
            <w:tcW w:w="72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0.12 </w:t>
            </w:r>
          </w:p>
        </w:tc>
        <w:tc>
          <w:tcPr>
            <w:tcW w:w="6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 xml:space="preserve">0.48 </w:t>
            </w:r>
          </w:p>
        </w:tc>
      </w:tr>
    </w:tbl>
    <w:p>
      <w:pPr>
        <w:snapToGrid w:val="0"/>
        <w:spacing w:before="156" w:beforeLines="50"/>
        <w:ind w:firstLine="480"/>
        <w:rPr>
          <w:rFonts w:ascii="Times New Roman" w:hAnsi="Times New Roman"/>
          <w:szCs w:val="24"/>
        </w:rPr>
      </w:pPr>
      <w:r>
        <w:rPr>
          <w:rFonts w:ascii="Times New Roman" w:hAnsi="Times New Roman"/>
          <w:szCs w:val="24"/>
        </w:rPr>
        <w:t>（2）废水</w:t>
      </w:r>
    </w:p>
    <w:p>
      <w:pPr>
        <w:ind w:firstLine="480"/>
        <w:rPr>
          <w:rFonts w:ascii="Times New Roman" w:hAnsi="Times New Roman"/>
          <w:szCs w:val="24"/>
        </w:rPr>
      </w:pPr>
      <w:r>
        <w:rPr>
          <w:rFonts w:ascii="Times New Roman" w:hAnsi="Times New Roman"/>
          <w:szCs w:val="24"/>
        </w:rPr>
        <w:t>①生产废水</w:t>
      </w:r>
    </w:p>
    <w:p>
      <w:pPr>
        <w:ind w:firstLine="480"/>
        <w:rPr>
          <w:rFonts w:ascii="Times New Roman" w:hAnsi="Times New Roman"/>
          <w:szCs w:val="24"/>
        </w:rPr>
      </w:pPr>
      <w:r>
        <w:rPr>
          <w:rFonts w:ascii="Times New Roman" w:hAnsi="Times New Roman"/>
          <w:szCs w:val="24"/>
        </w:rPr>
        <w:t>钻固井期生产废水主要来源于钻井过程中钻井泥浆废水和清洁钻井平台、钻井等废水，主要污染物为悬浮物、石油类、COD等。钻井废水产生量随井深和钻井周期变化，根据类比调查，每钻进1m平均产生生产废水0.07m</w:t>
      </w:r>
      <w:r>
        <w:rPr>
          <w:rFonts w:ascii="Times New Roman" w:hAnsi="Times New Roman"/>
          <w:szCs w:val="24"/>
          <w:vertAlign w:val="superscript"/>
        </w:rPr>
        <w:t>3</w:t>
      </w:r>
      <w:r>
        <w:rPr>
          <w:rFonts w:ascii="Times New Roman" w:hAnsi="Times New Roman"/>
          <w:szCs w:val="24"/>
        </w:rPr>
        <w:t>，各井场生产废水产生量见表3.5-5。钻井废水全部进入每个井场设置的泥浆池中，自然蒸发，待完井后与废弃泥浆和岩屑一起固化处理，不外排。</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表3.5-5  钻井期生产废水排放量</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4"/>
        <w:gridCol w:w="2734"/>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开发井</w:t>
            </w:r>
          </w:p>
        </w:tc>
        <w:tc>
          <w:tcPr>
            <w:tcW w:w="1604" w:type="pct"/>
          </w:tcPr>
          <w:p>
            <w:pPr>
              <w:spacing w:line="240" w:lineRule="auto"/>
              <w:ind w:firstLine="0" w:firstLineChars="0"/>
              <w:jc w:val="center"/>
              <w:rPr>
                <w:rFonts w:ascii="Times New Roman" w:hAnsi="Times New Roman"/>
                <w:sz w:val="21"/>
              </w:rPr>
            </w:pPr>
            <w:r>
              <w:rPr>
                <w:rFonts w:ascii="Times New Roman" w:hAnsi="Times New Roman"/>
                <w:sz w:val="21"/>
              </w:rPr>
              <w:t>平均井深(m)</w:t>
            </w:r>
          </w:p>
        </w:tc>
        <w:tc>
          <w:tcPr>
            <w:tcW w:w="1604" w:type="pct"/>
          </w:tcPr>
          <w:p>
            <w:pPr>
              <w:spacing w:line="240" w:lineRule="auto"/>
              <w:ind w:firstLine="0" w:firstLineChars="0"/>
              <w:jc w:val="center"/>
              <w:rPr>
                <w:rFonts w:ascii="Times New Roman" w:hAnsi="Times New Roman"/>
                <w:sz w:val="21"/>
              </w:rPr>
            </w:pPr>
            <w:r>
              <w:rPr>
                <w:rFonts w:ascii="Times New Roman" w:hAnsi="Times New Roman"/>
                <w:sz w:val="21"/>
              </w:rPr>
              <w:t>废水量（m</w:t>
            </w:r>
            <w:r>
              <w:rPr>
                <w:rFonts w:ascii="Times New Roman" w:hAnsi="Times New Roman"/>
                <w:sz w:val="21"/>
                <w:vertAlign w:val="superscript"/>
              </w:rPr>
              <w:t>3</w:t>
            </w:r>
            <w:r>
              <w:rPr>
                <w:rFonts w:ascii="Times New Roman" w:hAnsi="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2855</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199.85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LX-101-6H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3232</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226.24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LX-102-5H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2706</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189.42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LX-104-9D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1978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138.46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LX-105-4D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2268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158.76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LX-106-1D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2190</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153.3</w:t>
            </w:r>
          </w:p>
        </w:tc>
      </w:tr>
    </w:tbl>
    <w:p>
      <w:pPr>
        <w:spacing w:before="156" w:beforeLines="50"/>
        <w:ind w:firstLine="480"/>
        <w:rPr>
          <w:rFonts w:ascii="Times New Roman" w:hAnsi="Times New Roman"/>
          <w:szCs w:val="24"/>
        </w:rPr>
      </w:pPr>
      <w:r>
        <w:rPr>
          <w:rFonts w:ascii="Times New Roman" w:hAnsi="Times New Roman"/>
          <w:szCs w:val="24"/>
        </w:rPr>
        <w:t>压裂期压裂液注入地层中进行储层改造，压裂液注入后需要关井一段时间，使压裂裂缝闭合，压力波在地层中逐步扩散，然后打开油嘴，由于地层弹性能量较足，井筒可实现压裂返排液自喷，第一次连续放喷2~3个小时不出液后，即可以关井，等压力恢复起来后再放喷，如此往复关放，待压力降到一定数值后关井进入试气期。根据类比调查，单井单层压裂返排液自喷量约为150m</w:t>
      </w:r>
      <w:r>
        <w:rPr>
          <w:rFonts w:ascii="Times New Roman" w:hAnsi="Times New Roman"/>
          <w:szCs w:val="24"/>
          <w:vertAlign w:val="superscript"/>
        </w:rPr>
        <w:t>3</w:t>
      </w:r>
      <w:r>
        <w:rPr>
          <w:rFonts w:ascii="Times New Roman" w:hAnsi="Times New Roman"/>
          <w:szCs w:val="24"/>
        </w:rPr>
        <w:t>，平均每个单井压裂两层，则本项目共产生压裂返排液1800m</w:t>
      </w:r>
      <w:r>
        <w:rPr>
          <w:rFonts w:ascii="Times New Roman" w:hAnsi="Times New Roman"/>
          <w:szCs w:val="24"/>
          <w:vertAlign w:val="superscript"/>
        </w:rPr>
        <w:t>3</w:t>
      </w:r>
      <w:r>
        <w:rPr>
          <w:rFonts w:ascii="Times New Roman" w:hAnsi="Times New Roman"/>
          <w:szCs w:val="24"/>
        </w:rPr>
        <w:t>。压裂返排液全部排入压裂返排液储罐中，沉淀后再次作为压裂液配液重复使用。</w:t>
      </w:r>
    </w:p>
    <w:p>
      <w:pPr>
        <w:ind w:firstLine="480"/>
        <w:rPr>
          <w:rFonts w:ascii="Times New Roman" w:hAnsi="Times New Roman"/>
          <w:szCs w:val="24"/>
        </w:rPr>
      </w:pPr>
      <w:r>
        <w:rPr>
          <w:rFonts w:ascii="Times New Roman" w:hAnsi="Times New Roman"/>
          <w:szCs w:val="24"/>
        </w:rPr>
        <w:t>②生活废水</w:t>
      </w:r>
    </w:p>
    <w:p>
      <w:pPr>
        <w:snapToGrid w:val="0"/>
        <w:ind w:firstLine="480"/>
        <w:rPr>
          <w:rFonts w:ascii="Times New Roman" w:hAnsi="Times New Roman"/>
          <w:szCs w:val="24"/>
        </w:rPr>
      </w:pPr>
      <w:r>
        <w:rPr>
          <w:rFonts w:ascii="Times New Roman" w:hAnsi="Times New Roman"/>
          <w:szCs w:val="24"/>
        </w:rPr>
        <w:t>生活用水量为80L/人•天，生活废水按用水量80%计算，钻井和压裂期井场工作人员为40人，则生活用水量为3.2m</w:t>
      </w:r>
      <w:r>
        <w:rPr>
          <w:rFonts w:ascii="Times New Roman" w:hAnsi="Times New Roman"/>
          <w:szCs w:val="24"/>
          <w:vertAlign w:val="superscript"/>
        </w:rPr>
        <w:t>3</w:t>
      </w:r>
      <w:r>
        <w:rPr>
          <w:rFonts w:ascii="Times New Roman" w:hAnsi="Times New Roman"/>
          <w:szCs w:val="24"/>
        </w:rPr>
        <w:t>/d，生活废水排放量为2.56m</w:t>
      </w:r>
      <w:r>
        <w:rPr>
          <w:rFonts w:ascii="Times New Roman" w:hAnsi="Times New Roman"/>
          <w:szCs w:val="24"/>
          <w:vertAlign w:val="superscript"/>
        </w:rPr>
        <w:t>3</w:t>
      </w:r>
      <w:r>
        <w:rPr>
          <w:rFonts w:ascii="Times New Roman" w:hAnsi="Times New Roman"/>
          <w:szCs w:val="24"/>
        </w:rPr>
        <w:t>/d，钻井和压裂期共28天，则钻井和压裂期生活废水排放量为71.68 m</w:t>
      </w:r>
      <w:r>
        <w:rPr>
          <w:rFonts w:ascii="Times New Roman" w:hAnsi="Times New Roman"/>
          <w:szCs w:val="24"/>
          <w:vertAlign w:val="superscript"/>
        </w:rPr>
        <w:t>3</w:t>
      </w:r>
      <w:r>
        <w:rPr>
          <w:rFonts w:ascii="Times New Roman" w:hAnsi="Times New Roman"/>
          <w:szCs w:val="24"/>
        </w:rPr>
        <w:t>。生活废水中主要污染物为COD、SS、BOD</w:t>
      </w:r>
      <w:r>
        <w:rPr>
          <w:rFonts w:ascii="Times New Roman" w:hAnsi="Times New Roman"/>
          <w:szCs w:val="24"/>
          <w:vertAlign w:val="subscript"/>
        </w:rPr>
        <w:t>5</w:t>
      </w:r>
      <w:r>
        <w:rPr>
          <w:rFonts w:ascii="Times New Roman" w:hAnsi="Times New Roman"/>
          <w:szCs w:val="24"/>
        </w:rPr>
        <w:t>、NH</w:t>
      </w:r>
      <w:r>
        <w:rPr>
          <w:rFonts w:ascii="Times New Roman" w:hAnsi="Times New Roman"/>
          <w:szCs w:val="24"/>
          <w:vertAlign w:val="subscript"/>
        </w:rPr>
        <w:t>3</w:t>
      </w:r>
      <w:r>
        <w:rPr>
          <w:rFonts w:ascii="Times New Roman" w:hAnsi="Times New Roman"/>
          <w:szCs w:val="24"/>
        </w:rPr>
        <w:t>-N等。废水主要污染物浓度为CODcr250mg/L、SS150mg/L、氨氮30mg/L、植物油100mg/L。餐饮废水经隔油池处理后与盥洗废水排入生活废水沉淀池，沉淀后用于周边场地洒水抑尘和绿化用水。井场建设旱厕，收集后供农灌施肥。</w:t>
      </w:r>
    </w:p>
    <w:p>
      <w:pPr>
        <w:ind w:firstLine="480"/>
        <w:rPr>
          <w:rFonts w:ascii="Times New Roman" w:hAnsi="Times New Roman"/>
          <w:szCs w:val="24"/>
        </w:rPr>
      </w:pPr>
      <w:r>
        <w:rPr>
          <w:rFonts w:ascii="Times New Roman" w:hAnsi="Times New Roman"/>
          <w:szCs w:val="24"/>
        </w:rPr>
        <w:t>（3）噪声</w:t>
      </w:r>
    </w:p>
    <w:p>
      <w:pPr>
        <w:ind w:firstLine="480"/>
        <w:rPr>
          <w:rFonts w:ascii="Times New Roman" w:hAnsi="Times New Roman"/>
          <w:szCs w:val="24"/>
        </w:rPr>
      </w:pPr>
      <w:r>
        <w:rPr>
          <w:rFonts w:ascii="Times New Roman" w:hAnsi="Times New Roman"/>
          <w:szCs w:val="24"/>
        </w:rPr>
        <w:t>钻井和压裂期间噪声源可分为连续噪声源和流动噪声源，固定连续噪声源以泵站的各类机泵、柴油发电机等噪声为主，噪声强度为95Db(A)左右，流动噪声源主要是机动车辆等。项目钻井期间主要噪声源见表3.5-6。</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表3.5-6 各种机械设备的噪声值</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2132"/>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序号</w:t>
            </w:r>
          </w:p>
        </w:tc>
        <w:tc>
          <w:tcPr>
            <w:tcW w:w="1251"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噪声源</w:t>
            </w:r>
          </w:p>
        </w:tc>
        <w:tc>
          <w:tcPr>
            <w:tcW w:w="125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声级dB（A）</w:t>
            </w:r>
          </w:p>
        </w:tc>
        <w:tc>
          <w:tcPr>
            <w:tcW w:w="125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1</w:t>
            </w:r>
          </w:p>
        </w:tc>
        <w:tc>
          <w:tcPr>
            <w:tcW w:w="1251" w:type="pct"/>
          </w:tcPr>
          <w:p>
            <w:pPr>
              <w:spacing w:line="240" w:lineRule="auto"/>
              <w:ind w:firstLine="0" w:firstLineChars="0"/>
              <w:jc w:val="center"/>
              <w:rPr>
                <w:rFonts w:ascii="Times New Roman" w:hAnsi="Times New Roman"/>
                <w:sz w:val="21"/>
              </w:rPr>
            </w:pPr>
            <w:r>
              <w:rPr>
                <w:rFonts w:ascii="Times New Roman" w:hAnsi="Times New Roman"/>
                <w:sz w:val="21"/>
              </w:rPr>
              <w:t>泥浆泵</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固定连续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2</w:t>
            </w:r>
          </w:p>
        </w:tc>
        <w:tc>
          <w:tcPr>
            <w:tcW w:w="1251" w:type="pct"/>
          </w:tcPr>
          <w:p>
            <w:pPr>
              <w:spacing w:line="240" w:lineRule="auto"/>
              <w:ind w:firstLine="0" w:firstLineChars="0"/>
              <w:jc w:val="center"/>
              <w:rPr>
                <w:rFonts w:ascii="Times New Roman" w:hAnsi="Times New Roman"/>
                <w:sz w:val="21"/>
              </w:rPr>
            </w:pPr>
            <w:r>
              <w:rPr>
                <w:rFonts w:ascii="Times New Roman" w:hAnsi="Times New Roman"/>
                <w:sz w:val="21"/>
              </w:rPr>
              <w:t>压裂液泵</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固定连续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1251" w:type="pct"/>
          </w:tcPr>
          <w:p>
            <w:pPr>
              <w:spacing w:line="240" w:lineRule="auto"/>
              <w:ind w:firstLine="0" w:firstLineChars="0"/>
              <w:jc w:val="center"/>
              <w:rPr>
                <w:rFonts w:ascii="Times New Roman" w:hAnsi="Times New Roman"/>
                <w:sz w:val="21"/>
              </w:rPr>
            </w:pPr>
            <w:r>
              <w:rPr>
                <w:rFonts w:ascii="Times New Roman" w:hAnsi="Times New Roman"/>
                <w:sz w:val="21"/>
              </w:rPr>
              <w:t>柴油发电机</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固定连续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4</w:t>
            </w:r>
          </w:p>
        </w:tc>
        <w:tc>
          <w:tcPr>
            <w:tcW w:w="1251" w:type="pct"/>
          </w:tcPr>
          <w:p>
            <w:pPr>
              <w:spacing w:line="240" w:lineRule="auto"/>
              <w:ind w:firstLine="0" w:firstLineChars="0"/>
              <w:jc w:val="center"/>
              <w:rPr>
                <w:rFonts w:ascii="Times New Roman" w:hAnsi="Times New Roman"/>
                <w:sz w:val="21"/>
              </w:rPr>
            </w:pPr>
            <w:r>
              <w:rPr>
                <w:rFonts w:ascii="Times New Roman" w:hAnsi="Times New Roman"/>
                <w:sz w:val="21"/>
              </w:rPr>
              <w:t>振动筛</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85</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固定连续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spacing w:line="240" w:lineRule="auto"/>
              <w:ind w:firstLine="0" w:firstLineChars="0"/>
              <w:jc w:val="center"/>
              <w:rPr>
                <w:rFonts w:ascii="Times New Roman" w:hAnsi="Times New Roman"/>
                <w:sz w:val="21"/>
              </w:rPr>
            </w:pPr>
            <w:r>
              <w:rPr>
                <w:rFonts w:ascii="Times New Roman" w:hAnsi="Times New Roman"/>
                <w:sz w:val="21"/>
              </w:rPr>
              <w:t>5</w:t>
            </w:r>
          </w:p>
        </w:tc>
        <w:tc>
          <w:tcPr>
            <w:tcW w:w="1251" w:type="pct"/>
          </w:tcPr>
          <w:p>
            <w:pPr>
              <w:spacing w:line="240" w:lineRule="auto"/>
              <w:ind w:firstLine="0" w:firstLineChars="0"/>
              <w:jc w:val="center"/>
              <w:rPr>
                <w:rFonts w:ascii="Times New Roman" w:hAnsi="Times New Roman"/>
                <w:sz w:val="21"/>
              </w:rPr>
            </w:pPr>
            <w:r>
              <w:rPr>
                <w:rFonts w:ascii="Times New Roman" w:hAnsi="Times New Roman"/>
                <w:sz w:val="21"/>
              </w:rPr>
              <w:t>中型货车</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75</w:t>
            </w:r>
          </w:p>
        </w:tc>
        <w:tc>
          <w:tcPr>
            <w:tcW w:w="1250" w:type="pct"/>
          </w:tcPr>
          <w:p>
            <w:pPr>
              <w:spacing w:line="240" w:lineRule="auto"/>
              <w:ind w:firstLine="0" w:firstLineChars="0"/>
              <w:jc w:val="center"/>
              <w:rPr>
                <w:rFonts w:ascii="Times New Roman" w:hAnsi="Times New Roman"/>
                <w:sz w:val="21"/>
              </w:rPr>
            </w:pPr>
            <w:r>
              <w:rPr>
                <w:rFonts w:ascii="Times New Roman" w:hAnsi="Times New Roman"/>
                <w:sz w:val="21"/>
              </w:rPr>
              <w:t>流动间歇</w:t>
            </w:r>
          </w:p>
        </w:tc>
      </w:tr>
    </w:tbl>
    <w:p>
      <w:pPr>
        <w:ind w:firstLine="480"/>
        <w:rPr>
          <w:rFonts w:ascii="Times New Roman" w:hAnsi="Times New Roman"/>
          <w:szCs w:val="24"/>
        </w:rPr>
      </w:pPr>
      <w:r>
        <w:rPr>
          <w:rFonts w:ascii="Times New Roman" w:hAnsi="Times New Roman"/>
          <w:szCs w:val="24"/>
        </w:rPr>
        <w:t>（4）固废</w:t>
      </w:r>
    </w:p>
    <w:p>
      <w:pPr>
        <w:ind w:firstLine="480"/>
        <w:rPr>
          <w:rFonts w:ascii="Times New Roman" w:hAnsi="Times New Roman"/>
          <w:szCs w:val="24"/>
        </w:rPr>
      </w:pPr>
      <w:r>
        <w:rPr>
          <w:rFonts w:ascii="Times New Roman" w:hAnsi="Times New Roman"/>
          <w:szCs w:val="24"/>
        </w:rPr>
        <w:t>钻井和压裂期间的固体废物主要有钻井废弃泥浆、岩屑、工作人员的生活垃圾以及危险废物。</w:t>
      </w:r>
    </w:p>
    <w:p>
      <w:pPr>
        <w:ind w:firstLine="480"/>
        <w:rPr>
          <w:rFonts w:ascii="Times New Roman" w:hAnsi="Times New Roman"/>
          <w:szCs w:val="24"/>
        </w:rPr>
      </w:pPr>
      <w:r>
        <w:rPr>
          <w:rFonts w:ascii="宋体" w:hAnsi="Times New Roman"/>
          <w:szCs w:val="24"/>
        </w:rPr>
        <w:t>①</w:t>
      </w:r>
      <w:r>
        <w:rPr>
          <w:rFonts w:ascii="Times New Roman" w:hAnsi="Times New Roman"/>
          <w:szCs w:val="24"/>
        </w:rPr>
        <w:t>废弃泥浆</w:t>
      </w:r>
    </w:p>
    <w:p>
      <w:pPr>
        <w:ind w:firstLine="480"/>
        <w:rPr>
          <w:rFonts w:ascii="Times New Roman" w:hAnsi="Times New Roman"/>
          <w:szCs w:val="24"/>
        </w:rPr>
      </w:pPr>
      <w:r>
        <w:rPr>
          <w:rFonts w:ascii="Times New Roman" w:hAnsi="Times New Roman"/>
          <w:szCs w:val="24"/>
        </w:rPr>
        <w:t>钻井废弃泥浆是指钻井过程中经过多次回用后产生的无法利用或钻井完工后弃置于泥浆池内的泥浆。根据设计资料，本项目采用常规钻井技术，泥浆用量为0.3m</w:t>
      </w:r>
      <w:r>
        <w:rPr>
          <w:rFonts w:ascii="Times New Roman" w:hAnsi="Times New Roman"/>
          <w:szCs w:val="24"/>
          <w:vertAlign w:val="superscript"/>
        </w:rPr>
        <w:t>3</w:t>
      </w:r>
      <w:r>
        <w:rPr>
          <w:rFonts w:ascii="Times New Roman" w:hAnsi="Times New Roman"/>
          <w:szCs w:val="24"/>
        </w:rPr>
        <w:t>/m，泥浆回收率为80%，各开发井泥浆产生量见表3.5-7。完井后钻井废弃泥浆在井场泥浆池中进行水泥固化处理，不外排。</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表3.5-7 井场泥浆产生量</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4"/>
        <w:gridCol w:w="2734"/>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开发井</w:t>
            </w:r>
          </w:p>
        </w:tc>
        <w:tc>
          <w:tcPr>
            <w:tcW w:w="1604" w:type="pct"/>
          </w:tcPr>
          <w:p>
            <w:pPr>
              <w:spacing w:line="240" w:lineRule="auto"/>
              <w:ind w:firstLine="0" w:firstLineChars="0"/>
              <w:jc w:val="center"/>
              <w:rPr>
                <w:rFonts w:ascii="Times New Roman" w:hAnsi="Times New Roman"/>
                <w:sz w:val="21"/>
              </w:rPr>
            </w:pPr>
            <w:r>
              <w:rPr>
                <w:rFonts w:ascii="Times New Roman" w:hAnsi="Times New Roman"/>
                <w:sz w:val="21"/>
              </w:rPr>
              <w:t>平均井深(m)</w:t>
            </w:r>
          </w:p>
        </w:tc>
        <w:tc>
          <w:tcPr>
            <w:tcW w:w="1604" w:type="pct"/>
          </w:tcPr>
          <w:p>
            <w:pPr>
              <w:spacing w:line="240" w:lineRule="auto"/>
              <w:ind w:firstLine="0" w:firstLineChars="0"/>
              <w:jc w:val="center"/>
              <w:rPr>
                <w:rFonts w:ascii="Times New Roman" w:hAnsi="Times New Roman"/>
                <w:sz w:val="21"/>
              </w:rPr>
            </w:pPr>
            <w:r>
              <w:rPr>
                <w:rFonts w:hint="eastAsia" w:ascii="Times New Roman" w:hAnsi="Times New Roman"/>
                <w:sz w:val="21"/>
              </w:rPr>
              <w:t>泥浆</w:t>
            </w:r>
            <w:r>
              <w:rPr>
                <w:rFonts w:ascii="Times New Roman" w:hAnsi="Times New Roman"/>
                <w:sz w:val="21"/>
              </w:rPr>
              <w:t>量（m</w:t>
            </w:r>
            <w:r>
              <w:rPr>
                <w:rFonts w:ascii="Times New Roman" w:hAnsi="Times New Roman"/>
                <w:sz w:val="21"/>
                <w:vertAlign w:val="superscript"/>
              </w:rPr>
              <w:t>3</w:t>
            </w:r>
            <w:r>
              <w:rPr>
                <w:rFonts w:ascii="Times New Roman" w:hAnsi="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2855</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171.3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LX-101-6H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3232</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193.92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LX-102-5H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2706</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162.36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LX-104-9D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1978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118.68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LX-105-4D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2268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136.08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LX-106-1D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2190</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131.4</w:t>
            </w:r>
          </w:p>
        </w:tc>
      </w:tr>
    </w:tbl>
    <w:p>
      <w:pPr>
        <w:spacing w:before="156" w:beforeLines="50"/>
        <w:ind w:firstLine="480"/>
        <w:rPr>
          <w:rFonts w:ascii="Times New Roman" w:hAnsi="Times New Roman"/>
          <w:szCs w:val="24"/>
        </w:rPr>
      </w:pPr>
      <w:r>
        <w:rPr>
          <w:rFonts w:ascii="宋体" w:hAnsi="Times New Roman"/>
          <w:szCs w:val="24"/>
        </w:rPr>
        <w:t>②</w:t>
      </w:r>
      <w:r>
        <w:rPr>
          <w:rFonts w:ascii="Times New Roman" w:hAnsi="Times New Roman"/>
          <w:szCs w:val="24"/>
        </w:rPr>
        <w:t>岩屑</w:t>
      </w:r>
    </w:p>
    <w:p>
      <w:pPr>
        <w:ind w:firstLine="480"/>
        <w:rPr>
          <w:rFonts w:ascii="Times New Roman" w:hAnsi="Times New Roman"/>
          <w:szCs w:val="24"/>
        </w:rPr>
      </w:pPr>
      <w:r>
        <w:rPr>
          <w:rFonts w:ascii="Times New Roman" w:hAnsi="Times New Roman"/>
          <w:szCs w:val="24"/>
        </w:rPr>
        <w:t>钻井岩屑是钻井过程中钻头切屑地层岩石而产生的碎屑，经泥浆循环携带出井口，在地面经振动筛分离出来存放于井场，或直接与泥浆一并进入泥浆池沉淀。钻井岩屑产生量与井眼长度，平均井径及岩石性质有关。根据类比调查，大约单位进尺产生岩屑为0.05m</w:t>
      </w:r>
      <w:r>
        <w:rPr>
          <w:rFonts w:ascii="Times New Roman" w:hAnsi="Times New Roman"/>
          <w:szCs w:val="24"/>
          <w:vertAlign w:val="superscript"/>
        </w:rPr>
        <w:t>3</w:t>
      </w:r>
      <w:r>
        <w:rPr>
          <w:rFonts w:ascii="Times New Roman" w:hAnsi="Times New Roman"/>
          <w:szCs w:val="24"/>
        </w:rPr>
        <w:t>/m，各井场岩屑产生量见表3.5-8。钻井结束后钻井岩屑与废弃泥浆一起固化后填埋，不外排。</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表3.5-8 井场岩屑产生量</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4"/>
        <w:gridCol w:w="2734"/>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开发井</w:t>
            </w:r>
          </w:p>
        </w:tc>
        <w:tc>
          <w:tcPr>
            <w:tcW w:w="1604" w:type="pct"/>
          </w:tcPr>
          <w:p>
            <w:pPr>
              <w:spacing w:line="240" w:lineRule="auto"/>
              <w:ind w:firstLine="0" w:firstLineChars="0"/>
              <w:jc w:val="center"/>
              <w:rPr>
                <w:rFonts w:ascii="Times New Roman" w:hAnsi="Times New Roman"/>
                <w:sz w:val="21"/>
              </w:rPr>
            </w:pPr>
            <w:r>
              <w:rPr>
                <w:rFonts w:ascii="Times New Roman" w:hAnsi="Times New Roman"/>
                <w:sz w:val="21"/>
              </w:rPr>
              <w:t>平均井深(m)</w:t>
            </w:r>
          </w:p>
        </w:tc>
        <w:tc>
          <w:tcPr>
            <w:tcW w:w="1604" w:type="pct"/>
          </w:tcPr>
          <w:p>
            <w:pPr>
              <w:spacing w:line="240" w:lineRule="auto"/>
              <w:ind w:firstLine="0" w:firstLineChars="0"/>
              <w:jc w:val="center"/>
              <w:rPr>
                <w:rFonts w:ascii="Times New Roman" w:hAnsi="Times New Roman"/>
                <w:sz w:val="21"/>
              </w:rPr>
            </w:pPr>
            <w:r>
              <w:rPr>
                <w:rFonts w:hint="eastAsia" w:ascii="Times New Roman" w:hAnsi="Times New Roman"/>
                <w:sz w:val="21"/>
              </w:rPr>
              <w:t>岩屑</w:t>
            </w:r>
            <w:r>
              <w:rPr>
                <w:rFonts w:ascii="Times New Roman" w:hAnsi="Times New Roman"/>
                <w:sz w:val="21"/>
              </w:rPr>
              <w:t>量（m</w:t>
            </w:r>
            <w:r>
              <w:rPr>
                <w:rFonts w:ascii="Times New Roman" w:hAnsi="Times New Roman"/>
                <w:sz w:val="21"/>
                <w:vertAlign w:val="superscript"/>
              </w:rPr>
              <w:t>3</w:t>
            </w:r>
            <w:r>
              <w:rPr>
                <w:rFonts w:ascii="Times New Roman" w:hAnsi="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2855</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142.75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LX-101-6H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3232</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LX-102-5H</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2706</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LX-104-9D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1978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LX-105-4D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2268</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LX-106-1D</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2190</w:t>
            </w:r>
          </w:p>
        </w:tc>
        <w:tc>
          <w:tcPr>
            <w:tcW w:w="160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109.5</w:t>
            </w:r>
          </w:p>
        </w:tc>
      </w:tr>
    </w:tbl>
    <w:p>
      <w:pPr>
        <w:spacing w:before="156" w:beforeLines="50"/>
        <w:ind w:firstLine="480"/>
        <w:rPr>
          <w:rFonts w:ascii="Times New Roman" w:hAnsi="Times New Roman"/>
          <w:szCs w:val="24"/>
        </w:rPr>
      </w:pPr>
      <w:r>
        <w:rPr>
          <w:rFonts w:ascii="宋体" w:hAnsi="Times New Roman"/>
          <w:szCs w:val="24"/>
        </w:rPr>
        <w:t>③</w:t>
      </w:r>
      <w:r>
        <w:rPr>
          <w:rFonts w:ascii="Times New Roman" w:hAnsi="Times New Roman"/>
          <w:szCs w:val="24"/>
        </w:rPr>
        <w:t>生活垃圾</w:t>
      </w:r>
    </w:p>
    <w:p>
      <w:pPr>
        <w:ind w:firstLine="480"/>
        <w:rPr>
          <w:rFonts w:ascii="Times New Roman" w:hAnsi="Times New Roman"/>
          <w:szCs w:val="24"/>
        </w:rPr>
      </w:pPr>
      <w:r>
        <w:rPr>
          <w:rFonts w:ascii="Times New Roman" w:hAnsi="Times New Roman"/>
          <w:szCs w:val="24"/>
        </w:rPr>
        <w:t>工作人员产生的生活垃圾以0.6kg/人•d计，每个井场工作人员40人，则钻井和压裂期间每个井场生活垃圾产生量为24kg/d，钻井和压裂期共28天，则钻井和压裂期生活垃圾排放量为672 kg。</w:t>
      </w:r>
    </w:p>
    <w:p>
      <w:pPr>
        <w:ind w:firstLine="480"/>
        <w:rPr>
          <w:rFonts w:ascii="Times New Roman" w:hAnsi="Times New Roman"/>
          <w:szCs w:val="24"/>
        </w:rPr>
      </w:pPr>
      <w:r>
        <w:rPr>
          <w:rFonts w:ascii="宋体" w:hAnsi="Times New Roman"/>
          <w:szCs w:val="24"/>
        </w:rPr>
        <w:t>④</w:t>
      </w:r>
      <w:r>
        <w:rPr>
          <w:rFonts w:ascii="Times New Roman" w:hAnsi="Times New Roman"/>
          <w:szCs w:val="24"/>
        </w:rPr>
        <w:t>危险废物</w:t>
      </w:r>
    </w:p>
    <w:p>
      <w:pPr>
        <w:snapToGrid w:val="0"/>
        <w:ind w:firstLine="480"/>
        <w:rPr>
          <w:rFonts w:ascii="Times New Roman" w:hAnsi="Times New Roman"/>
          <w:szCs w:val="24"/>
        </w:rPr>
      </w:pPr>
      <w:r>
        <w:rPr>
          <w:rFonts w:ascii="Times New Roman" w:hAnsi="Times New Roman"/>
          <w:szCs w:val="24"/>
        </w:rPr>
        <w:t>钻井和压裂期间产生的危险废物主要为废机油和废油棉纱。废机油主要来源为机械（泥浆泵、压裂液泵、转盘、链条等）润滑废油；清洗、保养产生的废油，如更换柴油机零部件和清洗钻具、套管时产生的废油。废棉纱主要来源为机械保养、清洗后的擦拭。根据调查，单井废机油和废油棉纱产生量约为20kg，共产生危险废物0.12t</w:t>
      </w:r>
      <w:r>
        <w:rPr>
          <w:rFonts w:hint="eastAsia" w:ascii="Times New Roman" w:hAnsi="Times New Roman"/>
          <w:szCs w:val="24"/>
        </w:rPr>
        <w:t>。</w:t>
      </w:r>
    </w:p>
    <w:p>
      <w:pPr>
        <w:snapToGrid w:val="0"/>
        <w:ind w:firstLine="0" w:firstLineChars="0"/>
        <w:outlineLvl w:val="3"/>
        <w:rPr>
          <w:rFonts w:ascii="Times New Roman" w:hAnsi="Times New Roman"/>
          <w:b/>
          <w:szCs w:val="24"/>
        </w:rPr>
      </w:pPr>
      <w:r>
        <w:rPr>
          <w:rFonts w:ascii="Times New Roman" w:hAnsi="Times New Roman"/>
          <w:b/>
          <w:szCs w:val="24"/>
        </w:rPr>
        <w:t>3.5.1.3 试气工程环境影响分析</w:t>
      </w:r>
    </w:p>
    <w:p>
      <w:pPr>
        <w:ind w:firstLine="480"/>
        <w:rPr>
          <w:rFonts w:ascii="Times New Roman" w:hAnsi="Times New Roman"/>
          <w:szCs w:val="24"/>
        </w:rPr>
      </w:pPr>
      <w:r>
        <w:rPr>
          <w:rFonts w:ascii="Times New Roman" w:hAnsi="Times New Roman"/>
          <w:szCs w:val="24"/>
        </w:rPr>
        <w:t>试气工程期间污染源主要有放喷产生的废气、废水和设备噪声。</w:t>
      </w:r>
    </w:p>
    <w:p>
      <w:pPr>
        <w:ind w:firstLine="480"/>
        <w:rPr>
          <w:rFonts w:ascii="Times New Roman" w:hAnsi="Times New Roman"/>
          <w:szCs w:val="24"/>
        </w:rPr>
      </w:pPr>
      <w:r>
        <w:rPr>
          <w:rFonts w:ascii="Times New Roman" w:hAnsi="Times New Roman"/>
          <w:szCs w:val="24"/>
        </w:rPr>
        <w:t>（1）废气</w:t>
      </w:r>
    </w:p>
    <w:p>
      <w:pPr>
        <w:ind w:firstLine="480"/>
        <w:rPr>
          <w:rFonts w:ascii="Times New Roman" w:hAnsi="Times New Roman"/>
          <w:szCs w:val="24"/>
        </w:rPr>
      </w:pPr>
      <w:r>
        <w:rPr>
          <w:rFonts w:ascii="Times New Roman" w:hAnsi="Times New Roman"/>
          <w:szCs w:val="24"/>
        </w:rPr>
        <w:t>在试气期，采出的煤成气压力低、气量少，不能进入采气系统管线，需要在井场放空处理，煤成气引入装置区外的高压火炬系统进行焚烧处理，点火采用自动电子点火方式。待煤成气压力稳定、产量提升后，可接入采气管网。</w:t>
      </w:r>
    </w:p>
    <w:p>
      <w:pPr>
        <w:ind w:firstLine="480"/>
        <w:rPr>
          <w:rFonts w:ascii="Times New Roman" w:hAnsi="Times New Roman"/>
          <w:szCs w:val="24"/>
        </w:rPr>
      </w:pPr>
      <w:r>
        <w:rPr>
          <w:rFonts w:ascii="Times New Roman" w:hAnsi="Times New Roman"/>
          <w:szCs w:val="24"/>
        </w:rPr>
        <w:t>煤成气主要成分为甲烷，燃烧后的产物主要为CO</w:t>
      </w:r>
      <w:r>
        <w:rPr>
          <w:rFonts w:ascii="Times New Roman" w:hAnsi="Times New Roman"/>
          <w:szCs w:val="24"/>
          <w:vertAlign w:val="subscript"/>
        </w:rPr>
        <w:t>2</w:t>
      </w:r>
      <w:r>
        <w:rPr>
          <w:rFonts w:ascii="Times New Roman" w:hAnsi="Times New Roman"/>
          <w:szCs w:val="24"/>
        </w:rPr>
        <w:t>和H</w:t>
      </w:r>
      <w:r>
        <w:rPr>
          <w:rFonts w:ascii="Times New Roman" w:hAnsi="Times New Roman"/>
          <w:szCs w:val="24"/>
          <w:vertAlign w:val="subscript"/>
        </w:rPr>
        <w:t>2</w:t>
      </w:r>
      <w:r>
        <w:rPr>
          <w:rFonts w:ascii="Times New Roman" w:hAnsi="Times New Roman"/>
          <w:szCs w:val="24"/>
        </w:rPr>
        <w:t>O。试气测试时间为20天，试气期时间短，CO</w:t>
      </w:r>
      <w:r>
        <w:rPr>
          <w:rFonts w:ascii="Times New Roman" w:hAnsi="Times New Roman"/>
          <w:szCs w:val="24"/>
          <w:vertAlign w:val="subscript"/>
        </w:rPr>
        <w:t>2</w:t>
      </w:r>
      <w:r>
        <w:rPr>
          <w:rFonts w:ascii="Times New Roman" w:hAnsi="Times New Roman"/>
          <w:szCs w:val="24"/>
        </w:rPr>
        <w:t>排放量小。试气工程结束后，影响将结束。</w:t>
      </w:r>
    </w:p>
    <w:p>
      <w:pPr>
        <w:ind w:firstLine="480"/>
        <w:rPr>
          <w:rFonts w:ascii="Times New Roman" w:hAnsi="Times New Roman"/>
          <w:szCs w:val="24"/>
        </w:rPr>
      </w:pPr>
      <w:r>
        <w:rPr>
          <w:rFonts w:ascii="Times New Roman" w:hAnsi="Times New Roman"/>
          <w:szCs w:val="24"/>
        </w:rPr>
        <w:t>（2）废水</w:t>
      </w:r>
    </w:p>
    <w:p>
      <w:pPr>
        <w:ind w:firstLine="480"/>
        <w:rPr>
          <w:rFonts w:ascii="Times New Roman" w:hAnsi="Times New Roman"/>
          <w:szCs w:val="24"/>
        </w:rPr>
      </w:pPr>
      <w:r>
        <w:rPr>
          <w:rFonts w:ascii="Times New Roman" w:hAnsi="Times New Roman"/>
          <w:szCs w:val="24"/>
        </w:rPr>
        <w:t>试气期生产废水主要为压裂返排液后续排水。压裂返排液和煤成气一同排出，经三相分离器分离后，压裂返排液排入压裂返排液储罐中回用于压裂工程。根据建设单位提供的资料，预计试气期单井压裂返排液量为0~2 m</w:t>
      </w:r>
      <w:r>
        <w:rPr>
          <w:rFonts w:ascii="Times New Roman" w:hAnsi="Times New Roman"/>
          <w:szCs w:val="24"/>
          <w:vertAlign w:val="superscript"/>
        </w:rPr>
        <w:t>3</w:t>
      </w:r>
      <w:r>
        <w:rPr>
          <w:rFonts w:ascii="Times New Roman" w:hAnsi="Times New Roman"/>
          <w:szCs w:val="24"/>
        </w:rPr>
        <w:t>/d。</w:t>
      </w:r>
    </w:p>
    <w:p>
      <w:pPr>
        <w:ind w:firstLine="480"/>
        <w:rPr>
          <w:rFonts w:ascii="Times New Roman" w:hAnsi="Times New Roman"/>
          <w:szCs w:val="24"/>
        </w:rPr>
      </w:pPr>
      <w:r>
        <w:rPr>
          <w:rFonts w:ascii="Times New Roman" w:hAnsi="Times New Roman"/>
          <w:szCs w:val="24"/>
        </w:rPr>
        <w:t>（3）噪声</w:t>
      </w:r>
    </w:p>
    <w:p>
      <w:pPr>
        <w:ind w:firstLine="480"/>
        <w:rPr>
          <w:rFonts w:ascii="Times New Roman" w:hAnsi="Times New Roman"/>
          <w:szCs w:val="24"/>
        </w:rPr>
      </w:pPr>
      <w:r>
        <w:rPr>
          <w:rFonts w:ascii="Times New Roman" w:hAnsi="Times New Roman"/>
          <w:szCs w:val="24"/>
        </w:rPr>
        <w:t>试气期间产生的噪声主要有柴油发电机组噪声和火炬噪声。要噪声源见表3.5-9。</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表3.5-9 试气期间噪声源</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7"/>
        <w:gridCol w:w="2137"/>
        <w:gridCol w:w="2623"/>
        <w:gridCol w:w="1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序号</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噪声源</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声级dB（A）</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1</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柴油发电机</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4" w:type="pct"/>
          </w:tcPr>
          <w:p>
            <w:pPr>
              <w:spacing w:line="240" w:lineRule="auto"/>
              <w:ind w:firstLine="0" w:firstLineChars="0"/>
              <w:jc w:val="center"/>
              <w:rPr>
                <w:rFonts w:ascii="Times New Roman" w:hAnsi="Times New Roman"/>
                <w:sz w:val="21"/>
              </w:rPr>
            </w:pPr>
            <w:r>
              <w:rPr>
                <w:rFonts w:ascii="Times New Roman" w:hAnsi="Times New Roman"/>
                <w:sz w:val="21"/>
              </w:rPr>
              <w:t>2</w:t>
            </w:r>
          </w:p>
        </w:tc>
        <w:tc>
          <w:tcPr>
            <w:tcW w:w="125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火炬</w:t>
            </w:r>
          </w:p>
        </w:tc>
        <w:tc>
          <w:tcPr>
            <w:tcW w:w="1539"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95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连续</w:t>
            </w:r>
          </w:p>
        </w:tc>
      </w:tr>
    </w:tbl>
    <w:p>
      <w:pPr>
        <w:ind w:firstLine="0" w:firstLineChars="0"/>
        <w:outlineLvl w:val="2"/>
        <w:rPr>
          <w:rFonts w:ascii="Times New Roman" w:hAnsi="Times New Roman"/>
          <w:b/>
          <w:sz w:val="28"/>
          <w:szCs w:val="28"/>
        </w:rPr>
      </w:pPr>
      <w:bookmarkStart w:id="50" w:name="_Toc524624585"/>
      <w:r>
        <w:rPr>
          <w:rFonts w:ascii="Times New Roman" w:hAnsi="Times New Roman"/>
          <w:b/>
          <w:sz w:val="28"/>
          <w:szCs w:val="28"/>
        </w:rPr>
        <w:t>3.5.2 运营期环境影响分析</w:t>
      </w:r>
      <w:bookmarkEnd w:id="50"/>
    </w:p>
    <w:p>
      <w:pPr>
        <w:snapToGrid w:val="0"/>
        <w:ind w:firstLine="0" w:firstLineChars="0"/>
        <w:outlineLvl w:val="3"/>
        <w:rPr>
          <w:rFonts w:ascii="Times New Roman" w:hAnsi="Times New Roman"/>
          <w:b/>
          <w:szCs w:val="24"/>
        </w:rPr>
      </w:pPr>
      <w:r>
        <w:rPr>
          <w:rFonts w:ascii="Times New Roman" w:hAnsi="Times New Roman"/>
          <w:b/>
          <w:szCs w:val="24"/>
        </w:rPr>
        <w:t>3.5.2.1 大气环境影响分析</w:t>
      </w:r>
    </w:p>
    <w:p>
      <w:pPr>
        <w:snapToGrid w:val="0"/>
        <w:ind w:firstLine="480"/>
        <w:rPr>
          <w:rFonts w:ascii="Times New Roman" w:hAnsi="Times New Roman"/>
          <w:szCs w:val="24"/>
        </w:rPr>
      </w:pPr>
      <w:r>
        <w:rPr>
          <w:rFonts w:ascii="Times New Roman" w:hAnsi="Times New Roman"/>
          <w:szCs w:val="24"/>
        </w:rPr>
        <w:t>运营期的大气污染物排放源主要为燃气锅炉</w:t>
      </w:r>
      <w:r>
        <w:rPr>
          <w:rFonts w:hint="eastAsia" w:ascii="Times New Roman" w:hAnsi="Times New Roman"/>
          <w:szCs w:val="24"/>
        </w:rPr>
        <w:t>废气</w:t>
      </w:r>
      <w:r>
        <w:rPr>
          <w:rFonts w:ascii="Times New Roman" w:hAnsi="Times New Roman"/>
          <w:szCs w:val="24"/>
        </w:rPr>
        <w:t>、煤成气集输过程中挥发损失的烃类气体等。</w:t>
      </w:r>
    </w:p>
    <w:p>
      <w:pPr>
        <w:snapToGrid w:val="0"/>
        <w:ind w:firstLine="480"/>
        <w:rPr>
          <w:rFonts w:ascii="Times New Roman" w:hAnsi="Times New Roman"/>
          <w:szCs w:val="24"/>
        </w:rPr>
      </w:pPr>
      <w:r>
        <w:rPr>
          <w:rFonts w:ascii="Times New Roman" w:hAnsi="Times New Roman"/>
          <w:szCs w:val="24"/>
        </w:rPr>
        <w:t>①燃气锅炉废气</w:t>
      </w:r>
    </w:p>
    <w:p>
      <w:pPr>
        <w:snapToGrid w:val="0"/>
        <w:ind w:firstLine="480"/>
        <w:rPr>
          <w:rFonts w:ascii="Times New Roman" w:hAnsi="Times New Roman"/>
          <w:szCs w:val="24"/>
        </w:rPr>
      </w:pPr>
      <w:r>
        <w:rPr>
          <w:rFonts w:ascii="Times New Roman" w:hAnsi="Times New Roman"/>
          <w:szCs w:val="24"/>
        </w:rPr>
        <w:t>本项目共设燃气锅炉</w:t>
      </w:r>
      <w:r>
        <w:rPr>
          <w:rFonts w:hint="eastAsia" w:ascii="Times New Roman" w:hAnsi="Times New Roman"/>
          <w:szCs w:val="24"/>
        </w:rPr>
        <w:t>4</w:t>
      </w:r>
      <w:r>
        <w:rPr>
          <w:rFonts w:ascii="Times New Roman" w:hAnsi="Times New Roman"/>
          <w:szCs w:val="24"/>
        </w:rPr>
        <w:t>台，锅炉情况见表表3.5-10</w:t>
      </w:r>
      <w:r>
        <w:rPr>
          <w:rFonts w:hint="eastAsia" w:ascii="Times New Roman" w:hAnsi="Times New Roman"/>
          <w:szCs w:val="24"/>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表3.5-10 本项目燃气锅炉列表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399"/>
        <w:gridCol w:w="2205"/>
        <w:gridCol w:w="770"/>
        <w:gridCol w:w="1560"/>
        <w:gridCol w:w="707"/>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序号</w:t>
            </w:r>
          </w:p>
        </w:tc>
        <w:tc>
          <w:tcPr>
            <w:tcW w:w="821"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锅炉位置</w:t>
            </w:r>
          </w:p>
        </w:tc>
        <w:tc>
          <w:tcPr>
            <w:tcW w:w="1294"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锅炉型号</w:t>
            </w:r>
          </w:p>
        </w:tc>
        <w:tc>
          <w:tcPr>
            <w:tcW w:w="45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数量</w:t>
            </w:r>
          </w:p>
        </w:tc>
        <w:tc>
          <w:tcPr>
            <w:tcW w:w="91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燃气量</w:t>
            </w:r>
          </w:p>
        </w:tc>
        <w:tc>
          <w:tcPr>
            <w:tcW w:w="41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用途</w:t>
            </w:r>
          </w:p>
        </w:tc>
        <w:tc>
          <w:tcPr>
            <w:tcW w:w="69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w:t>
            </w:r>
          </w:p>
        </w:tc>
        <w:tc>
          <w:tcPr>
            <w:tcW w:w="821"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办公生活区</w:t>
            </w:r>
          </w:p>
        </w:tc>
        <w:tc>
          <w:tcPr>
            <w:tcW w:w="129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CLHS0.</w:t>
            </w:r>
            <w:r>
              <w:rPr>
                <w:rFonts w:hint="eastAsia" w:ascii="Times New Roman" w:hAnsi="Times New Roman"/>
                <w:sz w:val="21"/>
              </w:rPr>
              <w:t>7</w:t>
            </w:r>
            <w:r>
              <w:rPr>
                <w:rFonts w:ascii="Times New Roman" w:hAnsi="Times New Roman"/>
                <w:sz w:val="21"/>
              </w:rPr>
              <w:t>-</w:t>
            </w:r>
            <w:r>
              <w:rPr>
                <w:rFonts w:hint="eastAsia" w:ascii="Times New Roman" w:hAnsi="Times New Roman"/>
                <w:sz w:val="21"/>
              </w:rPr>
              <w:t>80</w:t>
            </w:r>
            <w:r>
              <w:rPr>
                <w:rFonts w:ascii="Times New Roman" w:hAnsi="Times New Roman"/>
                <w:sz w:val="21"/>
              </w:rPr>
              <w:t>/6</w:t>
            </w:r>
            <w:r>
              <w:rPr>
                <w:rFonts w:hint="eastAsia" w:ascii="Times New Roman" w:hAnsi="Times New Roman"/>
                <w:sz w:val="21"/>
              </w:rPr>
              <w:t>0</w:t>
            </w:r>
            <w:r>
              <w:rPr>
                <w:rFonts w:ascii="Times New Roman" w:hAnsi="Times New Roman"/>
                <w:sz w:val="21"/>
              </w:rPr>
              <w:t>-Q(Y)</w:t>
            </w:r>
          </w:p>
        </w:tc>
        <w:tc>
          <w:tcPr>
            <w:tcW w:w="45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2台</w:t>
            </w:r>
          </w:p>
        </w:tc>
        <w:tc>
          <w:tcPr>
            <w:tcW w:w="91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13.32万</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/a</w:t>
            </w:r>
          </w:p>
        </w:tc>
        <w:tc>
          <w:tcPr>
            <w:tcW w:w="41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供暖</w:t>
            </w:r>
          </w:p>
        </w:tc>
        <w:tc>
          <w:tcPr>
            <w:tcW w:w="69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w:t>
            </w:r>
          </w:p>
        </w:tc>
        <w:tc>
          <w:tcPr>
            <w:tcW w:w="821"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净化处理站</w:t>
            </w:r>
          </w:p>
        </w:tc>
        <w:tc>
          <w:tcPr>
            <w:tcW w:w="129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CLHS0.6-95/65-Q(Y)</w:t>
            </w:r>
          </w:p>
        </w:tc>
        <w:tc>
          <w:tcPr>
            <w:tcW w:w="45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w:t>
            </w:r>
            <w:r>
              <w:rPr>
                <w:rFonts w:ascii="Times New Roman" w:hAnsi="Times New Roman"/>
                <w:sz w:val="21"/>
              </w:rPr>
              <w:t>台</w:t>
            </w:r>
          </w:p>
        </w:tc>
        <w:tc>
          <w:tcPr>
            <w:tcW w:w="91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18万</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/a</w:t>
            </w:r>
          </w:p>
        </w:tc>
        <w:tc>
          <w:tcPr>
            <w:tcW w:w="41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供热</w:t>
            </w:r>
          </w:p>
        </w:tc>
        <w:tc>
          <w:tcPr>
            <w:tcW w:w="69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一用一备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21"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蒸发处理站</w:t>
            </w:r>
          </w:p>
        </w:tc>
        <w:tc>
          <w:tcPr>
            <w:tcW w:w="129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CLHS0.6-95/65-Q(Y)</w:t>
            </w:r>
          </w:p>
        </w:tc>
        <w:tc>
          <w:tcPr>
            <w:tcW w:w="45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w:t>
            </w:r>
            <w:r>
              <w:rPr>
                <w:rFonts w:ascii="Times New Roman" w:hAnsi="Times New Roman"/>
                <w:sz w:val="21"/>
              </w:rPr>
              <w:t>台</w:t>
            </w:r>
          </w:p>
        </w:tc>
        <w:tc>
          <w:tcPr>
            <w:tcW w:w="91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18万</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/a</w:t>
            </w:r>
          </w:p>
        </w:tc>
        <w:tc>
          <w:tcPr>
            <w:tcW w:w="41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供热</w:t>
            </w:r>
          </w:p>
        </w:tc>
        <w:tc>
          <w:tcPr>
            <w:tcW w:w="695"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一用一备</w:t>
            </w:r>
          </w:p>
        </w:tc>
      </w:tr>
    </w:tbl>
    <w:p>
      <w:pPr>
        <w:snapToGrid w:val="0"/>
        <w:spacing w:before="156" w:beforeLines="50"/>
        <w:ind w:firstLine="480"/>
        <w:rPr>
          <w:rFonts w:ascii="Times New Roman" w:hAnsi="Times New Roman"/>
          <w:szCs w:val="24"/>
        </w:rPr>
      </w:pPr>
      <w:r>
        <w:rPr>
          <w:rFonts w:ascii="Times New Roman" w:hAnsi="Times New Roman"/>
          <w:szCs w:val="24"/>
        </w:rPr>
        <w:t>本项目燃气锅炉燃烧的气体为本项自产的煤成气。根据对煤成气组分了解，不含有硫化氢，不产生SO</w:t>
      </w:r>
      <w:r>
        <w:rPr>
          <w:rFonts w:ascii="Times New Roman" w:hAnsi="Times New Roman"/>
          <w:szCs w:val="24"/>
          <w:vertAlign w:val="subscript"/>
        </w:rPr>
        <w:t>2</w:t>
      </w:r>
      <w:r>
        <w:rPr>
          <w:rFonts w:ascii="Times New Roman" w:hAnsi="Times New Roman"/>
          <w:szCs w:val="24"/>
        </w:rPr>
        <w:t>。NOx排污系数参考《第一次全国污染源普查工业污染源产排污系数手册》中NOx系数为18.71kg/10</w:t>
      </w:r>
      <w:r>
        <w:rPr>
          <w:rFonts w:ascii="Times New Roman" w:hAnsi="Times New Roman"/>
          <w:szCs w:val="24"/>
          <w:vertAlign w:val="superscript"/>
        </w:rPr>
        <w:t>4</w:t>
      </w:r>
      <w:r>
        <w:rPr>
          <w:rFonts w:ascii="Times New Roman" w:hAnsi="Times New Roman"/>
          <w:szCs w:val="24"/>
        </w:rPr>
        <w:t>m³，经计算</w:t>
      </w:r>
      <w:r>
        <w:rPr>
          <w:rFonts w:hint="eastAsia" w:ascii="Times New Roman" w:hAnsi="Times New Roman"/>
          <w:szCs w:val="24"/>
        </w:rPr>
        <w:t>办公生活区、净化处理站和蒸发处理站的燃气锅炉烟气中</w:t>
      </w:r>
      <w:r>
        <w:rPr>
          <w:rFonts w:ascii="Times New Roman" w:hAnsi="Times New Roman"/>
          <w:szCs w:val="24"/>
        </w:rPr>
        <w:t>NOx产生量</w:t>
      </w:r>
      <w:r>
        <w:rPr>
          <w:rFonts w:hint="eastAsia" w:ascii="Times New Roman" w:hAnsi="Times New Roman"/>
          <w:szCs w:val="24"/>
        </w:rPr>
        <w:t>分别为0.24922t</w:t>
      </w:r>
      <w:r>
        <w:rPr>
          <w:rFonts w:ascii="Times New Roman" w:hAnsi="Times New Roman"/>
          <w:szCs w:val="24"/>
        </w:rPr>
        <w:t>/a</w:t>
      </w:r>
      <w:r>
        <w:rPr>
          <w:rFonts w:hint="eastAsia" w:ascii="Times New Roman" w:hAnsi="Times New Roman"/>
          <w:szCs w:val="24"/>
        </w:rPr>
        <w:t>、0.33678t/a、0.33678t/a</w:t>
      </w:r>
      <w:r>
        <w:rPr>
          <w:rFonts w:ascii="Times New Roman" w:hAnsi="Times New Roman"/>
          <w:szCs w:val="24"/>
        </w:rPr>
        <w:t>。污染物浓度满足《锅炉大气污染物排放标准》（GB13271-2014）要求。</w:t>
      </w:r>
    </w:p>
    <w:p>
      <w:pPr>
        <w:snapToGrid w:val="0"/>
        <w:ind w:firstLine="480"/>
        <w:rPr>
          <w:rFonts w:ascii="Times New Roman" w:hAnsi="Times New Roman"/>
          <w:szCs w:val="24"/>
        </w:rPr>
      </w:pPr>
      <w:r>
        <w:rPr>
          <w:rFonts w:ascii="Times New Roman" w:hAnsi="Times New Roman"/>
          <w:szCs w:val="24"/>
        </w:rPr>
        <w:t>②</w:t>
      </w:r>
      <w:bookmarkStart w:id="51" w:name="_Toc227475056"/>
      <w:r>
        <w:rPr>
          <w:rFonts w:ascii="Times New Roman" w:hAnsi="Times New Roman"/>
          <w:szCs w:val="24"/>
        </w:rPr>
        <w:t>煤成气集输过程中挥发烃类气体</w:t>
      </w:r>
      <w:bookmarkEnd w:id="51"/>
    </w:p>
    <w:p>
      <w:pPr>
        <w:ind w:firstLine="480"/>
        <w:rPr>
          <w:rFonts w:ascii="Times New Roman" w:hAnsi="Times New Roman"/>
          <w:szCs w:val="24"/>
        </w:rPr>
      </w:pPr>
      <w:r>
        <w:rPr>
          <w:rFonts w:ascii="Times New Roman" w:hAnsi="Times New Roman"/>
          <w:szCs w:val="24"/>
        </w:rPr>
        <w:t>烃类气体的挥发损失存在于煤成气生产全过程的各个节点上，主要节点为单井、集气站等。煤成气集输及处理采用全密闭流程，极大的减少了烃类气体的挥发量，从国内外有关资料和类比国内其它油气田的实际运行数据来看，总损失率可控制在0.4‰以下，本项目煤成气总损失率按0.4‰考虑。即本项目烃类无组织挥发量约为6.4万m</w:t>
      </w:r>
      <w:r>
        <w:rPr>
          <w:rFonts w:ascii="Times New Roman" w:hAnsi="Times New Roman"/>
          <w:szCs w:val="24"/>
          <w:vertAlign w:val="superscript"/>
        </w:rPr>
        <w:t>3</w:t>
      </w:r>
      <w:r>
        <w:rPr>
          <w:rFonts w:ascii="Times New Roman" w:hAnsi="Times New Roman"/>
          <w:szCs w:val="24"/>
        </w:rPr>
        <w:t>/a。根据本气田各组分的占比，其中非甲烷总烃量约为0.066万m</w:t>
      </w:r>
      <w:r>
        <w:rPr>
          <w:rFonts w:ascii="Times New Roman" w:hAnsi="Times New Roman"/>
          <w:szCs w:val="24"/>
          <w:vertAlign w:val="superscript"/>
        </w:rPr>
        <w:t>3</w:t>
      </w:r>
      <w:r>
        <w:rPr>
          <w:rFonts w:ascii="Times New Roman" w:hAnsi="Times New Roman"/>
          <w:szCs w:val="24"/>
        </w:rPr>
        <w:t>/a。</w:t>
      </w:r>
    </w:p>
    <w:p>
      <w:pPr>
        <w:snapToGrid w:val="0"/>
        <w:ind w:firstLine="480"/>
        <w:rPr>
          <w:rFonts w:ascii="Times New Roman" w:hAnsi="Times New Roman"/>
          <w:szCs w:val="24"/>
        </w:rPr>
      </w:pPr>
      <w:r>
        <w:rPr>
          <w:rFonts w:ascii="Times New Roman" w:hAnsi="Times New Roman"/>
          <w:szCs w:val="24"/>
        </w:rPr>
        <w:t>本项目运营期各种废气排放情况详见表3.5-1</w:t>
      </w:r>
      <w:r>
        <w:rPr>
          <w:rFonts w:hint="eastAsia" w:ascii="Times New Roman" w:hAnsi="Times New Roman"/>
          <w:szCs w:val="24"/>
        </w:rPr>
        <w:t>1</w:t>
      </w:r>
      <w:r>
        <w:rPr>
          <w:rFonts w:ascii="Times New Roman" w:hAnsi="Times New Roman"/>
          <w:szCs w:val="24"/>
        </w:rPr>
        <w:t>。</w:t>
      </w: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表3.5-1</w:t>
      </w:r>
      <w:r>
        <w:rPr>
          <w:rFonts w:hint="eastAsia" w:ascii="Times New Roman" w:hAnsi="Times New Roman"/>
          <w:b/>
          <w:bCs/>
          <w:sz w:val="21"/>
        </w:rPr>
        <w:t>1</w:t>
      </w:r>
      <w:r>
        <w:rPr>
          <w:rFonts w:ascii="Times New Roman" w:hAnsi="Times New Roman"/>
          <w:b/>
          <w:bCs/>
          <w:sz w:val="21"/>
        </w:rPr>
        <w:t>运营期各种废气排放统计表</w:t>
      </w:r>
    </w:p>
    <w:tbl>
      <w:tblPr>
        <w:tblStyle w:val="18"/>
        <w:tblW w:w="4937" w:type="pct"/>
        <w:tblInd w:w="0" w:type="dxa"/>
        <w:tblBorders>
          <w:top w:val="single" w:color="auto" w:sz="8" w:space="0"/>
          <w:left w:val="single" w:color="auto" w:sz="8" w:space="0"/>
          <w:bottom w:val="none" w:color="auto" w:sz="0"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00"/>
        <w:gridCol w:w="1594"/>
        <w:gridCol w:w="1907"/>
        <w:gridCol w:w="1907"/>
        <w:gridCol w:w="1907"/>
      </w:tblGrid>
      <w:tr>
        <w:tblPrEx>
          <w:tblBorders>
            <w:top w:val="single" w:color="auto" w:sz="8" w:space="0"/>
            <w:left w:val="single" w:color="auto" w:sz="8" w:space="0"/>
            <w:bottom w:val="none" w:color="auto" w:sz="0"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27" w:hRule="atLeast"/>
        </w:trPr>
        <w:tc>
          <w:tcPr>
            <w:tcW w:w="1601" w:type="pct"/>
            <w:gridSpan w:val="2"/>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污染源</w:t>
            </w:r>
          </w:p>
        </w:tc>
        <w:tc>
          <w:tcPr>
            <w:tcW w:w="3399" w:type="pct"/>
            <w:gridSpan w:val="3"/>
            <w:vAlign w:val="center"/>
          </w:tcPr>
          <w:p>
            <w:pPr>
              <w:spacing w:line="240" w:lineRule="auto"/>
              <w:ind w:firstLine="0" w:firstLineChars="0"/>
              <w:jc w:val="center"/>
              <w:rPr>
                <w:rFonts w:ascii="Times New Roman" w:hAnsi="Times New Roman"/>
                <w:sz w:val="21"/>
              </w:rPr>
            </w:pPr>
            <w:r>
              <w:rPr>
                <w:rFonts w:ascii="Times New Roman" w:hAnsi="Times New Roman"/>
                <w:sz w:val="21"/>
              </w:rPr>
              <w:t>污染物排放量</w:t>
            </w:r>
          </w:p>
        </w:tc>
      </w:tr>
      <w:tr>
        <w:tblPrEx>
          <w:tblBorders>
            <w:top w:val="single" w:color="auto" w:sz="8" w:space="0"/>
            <w:left w:val="single" w:color="auto" w:sz="8" w:space="0"/>
            <w:bottom w:val="none" w:color="auto" w:sz="0"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27" w:hRule="atLeast"/>
        </w:trPr>
        <w:tc>
          <w:tcPr>
            <w:tcW w:w="1601" w:type="pct"/>
            <w:gridSpan w:val="2"/>
            <w:vMerge w:val="continue"/>
            <w:vAlign w:val="center"/>
          </w:tcPr>
          <w:p>
            <w:pPr>
              <w:spacing w:line="240" w:lineRule="auto"/>
              <w:ind w:firstLine="0" w:firstLineChars="0"/>
              <w:jc w:val="center"/>
              <w:rPr>
                <w:rFonts w:ascii="Times New Roman" w:hAnsi="Times New Roman"/>
                <w:sz w:val="21"/>
              </w:rPr>
            </w:pP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总烃</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NOx</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84" w:hRule="atLeast"/>
        </w:trPr>
        <w:tc>
          <w:tcPr>
            <w:tcW w:w="65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燃气锅炉排放烟气</w:t>
            </w:r>
          </w:p>
        </w:tc>
        <w:tc>
          <w:tcPr>
            <w:tcW w:w="94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办公生活区</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113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0.24922t</w:t>
            </w:r>
            <w:r>
              <w:rPr>
                <w:rFonts w:ascii="Times New Roman" w:hAnsi="Times New Roman"/>
                <w:sz w:val="21"/>
              </w:rPr>
              <w: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84" w:hRule="atLeast"/>
        </w:trPr>
        <w:tc>
          <w:tcPr>
            <w:tcW w:w="654" w:type="pct"/>
            <w:vMerge w:val="continue"/>
            <w:vAlign w:val="center"/>
          </w:tcPr>
          <w:p>
            <w:pPr>
              <w:spacing w:line="240" w:lineRule="auto"/>
              <w:ind w:firstLine="0" w:firstLineChars="0"/>
              <w:jc w:val="center"/>
              <w:rPr>
                <w:rFonts w:ascii="Times New Roman" w:hAnsi="Times New Roman"/>
                <w:sz w:val="21"/>
              </w:rPr>
            </w:pPr>
          </w:p>
        </w:tc>
        <w:tc>
          <w:tcPr>
            <w:tcW w:w="94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净化处理站</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1133" w:type="pct"/>
          </w:tcPr>
          <w:p>
            <w:pPr>
              <w:spacing w:line="240" w:lineRule="auto"/>
              <w:ind w:firstLine="0" w:firstLineChars="0"/>
              <w:jc w:val="center"/>
              <w:rPr>
                <w:rFonts w:ascii="Times New Roman" w:hAnsi="Times New Roman"/>
                <w:sz w:val="21"/>
              </w:rPr>
            </w:pPr>
            <w:r>
              <w:rPr>
                <w:rFonts w:hint="eastAsia" w:ascii="Times New Roman" w:hAnsi="Times New Roman"/>
                <w:sz w:val="21"/>
              </w:rPr>
              <w:t>0</w:t>
            </w:r>
          </w:p>
        </w:tc>
        <w:tc>
          <w:tcPr>
            <w:tcW w:w="1133" w:type="pct"/>
          </w:tcPr>
          <w:p>
            <w:pPr>
              <w:spacing w:line="240" w:lineRule="auto"/>
              <w:ind w:firstLine="0" w:firstLineChars="0"/>
              <w:jc w:val="center"/>
              <w:rPr>
                <w:rFonts w:ascii="Times New Roman" w:hAnsi="Times New Roman"/>
                <w:sz w:val="21"/>
              </w:rPr>
            </w:pPr>
            <w:r>
              <w:rPr>
                <w:rFonts w:hint="eastAsia" w:ascii="Times New Roman" w:hAnsi="Times New Roman"/>
                <w:sz w:val="21"/>
              </w:rPr>
              <w:t>0.33678t/a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84" w:hRule="atLeast"/>
        </w:trPr>
        <w:tc>
          <w:tcPr>
            <w:tcW w:w="654" w:type="pct"/>
            <w:vMerge w:val="continue"/>
            <w:tcBorders>
              <w:bottom w:val="nil"/>
            </w:tcBorders>
            <w:vAlign w:val="center"/>
          </w:tcPr>
          <w:p>
            <w:pPr>
              <w:spacing w:line="240" w:lineRule="auto"/>
              <w:ind w:firstLine="0" w:firstLineChars="0"/>
              <w:jc w:val="center"/>
              <w:rPr>
                <w:rFonts w:ascii="Times New Roman" w:hAnsi="Times New Roman"/>
                <w:sz w:val="21"/>
              </w:rPr>
            </w:pPr>
          </w:p>
        </w:tc>
        <w:tc>
          <w:tcPr>
            <w:tcW w:w="947" w:type="pct"/>
            <w:tcBorders>
              <w:bottom w:val="nil"/>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蒸发处理站</w:t>
            </w:r>
          </w:p>
        </w:tc>
        <w:tc>
          <w:tcPr>
            <w:tcW w:w="1133" w:type="pct"/>
            <w:tcBorders>
              <w:bottom w:val="nil"/>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1133" w:type="pct"/>
            <w:tcBorders>
              <w:bottom w:val="nil"/>
            </w:tcBorders>
          </w:tcPr>
          <w:p>
            <w:pPr>
              <w:spacing w:line="240" w:lineRule="auto"/>
              <w:ind w:firstLine="0" w:firstLineChars="0"/>
              <w:jc w:val="center"/>
              <w:rPr>
                <w:rFonts w:ascii="Times New Roman" w:hAnsi="Times New Roman"/>
                <w:sz w:val="21"/>
              </w:rPr>
            </w:pPr>
            <w:r>
              <w:rPr>
                <w:rFonts w:hint="eastAsia" w:ascii="Times New Roman" w:hAnsi="Times New Roman"/>
                <w:sz w:val="21"/>
              </w:rPr>
              <w:t>0</w:t>
            </w:r>
          </w:p>
        </w:tc>
        <w:tc>
          <w:tcPr>
            <w:tcW w:w="1133" w:type="pct"/>
            <w:tcBorders>
              <w:bottom w:val="nil"/>
            </w:tcBorders>
          </w:tcPr>
          <w:p>
            <w:pPr>
              <w:spacing w:line="240" w:lineRule="auto"/>
              <w:ind w:firstLine="0" w:firstLineChars="0"/>
              <w:jc w:val="center"/>
              <w:rPr>
                <w:rFonts w:ascii="Times New Roman" w:hAnsi="Times New Roman"/>
                <w:sz w:val="21"/>
              </w:rPr>
            </w:pPr>
            <w:r>
              <w:rPr>
                <w:rFonts w:hint="eastAsia" w:ascii="Times New Roman" w:hAnsi="Times New Roman"/>
                <w:sz w:val="21"/>
              </w:rPr>
              <w:t>0.33678t/a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84" w:hRule="atLeast"/>
        </w:trPr>
        <w:tc>
          <w:tcPr>
            <w:tcW w:w="1601" w:type="pct"/>
            <w:gridSpan w:val="2"/>
            <w:vAlign w:val="center"/>
          </w:tcPr>
          <w:p>
            <w:pPr>
              <w:spacing w:line="240" w:lineRule="auto"/>
              <w:ind w:firstLine="0" w:firstLineChars="0"/>
              <w:jc w:val="center"/>
              <w:rPr>
                <w:rFonts w:ascii="Times New Roman" w:hAnsi="Times New Roman"/>
                <w:sz w:val="21"/>
              </w:rPr>
            </w:pPr>
            <w:r>
              <w:rPr>
                <w:rFonts w:ascii="Times New Roman" w:hAnsi="Times New Roman"/>
                <w:sz w:val="21"/>
              </w:rPr>
              <w:t>集输过程挥发烃类气体</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6.4万m</w:t>
            </w:r>
            <w:r>
              <w:rPr>
                <w:rFonts w:ascii="Times New Roman" w:hAnsi="Times New Roman"/>
                <w:sz w:val="21"/>
                <w:vertAlign w:val="superscript"/>
              </w:rPr>
              <w:t>3</w:t>
            </w:r>
            <w:r>
              <w:rPr>
                <w:rFonts w:ascii="Times New Roman" w:hAnsi="Times New Roman"/>
                <w:sz w:val="21"/>
              </w:rPr>
              <w:t>/a</w:t>
            </w:r>
          </w:p>
        </w:tc>
        <w:tc>
          <w:tcPr>
            <w:tcW w:w="1133" w:type="pct"/>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1133" w:type="pct"/>
          </w:tcPr>
          <w:p>
            <w:pPr>
              <w:spacing w:line="240" w:lineRule="auto"/>
              <w:ind w:firstLine="0" w:firstLineChars="0"/>
              <w:jc w:val="center"/>
              <w:rPr>
                <w:rFonts w:ascii="Times New Roman" w:hAnsi="Times New Roman"/>
                <w:sz w:val="21"/>
              </w:rPr>
            </w:pPr>
            <w:r>
              <w:rPr>
                <w:rFonts w:ascii="Times New Roman" w:hAnsi="Times New Roman"/>
                <w:sz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84" w:hRule="atLeast"/>
        </w:trPr>
        <w:tc>
          <w:tcPr>
            <w:tcW w:w="1601" w:type="pct"/>
            <w:gridSpan w:val="2"/>
            <w:vAlign w:val="center"/>
          </w:tcPr>
          <w:p>
            <w:pPr>
              <w:spacing w:line="240" w:lineRule="auto"/>
              <w:ind w:firstLine="0" w:firstLineChars="0"/>
              <w:jc w:val="center"/>
              <w:rPr>
                <w:rFonts w:ascii="Times New Roman" w:hAnsi="Times New Roman"/>
                <w:sz w:val="21"/>
              </w:rPr>
            </w:pPr>
            <w:r>
              <w:rPr>
                <w:rFonts w:ascii="Times New Roman" w:hAnsi="Times New Roman"/>
                <w:sz w:val="21"/>
              </w:rPr>
              <w:t>合计</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6.4万m</w:t>
            </w:r>
            <w:r>
              <w:rPr>
                <w:rFonts w:ascii="Times New Roman" w:hAnsi="Times New Roman"/>
                <w:sz w:val="21"/>
                <w:vertAlign w:val="superscript"/>
              </w:rPr>
              <w:t>3</w:t>
            </w:r>
            <w:r>
              <w:rPr>
                <w:rFonts w:ascii="Times New Roman" w:hAnsi="Times New Roman"/>
                <w:sz w:val="21"/>
              </w:rPr>
              <w:t>/a</w:t>
            </w:r>
          </w:p>
        </w:tc>
        <w:tc>
          <w:tcPr>
            <w:tcW w:w="1133"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113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0.92278t/a</w:t>
            </w:r>
          </w:p>
        </w:tc>
      </w:tr>
    </w:tbl>
    <w:p>
      <w:pPr>
        <w:snapToGrid w:val="0"/>
        <w:spacing w:before="156" w:beforeLines="50"/>
        <w:ind w:firstLine="0" w:firstLineChars="0"/>
        <w:outlineLvl w:val="3"/>
        <w:rPr>
          <w:rFonts w:ascii="Times New Roman" w:hAnsi="Times New Roman"/>
          <w:b/>
          <w:szCs w:val="24"/>
        </w:rPr>
      </w:pPr>
      <w:r>
        <w:rPr>
          <w:rFonts w:ascii="Times New Roman" w:hAnsi="Times New Roman"/>
          <w:b/>
          <w:szCs w:val="24"/>
        </w:rPr>
        <w:t>3.5.2.2 水环境影响分析</w:t>
      </w:r>
    </w:p>
    <w:p>
      <w:pPr>
        <w:ind w:firstLine="480"/>
        <w:rPr>
          <w:rFonts w:ascii="Times New Roman" w:hAnsi="Times New Roman"/>
          <w:szCs w:val="24"/>
        </w:rPr>
      </w:pPr>
      <w:r>
        <w:rPr>
          <w:rFonts w:ascii="Times New Roman" w:hAnsi="Times New Roman"/>
          <w:szCs w:val="24"/>
        </w:rPr>
        <w:t>（1）集气站生产废水</w:t>
      </w:r>
    </w:p>
    <w:p>
      <w:pPr>
        <w:snapToGrid w:val="0"/>
        <w:ind w:firstLine="480"/>
        <w:rPr>
          <w:rFonts w:ascii="Times New Roman" w:hAnsi="Times New Roman"/>
          <w:szCs w:val="24"/>
          <w:lang w:val="zh-CN"/>
        </w:rPr>
      </w:pPr>
      <w:r>
        <w:rPr>
          <w:rFonts w:ascii="Times New Roman" w:hAnsi="Times New Roman"/>
          <w:szCs w:val="24"/>
          <w:lang w:val="zh-CN"/>
        </w:rPr>
        <w:t>集气站生产废水</w:t>
      </w:r>
      <w:r>
        <w:rPr>
          <w:rFonts w:ascii="Times New Roman" w:hAnsi="Times New Roman"/>
          <w:szCs w:val="24"/>
        </w:rPr>
        <w:t>主要为煤成气生产过程中夹带的少量地层水以及冬季防止煤成气中水分结冻的防冻剂Z-6环保型抑制剂。煤成气经生产分离撬分离出的废水</w:t>
      </w:r>
      <w:r>
        <w:rPr>
          <w:rFonts w:ascii="Times New Roman" w:hAnsi="Times New Roman"/>
          <w:szCs w:val="24"/>
          <w:lang w:val="zh-CN"/>
        </w:rPr>
        <w:t>中主要污染物为</w:t>
      </w:r>
      <w:r>
        <w:rPr>
          <w:rFonts w:hint="eastAsia" w:ascii="Times New Roman" w:hAnsi="Times New Roman"/>
          <w:szCs w:val="24"/>
          <w:lang w:val="zh-CN"/>
        </w:rPr>
        <w:t>SS</w:t>
      </w:r>
      <w:r>
        <w:rPr>
          <w:rFonts w:ascii="Times New Roman" w:hAnsi="Times New Roman"/>
          <w:szCs w:val="24"/>
          <w:lang w:val="zh-CN"/>
        </w:rPr>
        <w:t>、氯化物和石油类。废水污染物浓度见表3.3-</w:t>
      </w:r>
      <w:r>
        <w:rPr>
          <w:rFonts w:hint="eastAsia" w:ascii="Times New Roman" w:hAnsi="Times New Roman"/>
          <w:szCs w:val="24"/>
          <w:lang w:val="zh-CN"/>
        </w:rPr>
        <w:t>2</w:t>
      </w:r>
      <w:r>
        <w:rPr>
          <w:rFonts w:ascii="Times New Roman" w:hAnsi="Times New Roman"/>
          <w:szCs w:val="24"/>
          <w:lang w:val="zh-CN"/>
        </w:rPr>
        <w:t>。</w:t>
      </w:r>
    </w:p>
    <w:p>
      <w:pPr>
        <w:snapToGrid w:val="0"/>
        <w:ind w:firstLine="480"/>
        <w:rPr>
          <w:rFonts w:ascii="Times New Roman" w:hAnsi="Times New Roman"/>
          <w:szCs w:val="24"/>
          <w:lang w:val="zh-CN"/>
        </w:rPr>
      </w:pPr>
      <w:r>
        <w:rPr>
          <w:rFonts w:ascii="Times New Roman" w:hAnsi="Times New Roman"/>
          <w:szCs w:val="24"/>
          <w:lang w:val="zh-CN"/>
        </w:rPr>
        <w:t>根据工程预测，集气站建好运行后采出1万m</w:t>
      </w:r>
      <w:r>
        <w:rPr>
          <w:rFonts w:ascii="Times New Roman" w:hAnsi="Times New Roman"/>
          <w:szCs w:val="24"/>
          <w:vertAlign w:val="superscript"/>
          <w:lang w:val="zh-CN"/>
        </w:rPr>
        <w:t>3</w:t>
      </w:r>
      <w:r>
        <w:rPr>
          <w:rFonts w:ascii="Times New Roman" w:hAnsi="Times New Roman"/>
          <w:szCs w:val="24"/>
          <w:lang w:val="zh-CN"/>
        </w:rPr>
        <w:t>煤成气约产出1m</w:t>
      </w:r>
      <w:r>
        <w:rPr>
          <w:rFonts w:ascii="Times New Roman" w:hAnsi="Times New Roman"/>
          <w:szCs w:val="24"/>
          <w:vertAlign w:val="superscript"/>
          <w:lang w:val="zh-CN"/>
        </w:rPr>
        <w:t>3</w:t>
      </w:r>
      <w:r>
        <w:rPr>
          <w:rFonts w:ascii="Times New Roman" w:hAnsi="Times New Roman"/>
          <w:szCs w:val="24"/>
          <w:lang w:val="zh-CN"/>
        </w:rPr>
        <w:t>废水，因此本项目生产废水产生量为1.6万m</w:t>
      </w:r>
      <w:r>
        <w:rPr>
          <w:rFonts w:ascii="Times New Roman" w:hAnsi="Times New Roman"/>
          <w:szCs w:val="24"/>
          <w:vertAlign w:val="superscript"/>
          <w:lang w:val="zh-CN"/>
        </w:rPr>
        <w:t>3</w:t>
      </w:r>
      <w:r>
        <w:rPr>
          <w:rFonts w:ascii="Times New Roman" w:hAnsi="Times New Roman"/>
          <w:szCs w:val="24"/>
          <w:lang w:val="zh-CN"/>
        </w:rPr>
        <w:t>/a（48.5m</w:t>
      </w:r>
      <w:r>
        <w:rPr>
          <w:rFonts w:ascii="Times New Roman" w:hAnsi="Times New Roman"/>
          <w:szCs w:val="24"/>
          <w:vertAlign w:val="superscript"/>
          <w:lang w:val="zh-CN"/>
        </w:rPr>
        <w:t>3</w:t>
      </w:r>
      <w:r>
        <w:rPr>
          <w:rFonts w:ascii="Times New Roman" w:hAnsi="Times New Roman"/>
          <w:szCs w:val="24"/>
          <w:lang w:val="zh-CN"/>
        </w:rPr>
        <w:t>/d）</w:t>
      </w:r>
      <w:r>
        <w:rPr>
          <w:rFonts w:hint="eastAsia" w:ascii="Times New Roman" w:hAnsi="Times New Roman"/>
          <w:szCs w:val="24"/>
          <w:lang w:val="zh-CN"/>
        </w:rPr>
        <w:t>，远期集气站废水产生量为</w:t>
      </w:r>
      <w:r>
        <w:rPr>
          <w:rFonts w:ascii="Times New Roman" w:hAnsi="Times New Roman"/>
          <w:szCs w:val="24"/>
          <w:lang w:val="zh-CN"/>
        </w:rPr>
        <w:t>3万m</w:t>
      </w:r>
      <w:r>
        <w:rPr>
          <w:rFonts w:ascii="Times New Roman" w:hAnsi="Times New Roman"/>
          <w:szCs w:val="24"/>
          <w:vertAlign w:val="superscript"/>
          <w:lang w:val="zh-CN"/>
        </w:rPr>
        <w:t>3</w:t>
      </w:r>
      <w:r>
        <w:rPr>
          <w:rFonts w:ascii="Times New Roman" w:hAnsi="Times New Roman"/>
          <w:szCs w:val="24"/>
          <w:lang w:val="zh-CN"/>
        </w:rPr>
        <w:t>/a（90.9m</w:t>
      </w:r>
      <w:r>
        <w:rPr>
          <w:rFonts w:ascii="Times New Roman" w:hAnsi="Times New Roman"/>
          <w:szCs w:val="24"/>
          <w:vertAlign w:val="superscript"/>
          <w:lang w:val="zh-CN"/>
        </w:rPr>
        <w:t>3</w:t>
      </w:r>
      <w:r>
        <w:rPr>
          <w:rFonts w:ascii="Times New Roman" w:hAnsi="Times New Roman"/>
          <w:szCs w:val="24"/>
          <w:lang w:val="zh-CN"/>
        </w:rPr>
        <w:t>/d）。</w:t>
      </w:r>
    </w:p>
    <w:p>
      <w:pPr>
        <w:snapToGrid w:val="0"/>
        <w:ind w:firstLine="480"/>
        <w:rPr>
          <w:rFonts w:ascii="Times New Roman" w:hAnsi="Times New Roman"/>
          <w:szCs w:val="24"/>
        </w:rPr>
      </w:pPr>
      <w:r>
        <w:rPr>
          <w:rFonts w:ascii="Times New Roman" w:hAnsi="Times New Roman"/>
          <w:szCs w:val="24"/>
          <w:lang w:val="zh-CN"/>
        </w:rPr>
        <w:t>从集气站</w:t>
      </w:r>
      <w:r>
        <w:rPr>
          <w:rFonts w:ascii="Times New Roman" w:hAnsi="Times New Roman"/>
          <w:szCs w:val="24"/>
        </w:rPr>
        <w:t>生产分离撬分离出来的</w:t>
      </w:r>
      <w:r>
        <w:rPr>
          <w:rFonts w:ascii="Times New Roman" w:hAnsi="Times New Roman"/>
          <w:szCs w:val="24"/>
          <w:lang w:val="zh-CN"/>
        </w:rPr>
        <w:t>采出水经</w:t>
      </w:r>
      <w:r>
        <w:rPr>
          <w:rFonts w:hint="eastAsia" w:ascii="Times New Roman" w:hAnsi="Times New Roman"/>
          <w:szCs w:val="24"/>
          <w:lang w:val="zh-CN"/>
        </w:rPr>
        <w:t>废水管线</w:t>
      </w:r>
      <w:r>
        <w:rPr>
          <w:rFonts w:ascii="Times New Roman" w:hAnsi="Times New Roman"/>
          <w:szCs w:val="24"/>
          <w:lang w:val="zh-CN"/>
        </w:rPr>
        <w:t>输送至LX-103井场的</w:t>
      </w:r>
      <w:r>
        <w:rPr>
          <w:rFonts w:ascii="Times New Roman" w:hAnsi="Times New Roman"/>
          <w:szCs w:val="24"/>
        </w:rPr>
        <w:t>采出水净化处理站</w:t>
      </w:r>
      <w:r>
        <w:rPr>
          <w:rFonts w:hint="eastAsia" w:ascii="Times New Roman" w:hAnsi="Times New Roman"/>
          <w:szCs w:val="24"/>
        </w:rPr>
        <w:t>，净化处理站处理后的净化水经原注醇管线至</w:t>
      </w:r>
      <w:r>
        <w:rPr>
          <w:rFonts w:ascii="Times New Roman" w:hAnsi="Times New Roman"/>
          <w:szCs w:val="24"/>
        </w:rPr>
        <w:t>LX-104井场的蒸发处理站处理，</w:t>
      </w:r>
      <w:r>
        <w:rPr>
          <w:rFonts w:hint="eastAsia" w:ascii="Times New Roman" w:hAnsi="Times New Roman"/>
          <w:szCs w:val="24"/>
        </w:rPr>
        <w:t>净化水</w:t>
      </w:r>
      <w:r>
        <w:rPr>
          <w:rFonts w:ascii="Times New Roman" w:hAnsi="Times New Roman"/>
          <w:szCs w:val="24"/>
        </w:rPr>
        <w:t>自然蒸发，Z-6环保型抑制剂</w:t>
      </w:r>
      <w:r>
        <w:rPr>
          <w:rFonts w:hint="eastAsia" w:ascii="Times New Roman" w:hAnsi="Times New Roman"/>
          <w:szCs w:val="24"/>
        </w:rPr>
        <w:t>存于蒸发池内，定期由罐车输送至各井场</w:t>
      </w:r>
      <w:r>
        <w:rPr>
          <w:rFonts w:ascii="Times New Roman" w:hAnsi="Times New Roman"/>
          <w:szCs w:val="24"/>
        </w:rPr>
        <w:t>。本项目生产废水不外排，对周边水体环境影响较小。</w:t>
      </w:r>
    </w:p>
    <w:p>
      <w:pPr>
        <w:snapToGrid w:val="0"/>
        <w:ind w:firstLine="480"/>
        <w:rPr>
          <w:rFonts w:ascii="Times New Roman" w:hAnsi="Times New Roman"/>
          <w:szCs w:val="24"/>
        </w:rPr>
      </w:pPr>
      <w:r>
        <w:rPr>
          <w:rFonts w:ascii="Times New Roman" w:hAnsi="Times New Roman"/>
          <w:szCs w:val="24"/>
        </w:rPr>
        <w:t>（2）生活废水</w:t>
      </w:r>
    </w:p>
    <w:p>
      <w:pPr>
        <w:snapToGrid w:val="0"/>
        <w:ind w:firstLine="480"/>
        <w:rPr>
          <w:rFonts w:ascii="Times New Roman" w:hAnsi="Times New Roman"/>
          <w:szCs w:val="24"/>
          <w:lang w:val="zh-CN"/>
        </w:rPr>
      </w:pPr>
      <w:r>
        <w:rPr>
          <w:rFonts w:ascii="Times New Roman" w:hAnsi="Times New Roman"/>
          <w:szCs w:val="24"/>
          <w:lang w:val="zh-CN"/>
        </w:rPr>
        <w:t>生活废水主要来源于办公生活区和集气站。</w:t>
      </w:r>
    </w:p>
    <w:p>
      <w:pPr>
        <w:snapToGrid w:val="0"/>
        <w:ind w:firstLine="480"/>
        <w:rPr>
          <w:rFonts w:ascii="Times New Roman" w:hAnsi="Times New Roman"/>
          <w:szCs w:val="24"/>
          <w:lang w:val="zh-CN"/>
        </w:rPr>
      </w:pPr>
      <w:r>
        <w:rPr>
          <w:rFonts w:ascii="Times New Roman" w:hAnsi="Times New Roman"/>
          <w:szCs w:val="24"/>
          <w:lang w:val="zh-CN"/>
        </w:rPr>
        <w:t>办公生活区建设水冲厕，生活废水产生量为</w:t>
      </w:r>
      <w:r>
        <w:rPr>
          <w:rFonts w:hint="eastAsia" w:ascii="Times New Roman" w:hAnsi="Times New Roman"/>
          <w:szCs w:val="24"/>
          <w:lang w:val="zh-CN"/>
        </w:rPr>
        <w:t>20</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/d，主要污染物为COD、SS、NH</w:t>
      </w:r>
      <w:r>
        <w:rPr>
          <w:rFonts w:ascii="Times New Roman" w:hAnsi="Times New Roman"/>
          <w:szCs w:val="24"/>
          <w:vertAlign w:val="subscript"/>
          <w:lang w:val="zh-CN"/>
        </w:rPr>
        <w:t>3</w:t>
      </w:r>
      <w:r>
        <w:rPr>
          <w:rFonts w:ascii="Times New Roman" w:hAnsi="Times New Roman"/>
          <w:szCs w:val="24"/>
          <w:lang w:val="zh-CN"/>
        </w:rPr>
        <w:t>-N和动植物油。食堂废水经隔油池处理后与其他生活废水经管线排入办公生活区生活废水处理站。处理后的达标废水</w:t>
      </w:r>
      <w:r>
        <w:rPr>
          <w:rFonts w:hint="eastAsia" w:ascii="Times New Roman" w:hAnsi="Times New Roman"/>
          <w:szCs w:val="24"/>
          <w:lang w:val="zh-CN"/>
        </w:rPr>
        <w:t>全部</w:t>
      </w:r>
      <w:r>
        <w:rPr>
          <w:rFonts w:ascii="Times New Roman" w:hAnsi="Times New Roman"/>
          <w:szCs w:val="24"/>
          <w:lang w:val="zh-CN"/>
        </w:rPr>
        <w:t>用于</w:t>
      </w:r>
      <w:r>
        <w:rPr>
          <w:rFonts w:hint="eastAsia" w:ascii="Times New Roman" w:hAnsi="Times New Roman"/>
          <w:szCs w:val="24"/>
          <w:lang w:val="zh-CN"/>
        </w:rPr>
        <w:t>办公生活区</w:t>
      </w:r>
      <w:r>
        <w:rPr>
          <w:rFonts w:ascii="Times New Roman" w:hAnsi="Times New Roman"/>
          <w:szCs w:val="24"/>
          <w:lang w:val="zh-CN"/>
        </w:rPr>
        <w:t>绿化和降尘用水。</w:t>
      </w:r>
      <w:r>
        <w:rPr>
          <w:rFonts w:hint="eastAsia" w:ascii="Times New Roman" w:hAnsi="Times New Roman"/>
          <w:szCs w:val="24"/>
          <w:lang w:val="zh-CN"/>
        </w:rPr>
        <w:t>生活废水水质见表3.3-6。</w:t>
      </w:r>
    </w:p>
    <w:p>
      <w:pPr>
        <w:snapToGrid w:val="0"/>
        <w:ind w:firstLine="480"/>
        <w:rPr>
          <w:rFonts w:ascii="Times New Roman" w:hAnsi="Times New Roman"/>
          <w:szCs w:val="24"/>
        </w:rPr>
      </w:pPr>
      <w:r>
        <w:rPr>
          <w:rFonts w:ascii="Times New Roman" w:hAnsi="Times New Roman"/>
          <w:szCs w:val="24"/>
        </w:rPr>
        <w:t>集气站</w:t>
      </w:r>
      <w:r>
        <w:rPr>
          <w:rFonts w:hint="eastAsia" w:ascii="Times New Roman" w:hAnsi="Times New Roman"/>
          <w:szCs w:val="24"/>
        </w:rPr>
        <w:t>不设</w:t>
      </w:r>
      <w:r>
        <w:rPr>
          <w:rFonts w:ascii="Times New Roman" w:hAnsi="Times New Roman"/>
          <w:szCs w:val="24"/>
        </w:rPr>
        <w:t>旱厕，</w:t>
      </w:r>
      <w:r>
        <w:rPr>
          <w:rFonts w:hint="eastAsia" w:ascii="Times New Roman" w:hAnsi="Times New Roman"/>
          <w:szCs w:val="24"/>
        </w:rPr>
        <w:t>如厕去就近村庄。</w:t>
      </w:r>
      <w:r>
        <w:rPr>
          <w:rFonts w:ascii="Times New Roman" w:hAnsi="Times New Roman"/>
          <w:szCs w:val="24"/>
        </w:rPr>
        <w:t>生活废水主要为盥洗废水，产生量为0.32m</w:t>
      </w:r>
      <w:r>
        <w:rPr>
          <w:rFonts w:ascii="Times New Roman" w:hAnsi="Times New Roman"/>
          <w:szCs w:val="24"/>
          <w:vertAlign w:val="superscript"/>
        </w:rPr>
        <w:t>3</w:t>
      </w:r>
      <w:r>
        <w:rPr>
          <w:rFonts w:ascii="Times New Roman" w:hAnsi="Times New Roman"/>
          <w:szCs w:val="24"/>
        </w:rPr>
        <w:t>/d</w:t>
      </w:r>
      <w:r>
        <w:rPr>
          <w:rFonts w:hint="eastAsia" w:ascii="Times New Roman" w:hAnsi="Times New Roman"/>
          <w:szCs w:val="24"/>
        </w:rPr>
        <w:t>，</w:t>
      </w:r>
      <w:r>
        <w:rPr>
          <w:rFonts w:ascii="Times New Roman" w:hAnsi="Times New Roman"/>
          <w:szCs w:val="24"/>
        </w:rPr>
        <w:t>盥洗废水作为降尘废水，不外排。</w:t>
      </w:r>
    </w:p>
    <w:p>
      <w:pPr>
        <w:snapToGrid w:val="0"/>
        <w:ind w:firstLine="480"/>
        <w:rPr>
          <w:rFonts w:ascii="Times New Roman" w:hAnsi="Times New Roman"/>
          <w:szCs w:val="24"/>
        </w:rPr>
      </w:pPr>
      <w:r>
        <w:rPr>
          <w:rFonts w:ascii="Times New Roman" w:hAnsi="Times New Roman"/>
          <w:szCs w:val="24"/>
          <w:lang w:val="zh-CN"/>
        </w:rPr>
        <w:t>本项目废水产排量详见表3.5-1</w:t>
      </w:r>
      <w:r>
        <w:rPr>
          <w:rFonts w:hint="eastAsia" w:ascii="Times New Roman" w:hAnsi="Times New Roman"/>
          <w:szCs w:val="24"/>
          <w:lang w:val="zh-CN"/>
        </w:rPr>
        <w:t>2</w:t>
      </w: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表3.5-1</w:t>
      </w:r>
      <w:r>
        <w:rPr>
          <w:rFonts w:hint="eastAsia" w:ascii="Times New Roman" w:hAnsi="Times New Roman"/>
          <w:b/>
          <w:bCs/>
          <w:sz w:val="21"/>
        </w:rPr>
        <w:t>2</w:t>
      </w:r>
      <w:r>
        <w:rPr>
          <w:rFonts w:ascii="Times New Roman" w:hAnsi="Times New Roman"/>
          <w:b/>
          <w:bCs/>
          <w:sz w:val="21"/>
        </w:rPr>
        <w:t>运行期各种废水产生量及排放量汇总</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779"/>
        <w:gridCol w:w="1567"/>
        <w:gridCol w:w="1207"/>
        <w:gridCol w:w="1233"/>
        <w:gridCol w:w="1343"/>
        <w:gridCol w:w="123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64" w:type="pct"/>
            <w:vMerge w:val="restart"/>
            <w:vAlign w:val="center"/>
          </w:tcPr>
          <w:p>
            <w:pPr>
              <w:spacing w:line="240" w:lineRule="auto"/>
              <w:ind w:firstLine="0" w:firstLineChars="0"/>
              <w:jc w:val="center"/>
              <w:rPr>
                <w:rFonts w:ascii="Times New Roman" w:hAnsi="Times New Roman"/>
                <w:sz w:val="21"/>
              </w:rPr>
            </w:pPr>
            <w:bookmarkStart w:id="52" w:name="OLE_LINK4"/>
            <w:bookmarkStart w:id="53" w:name="OLE_LINK6"/>
            <w:r>
              <w:rPr>
                <w:rFonts w:ascii="Times New Roman" w:hAnsi="Times New Roman"/>
                <w:sz w:val="21"/>
              </w:rPr>
              <w:t>污染源</w:t>
            </w:r>
          </w:p>
        </w:tc>
        <w:tc>
          <w:tcPr>
            <w:tcW w:w="937"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废水产生量</w:t>
            </w:r>
          </w:p>
          <w:p>
            <w:pPr>
              <w:spacing w:line="240" w:lineRule="auto"/>
              <w:ind w:firstLine="0" w:firstLineChars="0"/>
              <w:jc w:val="center"/>
              <w:rPr>
                <w:rFonts w:ascii="Times New Roman" w:hAnsi="Times New Roman"/>
                <w:sz w:val="21"/>
              </w:rPr>
            </w:pPr>
            <w:r>
              <w:rPr>
                <w:rFonts w:ascii="Times New Roman" w:hAnsi="Times New Roman"/>
                <w:sz w:val="21"/>
              </w:rPr>
              <w:t>（m</w:t>
            </w:r>
            <w:r>
              <w:rPr>
                <w:rFonts w:ascii="Times New Roman" w:hAnsi="Times New Roman"/>
                <w:sz w:val="21"/>
                <w:vertAlign w:val="superscript"/>
              </w:rPr>
              <w:t>3</w:t>
            </w:r>
            <w:r>
              <w:rPr>
                <w:rFonts w:ascii="Times New Roman" w:hAnsi="Times New Roman"/>
                <w:sz w:val="21"/>
              </w:rPr>
              <w:t>/a）</w:t>
            </w:r>
          </w:p>
        </w:tc>
        <w:tc>
          <w:tcPr>
            <w:tcW w:w="2262" w:type="pct"/>
            <w:gridSpan w:val="3"/>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污染物产生量（t/a）</w:t>
            </w:r>
          </w:p>
        </w:tc>
        <w:tc>
          <w:tcPr>
            <w:tcW w:w="737"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废水排放量</w:t>
            </w:r>
          </w:p>
          <w:p>
            <w:pPr>
              <w:spacing w:line="240" w:lineRule="auto"/>
              <w:ind w:firstLine="0" w:firstLineChars="0"/>
              <w:jc w:val="center"/>
              <w:rPr>
                <w:rFonts w:ascii="Times New Roman" w:hAnsi="Times New Roman"/>
                <w:sz w:val="21"/>
              </w:rPr>
            </w:pPr>
            <w:r>
              <w:rPr>
                <w:rFonts w:ascii="Times New Roman" w:hAnsi="Times New Roman"/>
                <w:sz w:val="21"/>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64" w:type="pct"/>
            <w:vMerge w:val="continue"/>
            <w:vAlign w:val="center"/>
          </w:tcPr>
          <w:p>
            <w:pPr>
              <w:spacing w:line="240" w:lineRule="auto"/>
              <w:ind w:firstLine="0" w:firstLineChars="0"/>
              <w:jc w:val="center"/>
              <w:rPr>
                <w:rFonts w:ascii="Times New Roman" w:hAnsi="Times New Roman"/>
                <w:sz w:val="21"/>
              </w:rPr>
            </w:pPr>
          </w:p>
        </w:tc>
        <w:tc>
          <w:tcPr>
            <w:tcW w:w="937" w:type="pct"/>
            <w:vMerge w:val="continue"/>
            <w:vAlign w:val="center"/>
          </w:tcPr>
          <w:p>
            <w:pPr>
              <w:spacing w:line="240" w:lineRule="auto"/>
              <w:ind w:firstLine="0" w:firstLineChars="0"/>
              <w:jc w:val="center"/>
              <w:rPr>
                <w:rFonts w:ascii="Times New Roman" w:hAnsi="Times New Roman"/>
                <w:sz w:val="21"/>
              </w:rPr>
            </w:pPr>
          </w:p>
        </w:tc>
        <w:tc>
          <w:tcPr>
            <w:tcW w:w="722"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COD</w:t>
            </w:r>
          </w:p>
        </w:tc>
        <w:tc>
          <w:tcPr>
            <w:tcW w:w="73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氨氮</w:t>
            </w:r>
          </w:p>
        </w:tc>
        <w:tc>
          <w:tcPr>
            <w:tcW w:w="803"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石油类</w:t>
            </w:r>
          </w:p>
        </w:tc>
        <w:tc>
          <w:tcPr>
            <w:tcW w:w="737" w:type="pct"/>
            <w:vMerge w:val="continue"/>
            <w:vAlign w:val="center"/>
          </w:tcPr>
          <w:p>
            <w:pPr>
              <w:spacing w:line="240" w:lineRule="auto"/>
              <w:ind w:firstLine="0" w:firstLineChars="0"/>
              <w:jc w:val="center"/>
              <w:rPr>
                <w:rFonts w:ascii="Times New Roman" w:hAnsi="Times New Roman"/>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6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生产废水</w:t>
            </w:r>
          </w:p>
        </w:tc>
        <w:tc>
          <w:tcPr>
            <w:tcW w:w="9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30000</w:t>
            </w:r>
          </w:p>
        </w:tc>
        <w:tc>
          <w:tcPr>
            <w:tcW w:w="72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4.29</w:t>
            </w:r>
          </w:p>
        </w:tc>
        <w:tc>
          <w:tcPr>
            <w:tcW w:w="7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w:t>
            </w:r>
          </w:p>
        </w:tc>
        <w:tc>
          <w:tcPr>
            <w:tcW w:w="80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0.024</w:t>
            </w:r>
          </w:p>
        </w:tc>
        <w:tc>
          <w:tcPr>
            <w:tcW w:w="73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6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生活废水</w:t>
            </w:r>
          </w:p>
        </w:tc>
        <w:tc>
          <w:tcPr>
            <w:tcW w:w="93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8712</w:t>
            </w:r>
          </w:p>
        </w:tc>
        <w:tc>
          <w:tcPr>
            <w:tcW w:w="72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2.61</w:t>
            </w:r>
          </w:p>
        </w:tc>
        <w:tc>
          <w:tcPr>
            <w:tcW w:w="7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0.261</w:t>
            </w:r>
          </w:p>
        </w:tc>
        <w:tc>
          <w:tcPr>
            <w:tcW w:w="80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w:t>
            </w:r>
          </w:p>
        </w:tc>
        <w:tc>
          <w:tcPr>
            <w:tcW w:w="7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6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合计</w:t>
            </w:r>
          </w:p>
        </w:tc>
        <w:tc>
          <w:tcPr>
            <w:tcW w:w="93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24712</w:t>
            </w:r>
          </w:p>
        </w:tc>
        <w:tc>
          <w:tcPr>
            <w:tcW w:w="72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4.9</w:t>
            </w:r>
          </w:p>
        </w:tc>
        <w:tc>
          <w:tcPr>
            <w:tcW w:w="7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0.261</w:t>
            </w:r>
          </w:p>
        </w:tc>
        <w:tc>
          <w:tcPr>
            <w:tcW w:w="803"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0.013</w:t>
            </w:r>
          </w:p>
        </w:tc>
        <w:tc>
          <w:tcPr>
            <w:tcW w:w="73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w:t>
            </w:r>
          </w:p>
        </w:tc>
      </w:tr>
      <w:bookmarkEnd w:id="52"/>
      <w:bookmarkEnd w:id="53"/>
    </w:tbl>
    <w:p>
      <w:pPr>
        <w:snapToGrid w:val="0"/>
        <w:spacing w:before="156" w:beforeLines="50"/>
        <w:ind w:firstLine="0" w:firstLineChars="0"/>
        <w:outlineLvl w:val="3"/>
        <w:rPr>
          <w:rFonts w:ascii="Times New Roman" w:hAnsi="Times New Roman"/>
          <w:b/>
          <w:szCs w:val="24"/>
        </w:rPr>
      </w:pPr>
      <w:r>
        <w:rPr>
          <w:rFonts w:ascii="Times New Roman" w:hAnsi="Times New Roman"/>
          <w:b/>
          <w:szCs w:val="24"/>
        </w:rPr>
        <w:t>3.5.2.3 声环境影响分析</w:t>
      </w:r>
    </w:p>
    <w:p>
      <w:pPr>
        <w:snapToGrid w:val="0"/>
        <w:ind w:firstLine="480"/>
        <w:rPr>
          <w:rFonts w:ascii="Times New Roman" w:hAnsi="Times New Roman"/>
          <w:szCs w:val="24"/>
          <w:lang w:val="zh-CN"/>
        </w:rPr>
      </w:pPr>
      <w:r>
        <w:rPr>
          <w:rFonts w:ascii="Times New Roman" w:hAnsi="Times New Roman"/>
          <w:szCs w:val="24"/>
        </w:rPr>
        <w:t>本项目运营期噪声源主要有：站内的汇管、调压阀、节流装置及火炬放空系统等，这些装置在节流或流速改变时会产生空气动力噪声；集气站、办公生活和废水处理站内的压缩机、锅炉及各采气井场的机泵等，发出不同强度的机械噪声。</w:t>
      </w:r>
      <w:r>
        <w:rPr>
          <w:rFonts w:ascii="Times New Roman" w:hAnsi="Times New Roman"/>
          <w:szCs w:val="24"/>
          <w:lang w:val="zh-CN"/>
        </w:rPr>
        <w:t>运营期井场及集气站噪声源及源强见表3.5-1</w:t>
      </w:r>
      <w:r>
        <w:rPr>
          <w:rFonts w:hint="eastAsia" w:ascii="Times New Roman" w:hAnsi="Times New Roman"/>
          <w:szCs w:val="24"/>
          <w:lang w:val="zh-CN"/>
        </w:rPr>
        <w:t>3</w:t>
      </w:r>
      <w:r>
        <w:rPr>
          <w:rFonts w:ascii="Times New Roman" w:hAnsi="Times New Roman"/>
          <w:szCs w:val="24"/>
          <w:lang w:val="zh-CN"/>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表3.5-1</w:t>
      </w:r>
      <w:r>
        <w:rPr>
          <w:rFonts w:hint="eastAsia" w:ascii="Times New Roman" w:hAnsi="Times New Roman"/>
          <w:b/>
          <w:bCs/>
          <w:sz w:val="21"/>
        </w:rPr>
        <w:t xml:space="preserve">3 </w:t>
      </w:r>
      <w:r>
        <w:rPr>
          <w:rFonts w:ascii="Times New Roman" w:hAnsi="Times New Roman"/>
          <w:b/>
          <w:bCs/>
          <w:sz w:val="21"/>
        </w:rPr>
        <w:t>生产运营期的主要噪声源及源强单位:dB(A)</w:t>
      </w:r>
    </w:p>
    <w:tbl>
      <w:tblPr>
        <w:tblStyle w:val="18"/>
        <w:tblW w:w="8533"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1" w:type="dxa"/>
          <w:bottom w:w="0" w:type="dxa"/>
          <w:right w:w="11" w:type="dxa"/>
        </w:tblCellMar>
      </w:tblPr>
      <w:tblGrid>
        <w:gridCol w:w="1491"/>
        <w:gridCol w:w="1492"/>
        <w:gridCol w:w="2579"/>
        <w:gridCol w:w="1486"/>
        <w:gridCol w:w="148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噪声源位置</w:t>
            </w: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设备名称</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数量</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声源性质</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声源强度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采气井场</w:t>
            </w: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放空火炬</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1个</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集气站</w:t>
            </w: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压缩机</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2台（1开1备）</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85~90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冷却风机</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若干</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柴油发电机</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2台（1开1备）</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放空火炬</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1个</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间歇</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变压器</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2台</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70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水泵</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若干</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85～90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办公生活区</w:t>
            </w: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水泵</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若干</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85～90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废水处理站</w:t>
            </w:r>
          </w:p>
        </w:tc>
        <w:tc>
          <w:tcPr>
            <w:tcW w:w="87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水泵</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若干</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85～90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874" w:type="pct"/>
            <w:vMerge w:val="continue"/>
            <w:vAlign w:val="center"/>
          </w:tcPr>
          <w:p>
            <w:pPr>
              <w:spacing w:line="240" w:lineRule="auto"/>
              <w:ind w:firstLine="0" w:firstLineChars="0"/>
              <w:jc w:val="center"/>
              <w:rPr>
                <w:rFonts w:ascii="Times New Roman" w:hAnsi="Times New Roman"/>
                <w:sz w:val="21"/>
              </w:rPr>
            </w:pPr>
          </w:p>
        </w:tc>
        <w:tc>
          <w:tcPr>
            <w:tcW w:w="874"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燃气</w:t>
            </w:r>
            <w:r>
              <w:rPr>
                <w:rFonts w:ascii="Times New Roman" w:hAnsi="Times New Roman"/>
                <w:sz w:val="21"/>
              </w:rPr>
              <w:t>发电机</w:t>
            </w:r>
          </w:p>
        </w:tc>
        <w:tc>
          <w:tcPr>
            <w:tcW w:w="1511" w:type="pct"/>
            <w:tcBorders>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2台（1开1备）</w:t>
            </w:r>
          </w:p>
        </w:tc>
        <w:tc>
          <w:tcPr>
            <w:tcW w:w="871" w:type="pct"/>
            <w:tcBorders>
              <w:lef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连续稳态</w:t>
            </w:r>
          </w:p>
        </w:tc>
        <w:tc>
          <w:tcPr>
            <w:tcW w:w="8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r>
    </w:tbl>
    <w:p>
      <w:pPr>
        <w:snapToGrid w:val="0"/>
        <w:spacing w:before="156" w:beforeLines="50"/>
        <w:ind w:firstLine="0" w:firstLineChars="0"/>
        <w:outlineLvl w:val="3"/>
        <w:rPr>
          <w:rFonts w:ascii="Times New Roman" w:hAnsi="Times New Roman"/>
          <w:b/>
          <w:szCs w:val="24"/>
        </w:rPr>
      </w:pPr>
      <w:r>
        <w:rPr>
          <w:rFonts w:ascii="Times New Roman" w:hAnsi="Times New Roman"/>
          <w:b/>
          <w:szCs w:val="24"/>
        </w:rPr>
        <w:t>3.5.2.4 固体废物环境影响分析</w:t>
      </w:r>
    </w:p>
    <w:p>
      <w:pPr>
        <w:ind w:firstLine="480"/>
        <w:rPr>
          <w:rFonts w:ascii="Times New Roman" w:hAnsi="Times New Roman"/>
          <w:szCs w:val="24"/>
        </w:rPr>
      </w:pPr>
      <w:r>
        <w:rPr>
          <w:rFonts w:ascii="Times New Roman" w:hAnsi="Times New Roman"/>
          <w:szCs w:val="24"/>
        </w:rPr>
        <w:t>（1）</w:t>
      </w:r>
      <w:r>
        <w:rPr>
          <w:rFonts w:hint="eastAsia" w:ascii="Times New Roman" w:hAnsi="Times New Roman"/>
          <w:szCs w:val="24"/>
        </w:rPr>
        <w:t>凝析油</w:t>
      </w:r>
    </w:p>
    <w:p>
      <w:pPr>
        <w:ind w:firstLine="480"/>
        <w:rPr>
          <w:rFonts w:ascii="Times New Roman" w:hAnsi="Times New Roman"/>
          <w:szCs w:val="24"/>
        </w:rPr>
      </w:pPr>
      <w:r>
        <w:rPr>
          <w:rFonts w:ascii="Times New Roman" w:hAnsi="Times New Roman"/>
          <w:szCs w:val="24"/>
        </w:rPr>
        <w:t>煤成气中夹带有极少量的</w:t>
      </w:r>
      <w:r>
        <w:rPr>
          <w:rFonts w:hint="eastAsia" w:ascii="Times New Roman" w:hAnsi="Times New Roman"/>
          <w:szCs w:val="24"/>
        </w:rPr>
        <w:t>凝析油</w:t>
      </w:r>
      <w:r>
        <w:rPr>
          <w:rFonts w:ascii="Times New Roman" w:hAnsi="Times New Roman"/>
          <w:szCs w:val="24"/>
        </w:rPr>
        <w:t>，根据工程经验，每10万m</w:t>
      </w:r>
      <w:r>
        <w:rPr>
          <w:rFonts w:ascii="Times New Roman" w:hAnsi="Times New Roman"/>
          <w:szCs w:val="24"/>
          <w:vertAlign w:val="superscript"/>
        </w:rPr>
        <w:t>3</w:t>
      </w:r>
      <w:r>
        <w:rPr>
          <w:rFonts w:ascii="Times New Roman" w:hAnsi="Times New Roman"/>
          <w:szCs w:val="24"/>
        </w:rPr>
        <w:t>煤成气产生0.05m</w:t>
      </w:r>
      <w:r>
        <w:rPr>
          <w:rFonts w:ascii="Times New Roman" w:hAnsi="Times New Roman"/>
          <w:szCs w:val="24"/>
          <w:vertAlign w:val="superscript"/>
        </w:rPr>
        <w:t>3</w:t>
      </w:r>
      <w:r>
        <w:rPr>
          <w:rFonts w:hint="eastAsia" w:ascii="Times New Roman" w:hAnsi="Times New Roman"/>
          <w:szCs w:val="24"/>
        </w:rPr>
        <w:t>凝析油</w:t>
      </w:r>
      <w:r>
        <w:rPr>
          <w:rFonts w:ascii="Times New Roman" w:hAnsi="Times New Roman"/>
          <w:szCs w:val="24"/>
        </w:rPr>
        <w:t>，因此本项目</w:t>
      </w:r>
      <w:r>
        <w:rPr>
          <w:rFonts w:hint="eastAsia" w:ascii="Times New Roman" w:hAnsi="Times New Roman"/>
          <w:szCs w:val="24"/>
        </w:rPr>
        <w:t>凝析油</w:t>
      </w:r>
      <w:r>
        <w:rPr>
          <w:rFonts w:ascii="Times New Roman" w:hAnsi="Times New Roman"/>
          <w:szCs w:val="24"/>
        </w:rPr>
        <w:t>产生量为80m</w:t>
      </w:r>
      <w:r>
        <w:rPr>
          <w:rFonts w:ascii="Times New Roman" w:hAnsi="Times New Roman"/>
          <w:szCs w:val="24"/>
          <w:vertAlign w:val="superscript"/>
        </w:rPr>
        <w:t>3</w:t>
      </w:r>
      <w:r>
        <w:rPr>
          <w:rFonts w:ascii="Times New Roman" w:hAnsi="Times New Roman"/>
          <w:szCs w:val="24"/>
        </w:rPr>
        <w:t>/a</w:t>
      </w:r>
      <w:r>
        <w:rPr>
          <w:rFonts w:hint="eastAsia" w:ascii="Times New Roman" w:hAnsi="Times New Roman"/>
          <w:szCs w:val="24"/>
        </w:rPr>
        <w:t>，集气站达产后凝析油产生量为150</w:t>
      </w:r>
      <w:r>
        <w:rPr>
          <w:rFonts w:ascii="Times New Roman" w:hAnsi="Times New Roman"/>
          <w:szCs w:val="24"/>
        </w:rPr>
        <w:t xml:space="preserve"> m</w:t>
      </w:r>
      <w:r>
        <w:rPr>
          <w:rFonts w:ascii="Times New Roman" w:hAnsi="Times New Roman"/>
          <w:szCs w:val="24"/>
          <w:vertAlign w:val="superscript"/>
        </w:rPr>
        <w:t>3</w:t>
      </w:r>
      <w:r>
        <w:rPr>
          <w:rFonts w:ascii="Times New Roman" w:hAnsi="Times New Roman"/>
          <w:szCs w:val="24"/>
        </w:rPr>
        <w:t>/a。</w:t>
      </w:r>
      <w:r>
        <w:rPr>
          <w:rFonts w:hint="eastAsia" w:ascii="Times New Roman" w:hAnsi="Times New Roman"/>
          <w:szCs w:val="24"/>
        </w:rPr>
        <w:t>凝析油存于容积为30m</w:t>
      </w:r>
      <w:r>
        <w:rPr>
          <w:rFonts w:hint="eastAsia" w:ascii="Times New Roman" w:hAnsi="Times New Roman"/>
          <w:szCs w:val="24"/>
          <w:vertAlign w:val="superscript"/>
        </w:rPr>
        <w:t>3</w:t>
      </w:r>
      <w:r>
        <w:rPr>
          <w:rFonts w:hint="eastAsia" w:ascii="Times New Roman" w:hAnsi="Times New Roman"/>
          <w:szCs w:val="24"/>
        </w:rPr>
        <w:t>烃储罐内，烃储罐满后，定期交由广灵金隅水泥有限公司处置。</w:t>
      </w:r>
    </w:p>
    <w:p>
      <w:pPr>
        <w:ind w:firstLine="480"/>
        <w:rPr>
          <w:rFonts w:ascii="Times New Roman" w:hAnsi="Times New Roman"/>
          <w:szCs w:val="24"/>
        </w:rPr>
      </w:pPr>
      <w:r>
        <w:rPr>
          <w:rFonts w:ascii="Times New Roman" w:hAnsi="Times New Roman"/>
          <w:szCs w:val="24"/>
        </w:rPr>
        <w:t>（2）废弃分子筛</w:t>
      </w:r>
    </w:p>
    <w:p>
      <w:pPr>
        <w:ind w:firstLine="480"/>
        <w:rPr>
          <w:rFonts w:ascii="Times New Roman" w:hAnsi="Times New Roman"/>
          <w:szCs w:val="24"/>
        </w:rPr>
      </w:pPr>
      <w:r>
        <w:rPr>
          <w:rFonts w:ascii="Times New Roman" w:hAnsi="Times New Roman"/>
          <w:szCs w:val="24"/>
        </w:rPr>
        <w:t>分子筛定期更换，更换下来的分子筛由厂家回收处理后重复利用。</w:t>
      </w:r>
    </w:p>
    <w:p>
      <w:pPr>
        <w:ind w:firstLine="480"/>
        <w:rPr>
          <w:rFonts w:ascii="Times New Roman" w:hAnsi="Times New Roman"/>
          <w:szCs w:val="24"/>
        </w:rPr>
      </w:pPr>
      <w:r>
        <w:rPr>
          <w:rFonts w:hint="eastAsia" w:ascii="Times New Roman" w:hAnsi="Times New Roman"/>
          <w:szCs w:val="24"/>
        </w:rPr>
        <w:t>（3）废盐</w:t>
      </w:r>
    </w:p>
    <w:p>
      <w:pPr>
        <w:ind w:firstLine="480"/>
        <w:rPr>
          <w:rFonts w:ascii="Times New Roman" w:hAnsi="Times New Roman"/>
          <w:szCs w:val="24"/>
        </w:rPr>
      </w:pPr>
      <w:r>
        <w:rPr>
          <w:rFonts w:hint="eastAsia" w:ascii="Times New Roman" w:hAnsi="Times New Roman"/>
          <w:szCs w:val="24"/>
        </w:rPr>
        <w:t>净化后的生产废水经蒸发处理站处理后会产生废盐，根据生产废水中试处理试验，本项目废盐产生量为585t/a，废盐暂存于蒸发处理站的接水池内，定期交由广灵金隅水泥有限公司处置。</w:t>
      </w:r>
    </w:p>
    <w:p>
      <w:pPr>
        <w:ind w:firstLine="480"/>
        <w:rPr>
          <w:rFonts w:ascii="Times New Roman" w:hAnsi="Times New Roman"/>
          <w:szCs w:val="24"/>
        </w:rPr>
      </w:pPr>
      <w:r>
        <w:rPr>
          <w:rFonts w:hint="eastAsia" w:ascii="Times New Roman" w:hAnsi="Times New Roman"/>
          <w:szCs w:val="24"/>
        </w:rPr>
        <w:t>（4）生活污水处理站污泥</w:t>
      </w:r>
    </w:p>
    <w:p>
      <w:pPr>
        <w:ind w:firstLine="480"/>
        <w:rPr>
          <w:rFonts w:ascii="Times New Roman" w:hAnsi="Times New Roman"/>
          <w:szCs w:val="24"/>
        </w:rPr>
      </w:pPr>
      <w:r>
        <w:rPr>
          <w:rFonts w:hint="eastAsia" w:ascii="Times New Roman" w:hAnsi="Times New Roman"/>
          <w:szCs w:val="24"/>
        </w:rPr>
        <w:t>根据工程分析，生活污水中</w:t>
      </w:r>
      <w:r>
        <w:rPr>
          <w:rFonts w:ascii="Times New Roman" w:hAnsi="Times New Roman"/>
          <w:szCs w:val="24"/>
        </w:rPr>
        <w:t>SS</w:t>
      </w:r>
      <w:r>
        <w:rPr>
          <w:rFonts w:hint="eastAsia" w:ascii="Times New Roman" w:hAnsi="Times New Roman"/>
          <w:szCs w:val="24"/>
        </w:rPr>
        <w:t>约1.6764</w:t>
      </w:r>
      <w:r>
        <w:rPr>
          <w:rFonts w:ascii="Times New Roman" w:hAnsi="Times New Roman"/>
          <w:szCs w:val="24"/>
        </w:rPr>
        <w:t>t/a</w:t>
      </w:r>
      <w:r>
        <w:rPr>
          <w:rFonts w:hint="eastAsia" w:ascii="Times New Roman" w:hAnsi="Times New Roman"/>
          <w:szCs w:val="24"/>
        </w:rPr>
        <w:t>（SS250mg/l），废水处理产生污泥量按SS产生量的90%计，则污泥产生量约1.51t/a，污泥收集后作为一般固废定期送填埋场处理。</w:t>
      </w:r>
    </w:p>
    <w:p>
      <w:pPr>
        <w:ind w:firstLine="480"/>
        <w:rPr>
          <w:rFonts w:ascii="Times New Roman" w:hAnsi="Times New Roman"/>
          <w:szCs w:val="24"/>
        </w:rPr>
      </w:pPr>
      <w:r>
        <w:rPr>
          <w:rFonts w:hint="eastAsia" w:ascii="Times New Roman" w:hAnsi="Times New Roman"/>
          <w:szCs w:val="24"/>
        </w:rPr>
        <w:t>（5）干化池污泥</w:t>
      </w:r>
    </w:p>
    <w:p>
      <w:pPr>
        <w:ind w:firstLine="480"/>
        <w:rPr>
          <w:rFonts w:ascii="Times New Roman" w:hAnsi="Times New Roman"/>
          <w:szCs w:val="24"/>
        </w:rPr>
      </w:pPr>
      <w:r>
        <w:rPr>
          <w:rFonts w:hint="eastAsia" w:ascii="Times New Roman" w:hAnsi="Times New Roman"/>
          <w:szCs w:val="24"/>
        </w:rPr>
        <w:t>根据项目模拟实验，1吨采出水净化处理站经干化池处理后，产生的污泥约0.37kg，则本项目净化处理站干化池污泥产生量约为5.92t/a，这部分污泥含油极少量的凝析油，因为作为危险废物定期交由广灵金隅水泥有限公司收集处置。</w:t>
      </w:r>
    </w:p>
    <w:p>
      <w:pPr>
        <w:ind w:firstLine="480"/>
        <w:rPr>
          <w:rFonts w:ascii="Times New Roman" w:hAnsi="Times New Roman"/>
          <w:szCs w:val="24"/>
        </w:rPr>
      </w:pPr>
      <w:r>
        <w:rPr>
          <w:rFonts w:ascii="Times New Roman" w:hAnsi="Times New Roman"/>
          <w:snapToGrid w:val="0"/>
        </w:rPr>
        <w:t>（</w:t>
      </w:r>
      <w:r>
        <w:rPr>
          <w:rFonts w:hint="eastAsia" w:ascii="Times New Roman" w:hAnsi="Times New Roman"/>
          <w:snapToGrid w:val="0"/>
        </w:rPr>
        <w:t>6</w:t>
      </w:r>
      <w:r>
        <w:rPr>
          <w:rFonts w:ascii="Times New Roman" w:hAnsi="Times New Roman"/>
          <w:snapToGrid w:val="0"/>
        </w:rPr>
        <w:t>）生活垃圾</w:t>
      </w:r>
    </w:p>
    <w:p>
      <w:pPr>
        <w:snapToGrid w:val="0"/>
        <w:ind w:firstLine="480"/>
        <w:rPr>
          <w:rFonts w:ascii="Times New Roman" w:hAnsi="Times New Roman"/>
          <w:szCs w:val="24"/>
          <w:lang w:val="zh-CN"/>
        </w:rPr>
      </w:pPr>
      <w:r>
        <w:rPr>
          <w:rFonts w:hint="eastAsia" w:ascii="Times New Roman" w:hAnsi="Times New Roman"/>
          <w:szCs w:val="24"/>
        </w:rPr>
        <w:t>本项目</w:t>
      </w:r>
      <w:r>
        <w:rPr>
          <w:rFonts w:ascii="Times New Roman" w:hAnsi="Times New Roman"/>
          <w:szCs w:val="24"/>
        </w:rPr>
        <w:t>工作人员共100人，按照每人每天产生生活垃圾0.6kg计算，每年产生生活垃圾19.8t</w:t>
      </w:r>
      <w:r>
        <w:rPr>
          <w:rFonts w:hint="eastAsia" w:ascii="Times New Roman" w:hAnsi="Times New Roman"/>
          <w:szCs w:val="24"/>
        </w:rPr>
        <w:t>，办公生活区和集气站均定点设置垃圾箱，定期由环卫部门统一收集处置</w:t>
      </w:r>
      <w:r>
        <w:rPr>
          <w:rFonts w:ascii="Times New Roman" w:hAnsi="Times New Roman"/>
          <w:szCs w:val="24"/>
        </w:rPr>
        <w:t>。</w:t>
      </w:r>
    </w:p>
    <w:p>
      <w:pPr>
        <w:ind w:firstLine="0" w:firstLineChars="0"/>
        <w:outlineLvl w:val="2"/>
        <w:rPr>
          <w:rFonts w:ascii="Times New Roman" w:hAnsi="Times New Roman"/>
          <w:b/>
          <w:sz w:val="28"/>
          <w:szCs w:val="28"/>
        </w:rPr>
      </w:pPr>
      <w:bookmarkStart w:id="54" w:name="_Toc524624586"/>
      <w:r>
        <w:rPr>
          <w:rFonts w:ascii="Times New Roman" w:hAnsi="Times New Roman"/>
          <w:b/>
          <w:sz w:val="28"/>
          <w:szCs w:val="28"/>
        </w:rPr>
        <w:t xml:space="preserve">3.5.3 </w:t>
      </w:r>
      <w:r>
        <w:rPr>
          <w:rFonts w:hint="eastAsia" w:ascii="Times New Roman" w:hAnsi="Times New Roman"/>
          <w:b/>
          <w:sz w:val="28"/>
          <w:szCs w:val="28"/>
        </w:rPr>
        <w:t>退役</w:t>
      </w:r>
      <w:r>
        <w:rPr>
          <w:rFonts w:ascii="Times New Roman" w:hAnsi="Times New Roman"/>
          <w:b/>
          <w:sz w:val="28"/>
          <w:szCs w:val="28"/>
        </w:rPr>
        <w:t>闭井期环境影响分析</w:t>
      </w:r>
      <w:bookmarkEnd w:id="54"/>
    </w:p>
    <w:p>
      <w:pPr>
        <w:ind w:firstLine="480"/>
        <w:rPr>
          <w:rFonts w:ascii="Times New Roman" w:hAnsi="Times New Roman"/>
          <w:szCs w:val="24"/>
        </w:rPr>
      </w:pPr>
      <w:r>
        <w:rPr>
          <w:rFonts w:ascii="Times New Roman" w:hAnsi="Times New Roman"/>
          <w:szCs w:val="24"/>
        </w:rPr>
        <w:t>本项目服务期满进入退役</w:t>
      </w:r>
      <w:r>
        <w:rPr>
          <w:rFonts w:hint="eastAsia" w:ascii="Times New Roman" w:hAnsi="Times New Roman"/>
          <w:szCs w:val="24"/>
        </w:rPr>
        <w:t>闭井</w:t>
      </w:r>
      <w:r>
        <w:rPr>
          <w:rFonts w:ascii="Times New Roman" w:hAnsi="Times New Roman"/>
          <w:szCs w:val="24"/>
        </w:rPr>
        <w:t>期后，各种生产停运，井场及集气站逐步撤销。废水、废气、噪声和固体废物的影响将逐步消失，土地使用功能开始恢复。在闭井过程中主要污染源与污染物为：</w:t>
      </w:r>
    </w:p>
    <w:p>
      <w:pPr>
        <w:ind w:firstLine="480"/>
        <w:rPr>
          <w:rFonts w:ascii="Times New Roman" w:hAnsi="Times New Roman"/>
          <w:szCs w:val="24"/>
        </w:rPr>
      </w:pPr>
      <w:r>
        <w:rPr>
          <w:rFonts w:ascii="Times New Roman" w:hAnsi="Times New Roman"/>
          <w:szCs w:val="24"/>
        </w:rPr>
        <w:t>（1）气井停采后将进行一系列清理工作，包括地面设施拆除、地下截去至少1m的井筒并用水泥灌注封井、井场清理等。在这期间，将会产生少量扬尘。在闭井施工操作中应注意采取降尘措施，文明施工，防止水泥等的洒落与飘散，同时在清理井场时防止产生飞灰、扬尘的产生，尽可能降低对周边大气环境的影响。</w:t>
      </w:r>
    </w:p>
    <w:p>
      <w:pPr>
        <w:ind w:firstLine="480"/>
        <w:rPr>
          <w:rFonts w:ascii="Times New Roman" w:hAnsi="Times New Roman"/>
          <w:szCs w:val="24"/>
        </w:rPr>
      </w:pPr>
      <w:r>
        <w:rPr>
          <w:rFonts w:ascii="Times New Roman" w:hAnsi="Times New Roman"/>
          <w:szCs w:val="24"/>
        </w:rPr>
        <w:t>（2）井场清理等工作还会产生部分废弃管线、废弃建筑残渣等固体废物，对这些废弃管线、残渣等进行集中清理收集，管线外运经清洗后可回收再利用，废弃建筑残渣外运至指定处理场填埋处理。固体废物的妥善处理，可以有效控制对区域环境的影响。</w:t>
      </w:r>
    </w:p>
    <w:p>
      <w:pPr>
        <w:ind w:firstLine="480"/>
        <w:rPr>
          <w:rFonts w:ascii="Times New Roman" w:hAnsi="Times New Roman"/>
          <w:szCs w:val="24"/>
        </w:rPr>
      </w:pPr>
      <w:r>
        <w:rPr>
          <w:rFonts w:ascii="Times New Roman" w:hAnsi="Times New Roman"/>
          <w:szCs w:val="24"/>
        </w:rPr>
        <w:t>（3）闭井期的集气站不再生产，气压很低，有时可能有少量</w:t>
      </w:r>
      <w:r>
        <w:rPr>
          <w:rFonts w:hint="eastAsia" w:ascii="Times New Roman" w:hAnsi="Times New Roman"/>
          <w:szCs w:val="24"/>
        </w:rPr>
        <w:t>煤成气</w:t>
      </w:r>
      <w:r>
        <w:rPr>
          <w:rFonts w:ascii="Times New Roman" w:hAnsi="Times New Roman"/>
          <w:szCs w:val="24"/>
        </w:rPr>
        <w:t>泄漏，通过打封井砼回灌等措施，防止</w:t>
      </w:r>
      <w:r>
        <w:rPr>
          <w:rFonts w:hint="eastAsia" w:ascii="Times New Roman" w:hAnsi="Times New Roman"/>
          <w:szCs w:val="24"/>
        </w:rPr>
        <w:t>煤成气</w:t>
      </w:r>
      <w:r>
        <w:rPr>
          <w:rFonts w:ascii="Times New Roman" w:hAnsi="Times New Roman"/>
          <w:szCs w:val="24"/>
        </w:rPr>
        <w:t>泄漏，对环境影响小。</w:t>
      </w:r>
    </w:p>
    <w:p>
      <w:pPr>
        <w:snapToGrid w:val="0"/>
        <w:ind w:firstLine="480"/>
        <w:rPr>
          <w:rFonts w:ascii="Times New Roman" w:hAnsi="Times New Roman"/>
          <w:szCs w:val="24"/>
        </w:rPr>
      </w:pPr>
      <w:r>
        <w:rPr>
          <w:rFonts w:ascii="Times New Roman" w:hAnsi="Times New Roman"/>
          <w:szCs w:val="24"/>
        </w:rPr>
        <w:t>采气井的服务年限平均为20年，应该按照环保和土地管理的有关要求根据立地条件和因地制宜原则，对生态环境进行恢复和重建。对于可以作为当地交通和农业生产用地的道路的进井场道路留用，对当地交通和农业生产无用的道路，应及时恢复林草种植，改善生态环境。</w:t>
      </w:r>
    </w:p>
    <w:p>
      <w:pPr>
        <w:ind w:firstLine="0" w:firstLineChars="0"/>
        <w:outlineLvl w:val="2"/>
        <w:rPr>
          <w:rFonts w:ascii="Times New Roman" w:hAnsi="Times New Roman"/>
          <w:b/>
          <w:sz w:val="28"/>
          <w:szCs w:val="28"/>
        </w:rPr>
      </w:pPr>
      <w:bookmarkStart w:id="55" w:name="_Toc524624587"/>
      <w:r>
        <w:rPr>
          <w:rFonts w:hint="eastAsia" w:ascii="Times New Roman" w:hAnsi="Times New Roman"/>
          <w:b/>
          <w:sz w:val="28"/>
          <w:szCs w:val="28"/>
        </w:rPr>
        <w:t>3.5.4 污染物排放总量汇总</w:t>
      </w:r>
      <w:bookmarkEnd w:id="55"/>
    </w:p>
    <w:p>
      <w:pPr>
        <w:snapToGrid w:val="0"/>
        <w:ind w:firstLine="480"/>
        <w:rPr>
          <w:rFonts w:ascii="Times New Roman" w:hAnsi="Times New Roman"/>
          <w:szCs w:val="24"/>
        </w:rPr>
      </w:pPr>
      <w:r>
        <w:rPr>
          <w:rFonts w:hint="eastAsia" w:ascii="Times New Roman" w:hAnsi="Times New Roman"/>
          <w:szCs w:val="24"/>
        </w:rPr>
        <w:t>综合以上，建设期和运行期各污染物排放汇总见表3.5-14。</w:t>
      </w:r>
    </w:p>
    <w:p>
      <w:pPr>
        <w:snapToGrid w:val="0"/>
        <w:spacing w:before="156" w:beforeLines="50" w:line="240" w:lineRule="auto"/>
        <w:ind w:firstLine="0" w:firstLineChars="0"/>
        <w:jc w:val="center"/>
      </w:pPr>
      <w:r>
        <w:rPr>
          <w:rFonts w:ascii="Times New Roman" w:hAnsi="Times New Roman"/>
          <w:b/>
          <w:bCs/>
          <w:sz w:val="21"/>
        </w:rPr>
        <w:t>表3.</w:t>
      </w:r>
      <w:r>
        <w:rPr>
          <w:rFonts w:hint="eastAsia" w:ascii="Times New Roman" w:hAnsi="Times New Roman"/>
          <w:b/>
          <w:bCs/>
          <w:sz w:val="21"/>
        </w:rPr>
        <w:t>5</w:t>
      </w:r>
      <w:r>
        <w:rPr>
          <w:rFonts w:ascii="Times New Roman" w:hAnsi="Times New Roman"/>
          <w:b/>
          <w:bCs/>
          <w:sz w:val="21"/>
        </w:rPr>
        <w:t>-</w:t>
      </w:r>
      <w:r>
        <w:rPr>
          <w:rFonts w:hint="eastAsia" w:ascii="Times New Roman" w:hAnsi="Times New Roman"/>
          <w:b/>
          <w:bCs/>
          <w:sz w:val="21"/>
        </w:rPr>
        <w:t xml:space="preserve">14 </w:t>
      </w:r>
      <w:r>
        <w:rPr>
          <w:rFonts w:ascii="Times New Roman" w:hAnsi="Times New Roman"/>
          <w:b/>
          <w:bCs/>
          <w:sz w:val="21"/>
        </w:rPr>
        <w:t>本项目建设期和运营期各污染物排放汇总</w:t>
      </w:r>
    </w:p>
    <w:tbl>
      <w:tblPr>
        <w:tblStyle w:val="18"/>
        <w:tblW w:w="5136"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438"/>
        <w:gridCol w:w="646"/>
        <w:gridCol w:w="1558"/>
        <w:gridCol w:w="1415"/>
        <w:gridCol w:w="987"/>
        <w:gridCol w:w="11"/>
        <w:gridCol w:w="1059"/>
        <w:gridCol w:w="264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Align w:val="center"/>
          </w:tcPr>
          <w:p>
            <w:pPr>
              <w:pStyle w:val="27"/>
            </w:pPr>
            <w:r>
              <w:t>时期</w:t>
            </w:r>
          </w:p>
        </w:tc>
        <w:tc>
          <w:tcPr>
            <w:tcW w:w="369" w:type="pct"/>
            <w:vAlign w:val="center"/>
          </w:tcPr>
          <w:p>
            <w:pPr>
              <w:pStyle w:val="27"/>
            </w:pPr>
            <w:r>
              <w:t>类别</w:t>
            </w:r>
          </w:p>
        </w:tc>
        <w:tc>
          <w:tcPr>
            <w:tcW w:w="890" w:type="pct"/>
            <w:vAlign w:val="center"/>
          </w:tcPr>
          <w:p>
            <w:pPr>
              <w:pStyle w:val="27"/>
            </w:pPr>
            <w:r>
              <w:t>名称</w:t>
            </w:r>
          </w:p>
        </w:tc>
        <w:tc>
          <w:tcPr>
            <w:tcW w:w="808" w:type="pct"/>
            <w:vAlign w:val="center"/>
          </w:tcPr>
          <w:p>
            <w:pPr>
              <w:pStyle w:val="27"/>
            </w:pPr>
            <w:r>
              <w:t>产生量</w:t>
            </w:r>
          </w:p>
        </w:tc>
        <w:tc>
          <w:tcPr>
            <w:tcW w:w="570" w:type="pct"/>
            <w:gridSpan w:val="2"/>
            <w:vAlign w:val="center"/>
          </w:tcPr>
          <w:p>
            <w:pPr>
              <w:pStyle w:val="27"/>
            </w:pPr>
            <w:r>
              <w:t>削减量</w:t>
            </w:r>
          </w:p>
        </w:tc>
        <w:tc>
          <w:tcPr>
            <w:tcW w:w="605" w:type="pct"/>
            <w:vAlign w:val="center"/>
          </w:tcPr>
          <w:p>
            <w:pPr>
              <w:pStyle w:val="27"/>
            </w:pPr>
            <w:r>
              <w:t>排放量</w:t>
            </w:r>
          </w:p>
        </w:tc>
        <w:tc>
          <w:tcPr>
            <w:tcW w:w="1509" w:type="pct"/>
            <w:vAlign w:val="center"/>
          </w:tcPr>
          <w:p>
            <w:pPr>
              <w:pStyle w:val="27"/>
            </w:pPr>
            <w: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restart"/>
            <w:vAlign w:val="center"/>
          </w:tcPr>
          <w:p>
            <w:pPr>
              <w:pStyle w:val="27"/>
            </w:pPr>
            <w:r>
              <w:t>施</w:t>
            </w:r>
          </w:p>
          <w:p>
            <w:pPr>
              <w:pStyle w:val="27"/>
            </w:pPr>
            <w:r>
              <w:t>工</w:t>
            </w:r>
          </w:p>
          <w:p>
            <w:pPr>
              <w:pStyle w:val="27"/>
            </w:pPr>
            <w:r>
              <w:t>期</w:t>
            </w:r>
          </w:p>
        </w:tc>
        <w:tc>
          <w:tcPr>
            <w:tcW w:w="369" w:type="pct"/>
            <w:vMerge w:val="restart"/>
            <w:vAlign w:val="center"/>
          </w:tcPr>
          <w:p>
            <w:pPr>
              <w:pStyle w:val="27"/>
            </w:pPr>
            <w:r>
              <w:t>废气</w:t>
            </w:r>
          </w:p>
        </w:tc>
        <w:tc>
          <w:tcPr>
            <w:tcW w:w="890" w:type="pct"/>
            <w:vAlign w:val="center"/>
          </w:tcPr>
          <w:p>
            <w:pPr>
              <w:pStyle w:val="27"/>
            </w:pPr>
            <w:r>
              <w:t>SO</w:t>
            </w:r>
            <w:r>
              <w:rPr>
                <w:vertAlign w:val="subscript"/>
              </w:rPr>
              <w:t>2</w:t>
            </w:r>
            <w:r>
              <w:t>(t/建设期)</w:t>
            </w:r>
          </w:p>
        </w:tc>
        <w:tc>
          <w:tcPr>
            <w:tcW w:w="808" w:type="pct"/>
            <w:vAlign w:val="center"/>
          </w:tcPr>
          <w:p>
            <w:pPr>
              <w:pStyle w:val="27"/>
            </w:pPr>
            <w:r>
              <w:rPr>
                <w:rFonts w:hint="eastAsia"/>
              </w:rPr>
              <w:t>1.22</w:t>
            </w:r>
          </w:p>
        </w:tc>
        <w:tc>
          <w:tcPr>
            <w:tcW w:w="570" w:type="pct"/>
            <w:gridSpan w:val="2"/>
            <w:vAlign w:val="center"/>
          </w:tcPr>
          <w:p>
            <w:pPr>
              <w:pStyle w:val="27"/>
            </w:pPr>
            <w:r>
              <w:t>-</w:t>
            </w:r>
          </w:p>
        </w:tc>
        <w:tc>
          <w:tcPr>
            <w:tcW w:w="605" w:type="pct"/>
            <w:vAlign w:val="center"/>
          </w:tcPr>
          <w:p>
            <w:pPr>
              <w:pStyle w:val="27"/>
            </w:pPr>
            <w:r>
              <w:rPr>
                <w:rFonts w:hint="eastAsia"/>
              </w:rPr>
              <w:t>1.22</w:t>
            </w:r>
          </w:p>
        </w:tc>
        <w:tc>
          <w:tcPr>
            <w:tcW w:w="1509" w:type="pct"/>
            <w:vMerge w:val="restart"/>
            <w:vAlign w:val="center"/>
          </w:tcPr>
          <w:p>
            <w:pPr>
              <w:pStyle w:val="27"/>
            </w:pPr>
            <w:r>
              <w:t>无组织排放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NOx(t/建设期)</w:t>
            </w:r>
          </w:p>
        </w:tc>
        <w:tc>
          <w:tcPr>
            <w:tcW w:w="808" w:type="pct"/>
            <w:vAlign w:val="center"/>
          </w:tcPr>
          <w:p>
            <w:pPr>
              <w:pStyle w:val="27"/>
            </w:pPr>
            <w:r>
              <w:rPr>
                <w:rFonts w:hint="eastAsia"/>
              </w:rPr>
              <w:t>0.86</w:t>
            </w:r>
          </w:p>
        </w:tc>
        <w:tc>
          <w:tcPr>
            <w:tcW w:w="570" w:type="pct"/>
            <w:gridSpan w:val="2"/>
            <w:vAlign w:val="center"/>
          </w:tcPr>
          <w:p>
            <w:pPr>
              <w:pStyle w:val="27"/>
            </w:pPr>
            <w:r>
              <w:t>-</w:t>
            </w:r>
          </w:p>
        </w:tc>
        <w:tc>
          <w:tcPr>
            <w:tcW w:w="605" w:type="pct"/>
            <w:vAlign w:val="center"/>
          </w:tcPr>
          <w:p>
            <w:pPr>
              <w:pStyle w:val="27"/>
            </w:pPr>
            <w:r>
              <w:rPr>
                <w:rFonts w:hint="eastAsia"/>
              </w:rPr>
              <w:t>0.86</w:t>
            </w:r>
          </w:p>
        </w:tc>
        <w:tc>
          <w:tcPr>
            <w:tcW w:w="1509" w:type="pct"/>
            <w:vMerge w:val="continue"/>
            <w:vAlign w:val="center"/>
          </w:tcPr>
          <w:p>
            <w:pPr>
              <w:pStyle w:val="27"/>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烟尘(t/建设期)</w:t>
            </w:r>
          </w:p>
        </w:tc>
        <w:tc>
          <w:tcPr>
            <w:tcW w:w="808" w:type="pct"/>
            <w:vAlign w:val="center"/>
          </w:tcPr>
          <w:p>
            <w:pPr>
              <w:pStyle w:val="27"/>
            </w:pPr>
            <w:r>
              <w:rPr>
                <w:rFonts w:hint="eastAsia"/>
              </w:rPr>
              <w:t>3.35</w:t>
            </w:r>
          </w:p>
        </w:tc>
        <w:tc>
          <w:tcPr>
            <w:tcW w:w="570" w:type="pct"/>
            <w:gridSpan w:val="2"/>
            <w:vAlign w:val="center"/>
          </w:tcPr>
          <w:p>
            <w:pPr>
              <w:pStyle w:val="27"/>
            </w:pPr>
            <w:r>
              <w:t>-</w:t>
            </w:r>
          </w:p>
        </w:tc>
        <w:tc>
          <w:tcPr>
            <w:tcW w:w="605" w:type="pct"/>
            <w:vAlign w:val="center"/>
          </w:tcPr>
          <w:p>
            <w:pPr>
              <w:pStyle w:val="27"/>
            </w:pPr>
            <w:r>
              <w:rPr>
                <w:rFonts w:hint="eastAsia"/>
              </w:rPr>
              <w:t>3.35</w:t>
            </w:r>
          </w:p>
        </w:tc>
        <w:tc>
          <w:tcPr>
            <w:tcW w:w="1509" w:type="pct"/>
            <w:vMerge w:val="continue"/>
            <w:vAlign w:val="center"/>
          </w:tcPr>
          <w:p>
            <w:pPr>
              <w:pStyle w:val="27"/>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restart"/>
            <w:vAlign w:val="center"/>
          </w:tcPr>
          <w:p>
            <w:pPr>
              <w:pStyle w:val="27"/>
            </w:pPr>
            <w:r>
              <w:t>废水</w:t>
            </w:r>
          </w:p>
        </w:tc>
        <w:tc>
          <w:tcPr>
            <w:tcW w:w="890" w:type="pct"/>
            <w:vAlign w:val="center"/>
          </w:tcPr>
          <w:p>
            <w:pPr>
              <w:pStyle w:val="27"/>
            </w:pPr>
            <w:r>
              <w:t>钻井废水</w:t>
            </w:r>
          </w:p>
          <w:p>
            <w:pPr>
              <w:pStyle w:val="27"/>
            </w:pPr>
            <w:r>
              <w:t>(m</w:t>
            </w:r>
            <w:r>
              <w:rPr>
                <w:vertAlign w:val="superscript"/>
              </w:rPr>
              <w:t>3</w:t>
            </w:r>
            <w:r>
              <w:t>/建设期)</w:t>
            </w:r>
          </w:p>
        </w:tc>
        <w:tc>
          <w:tcPr>
            <w:tcW w:w="808" w:type="pct"/>
            <w:vAlign w:val="center"/>
          </w:tcPr>
          <w:p>
            <w:pPr>
              <w:pStyle w:val="27"/>
            </w:pPr>
            <w:r>
              <w:rPr>
                <w:rFonts w:hint="eastAsia"/>
              </w:rPr>
              <w:t>1066</w:t>
            </w:r>
          </w:p>
        </w:tc>
        <w:tc>
          <w:tcPr>
            <w:tcW w:w="570" w:type="pct"/>
            <w:gridSpan w:val="2"/>
            <w:vAlign w:val="center"/>
          </w:tcPr>
          <w:p>
            <w:pPr>
              <w:pStyle w:val="27"/>
            </w:pPr>
            <w:r>
              <w:rPr>
                <w:rFonts w:hint="eastAsia"/>
              </w:rPr>
              <w:t>1066</w:t>
            </w:r>
          </w:p>
        </w:tc>
        <w:tc>
          <w:tcPr>
            <w:tcW w:w="605" w:type="pct"/>
            <w:vAlign w:val="center"/>
          </w:tcPr>
          <w:p>
            <w:pPr>
              <w:pStyle w:val="27"/>
            </w:pPr>
            <w:r>
              <w:t>0</w:t>
            </w:r>
          </w:p>
        </w:tc>
        <w:tc>
          <w:tcPr>
            <w:tcW w:w="1509" w:type="pct"/>
            <w:vAlign w:val="center"/>
          </w:tcPr>
          <w:p>
            <w:pPr>
              <w:pStyle w:val="27"/>
            </w:pPr>
            <w:r>
              <w:t>全部配制泥浆，自然蒸发，不外排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生活污水</w:t>
            </w:r>
          </w:p>
          <w:p>
            <w:pPr>
              <w:pStyle w:val="27"/>
            </w:pPr>
            <w:r>
              <w:t>(m</w:t>
            </w:r>
            <w:r>
              <w:rPr>
                <w:vertAlign w:val="superscript"/>
              </w:rPr>
              <w:t>3</w:t>
            </w:r>
            <w:r>
              <w:t>/建设期)</w:t>
            </w:r>
          </w:p>
        </w:tc>
        <w:tc>
          <w:tcPr>
            <w:tcW w:w="808" w:type="pct"/>
            <w:vAlign w:val="center"/>
          </w:tcPr>
          <w:p>
            <w:pPr>
              <w:pStyle w:val="27"/>
            </w:pPr>
            <w:r>
              <w:rPr>
                <w:rFonts w:hint="eastAsia"/>
              </w:rPr>
              <w:t>526</w:t>
            </w:r>
          </w:p>
        </w:tc>
        <w:tc>
          <w:tcPr>
            <w:tcW w:w="570" w:type="pct"/>
            <w:gridSpan w:val="2"/>
            <w:vAlign w:val="center"/>
          </w:tcPr>
          <w:p>
            <w:pPr>
              <w:pStyle w:val="27"/>
            </w:pPr>
            <w:r>
              <w:rPr>
                <w:rFonts w:hint="eastAsia"/>
              </w:rPr>
              <w:t>526</w:t>
            </w:r>
          </w:p>
        </w:tc>
        <w:tc>
          <w:tcPr>
            <w:tcW w:w="605" w:type="pct"/>
            <w:vAlign w:val="center"/>
          </w:tcPr>
          <w:p>
            <w:pPr>
              <w:pStyle w:val="27"/>
            </w:pPr>
            <w:r>
              <w:t>0</w:t>
            </w:r>
          </w:p>
        </w:tc>
        <w:tc>
          <w:tcPr>
            <w:tcW w:w="1509" w:type="pct"/>
            <w:vAlign w:val="center"/>
          </w:tcPr>
          <w:p>
            <w:pPr>
              <w:pStyle w:val="27"/>
            </w:pPr>
            <w:r>
              <w:rPr>
                <w:rFonts w:hint="eastAsia"/>
              </w:rPr>
              <w:t>全部用于井场和集气站的降尘洒水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restart"/>
            <w:vAlign w:val="center"/>
          </w:tcPr>
          <w:p>
            <w:pPr>
              <w:pStyle w:val="27"/>
            </w:pPr>
            <w:r>
              <w:t>固体废物</w:t>
            </w:r>
          </w:p>
        </w:tc>
        <w:tc>
          <w:tcPr>
            <w:tcW w:w="890" w:type="pct"/>
            <w:vAlign w:val="center"/>
          </w:tcPr>
          <w:p>
            <w:pPr>
              <w:pStyle w:val="27"/>
            </w:pPr>
            <w:r>
              <w:t>钻井泥浆</w:t>
            </w:r>
          </w:p>
          <w:p>
            <w:pPr>
              <w:pStyle w:val="27"/>
            </w:pPr>
            <w:r>
              <w:t>(t/建设期)</w:t>
            </w:r>
          </w:p>
        </w:tc>
        <w:tc>
          <w:tcPr>
            <w:tcW w:w="808" w:type="pct"/>
            <w:vAlign w:val="center"/>
          </w:tcPr>
          <w:p>
            <w:pPr>
              <w:pStyle w:val="27"/>
            </w:pPr>
            <w:r>
              <w:rPr>
                <w:rFonts w:hint="eastAsia"/>
              </w:rPr>
              <w:t>914</w:t>
            </w:r>
          </w:p>
        </w:tc>
        <w:tc>
          <w:tcPr>
            <w:tcW w:w="570" w:type="pct"/>
            <w:gridSpan w:val="2"/>
            <w:vAlign w:val="center"/>
          </w:tcPr>
          <w:p>
            <w:pPr>
              <w:pStyle w:val="27"/>
            </w:pPr>
            <w:r>
              <w:rPr>
                <w:rFonts w:hint="eastAsia"/>
              </w:rPr>
              <w:t>731.2</w:t>
            </w:r>
          </w:p>
        </w:tc>
        <w:tc>
          <w:tcPr>
            <w:tcW w:w="605" w:type="pct"/>
            <w:vAlign w:val="center"/>
          </w:tcPr>
          <w:p>
            <w:pPr>
              <w:pStyle w:val="27"/>
            </w:pPr>
            <w:r>
              <w:rPr>
                <w:rFonts w:hint="eastAsia"/>
              </w:rPr>
              <w:t>182.8</w:t>
            </w:r>
          </w:p>
        </w:tc>
        <w:tc>
          <w:tcPr>
            <w:tcW w:w="1509" w:type="pct"/>
            <w:shd w:val="clear" w:color="auto" w:fill="auto"/>
            <w:vAlign w:val="center"/>
          </w:tcPr>
          <w:p>
            <w:pPr>
              <w:pStyle w:val="27"/>
            </w:pPr>
            <w:r>
              <w:t>无害化处理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钻井岩屑</w:t>
            </w:r>
          </w:p>
          <w:p>
            <w:pPr>
              <w:pStyle w:val="27"/>
            </w:pPr>
            <w:r>
              <w:t>(t/建设期)</w:t>
            </w:r>
          </w:p>
        </w:tc>
        <w:tc>
          <w:tcPr>
            <w:tcW w:w="808" w:type="pct"/>
            <w:vAlign w:val="center"/>
          </w:tcPr>
          <w:p>
            <w:pPr>
              <w:pStyle w:val="27"/>
            </w:pPr>
            <w:r>
              <w:rPr>
                <w:rFonts w:hint="eastAsia"/>
              </w:rPr>
              <w:t>761</w:t>
            </w:r>
          </w:p>
        </w:tc>
        <w:tc>
          <w:tcPr>
            <w:tcW w:w="570" w:type="pct"/>
            <w:gridSpan w:val="2"/>
            <w:vAlign w:val="center"/>
          </w:tcPr>
          <w:p>
            <w:pPr>
              <w:pStyle w:val="27"/>
            </w:pPr>
            <w:r>
              <w:rPr>
                <w:rFonts w:hint="eastAsia"/>
              </w:rPr>
              <w:t>0</w:t>
            </w:r>
          </w:p>
        </w:tc>
        <w:tc>
          <w:tcPr>
            <w:tcW w:w="605" w:type="pct"/>
            <w:vAlign w:val="center"/>
          </w:tcPr>
          <w:p>
            <w:pPr>
              <w:pStyle w:val="27"/>
            </w:pPr>
            <w:r>
              <w:rPr>
                <w:rFonts w:hint="eastAsia"/>
              </w:rPr>
              <w:t>761</w:t>
            </w:r>
          </w:p>
        </w:tc>
        <w:tc>
          <w:tcPr>
            <w:tcW w:w="1509" w:type="pct"/>
            <w:shd w:val="clear" w:color="auto" w:fill="auto"/>
            <w:vAlign w:val="center"/>
          </w:tcPr>
          <w:p>
            <w:pPr>
              <w:pStyle w:val="27"/>
            </w:pPr>
            <w:r>
              <w:t>无害化处理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生活垃圾</w:t>
            </w:r>
          </w:p>
          <w:p>
            <w:pPr>
              <w:pStyle w:val="27"/>
            </w:pPr>
            <w:r>
              <w:t>(t/建设期)</w:t>
            </w:r>
          </w:p>
        </w:tc>
        <w:tc>
          <w:tcPr>
            <w:tcW w:w="808" w:type="pct"/>
            <w:vAlign w:val="center"/>
          </w:tcPr>
          <w:p>
            <w:pPr>
              <w:pStyle w:val="27"/>
            </w:pPr>
            <w:r>
              <w:rPr>
                <w:rFonts w:hint="eastAsia"/>
              </w:rPr>
              <w:t>4.78</w:t>
            </w:r>
          </w:p>
        </w:tc>
        <w:tc>
          <w:tcPr>
            <w:tcW w:w="570" w:type="pct"/>
            <w:gridSpan w:val="2"/>
            <w:vAlign w:val="center"/>
          </w:tcPr>
          <w:p>
            <w:pPr>
              <w:pStyle w:val="27"/>
            </w:pPr>
            <w:r>
              <w:t>0</w:t>
            </w:r>
          </w:p>
        </w:tc>
        <w:tc>
          <w:tcPr>
            <w:tcW w:w="605" w:type="pct"/>
            <w:vAlign w:val="center"/>
          </w:tcPr>
          <w:p>
            <w:pPr>
              <w:pStyle w:val="27"/>
            </w:pPr>
            <w:r>
              <w:rPr>
                <w:rFonts w:hint="eastAsia"/>
              </w:rPr>
              <w:t>4.78</w:t>
            </w:r>
          </w:p>
        </w:tc>
        <w:tc>
          <w:tcPr>
            <w:tcW w:w="1509" w:type="pct"/>
            <w:shd w:val="clear" w:color="auto" w:fill="auto"/>
            <w:vAlign w:val="center"/>
          </w:tcPr>
          <w:p>
            <w:pPr>
              <w:pStyle w:val="27"/>
            </w:pPr>
            <w:r>
              <w:t>送附近垃圾场填埋处理</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restart"/>
            <w:vAlign w:val="center"/>
          </w:tcPr>
          <w:p>
            <w:pPr>
              <w:pStyle w:val="27"/>
            </w:pPr>
            <w:r>
              <w:t>运</w:t>
            </w:r>
          </w:p>
          <w:p>
            <w:pPr>
              <w:pStyle w:val="27"/>
            </w:pPr>
            <w:r>
              <w:t>营</w:t>
            </w:r>
          </w:p>
          <w:p>
            <w:pPr>
              <w:pStyle w:val="27"/>
            </w:pPr>
            <w:r>
              <w:t>期</w:t>
            </w:r>
          </w:p>
        </w:tc>
        <w:tc>
          <w:tcPr>
            <w:tcW w:w="369" w:type="pct"/>
            <w:vMerge w:val="restart"/>
            <w:vAlign w:val="center"/>
          </w:tcPr>
          <w:p>
            <w:pPr>
              <w:pStyle w:val="27"/>
            </w:pPr>
            <w:r>
              <w:t>废气</w:t>
            </w:r>
          </w:p>
        </w:tc>
        <w:tc>
          <w:tcPr>
            <w:tcW w:w="890" w:type="pct"/>
            <w:vAlign w:val="center"/>
          </w:tcPr>
          <w:p>
            <w:pPr>
              <w:pStyle w:val="27"/>
            </w:pPr>
            <w:r>
              <w:t>SO</w:t>
            </w:r>
            <w:r>
              <w:rPr>
                <w:vertAlign w:val="subscript"/>
              </w:rPr>
              <w:t>2</w:t>
            </w:r>
            <w:r>
              <w:t>(t/a)</w:t>
            </w:r>
          </w:p>
        </w:tc>
        <w:tc>
          <w:tcPr>
            <w:tcW w:w="808" w:type="pct"/>
            <w:vAlign w:val="center"/>
          </w:tcPr>
          <w:p>
            <w:pPr>
              <w:pStyle w:val="27"/>
            </w:pPr>
            <w:r>
              <w:t>0</w:t>
            </w:r>
          </w:p>
        </w:tc>
        <w:tc>
          <w:tcPr>
            <w:tcW w:w="564" w:type="pct"/>
            <w:vAlign w:val="center"/>
          </w:tcPr>
          <w:p>
            <w:pPr>
              <w:pStyle w:val="27"/>
            </w:pPr>
            <w:r>
              <w:t>0</w:t>
            </w:r>
          </w:p>
        </w:tc>
        <w:tc>
          <w:tcPr>
            <w:tcW w:w="611" w:type="pct"/>
            <w:gridSpan w:val="2"/>
            <w:vAlign w:val="center"/>
          </w:tcPr>
          <w:p>
            <w:pPr>
              <w:pStyle w:val="27"/>
            </w:pPr>
            <w:r>
              <w:t>0</w:t>
            </w:r>
          </w:p>
        </w:tc>
        <w:tc>
          <w:tcPr>
            <w:tcW w:w="1509" w:type="pct"/>
            <w:vMerge w:val="restart"/>
            <w:vAlign w:val="center"/>
          </w:tcPr>
          <w:p>
            <w:pPr>
              <w:pStyle w:val="27"/>
            </w:pPr>
            <w:r>
              <w:t>燃用</w:t>
            </w:r>
            <w:r>
              <w:rPr>
                <w:rFonts w:hint="eastAsia"/>
              </w:rPr>
              <w:t>煤成气</w:t>
            </w:r>
            <w:r>
              <w:t>，烟气可达标排放</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NOx (t/a)</w:t>
            </w:r>
          </w:p>
        </w:tc>
        <w:tc>
          <w:tcPr>
            <w:tcW w:w="808" w:type="pct"/>
            <w:vAlign w:val="center"/>
          </w:tcPr>
          <w:p>
            <w:pPr>
              <w:pStyle w:val="27"/>
            </w:pPr>
            <w:r>
              <w:rPr>
                <w:rFonts w:hint="eastAsia"/>
              </w:rPr>
              <w:t>0.03</w:t>
            </w:r>
            <w:r>
              <w:t>1</w:t>
            </w:r>
          </w:p>
        </w:tc>
        <w:tc>
          <w:tcPr>
            <w:tcW w:w="564" w:type="pct"/>
            <w:vAlign w:val="center"/>
          </w:tcPr>
          <w:p>
            <w:pPr>
              <w:pStyle w:val="27"/>
            </w:pPr>
            <w:r>
              <w:t>0</w:t>
            </w:r>
          </w:p>
        </w:tc>
        <w:tc>
          <w:tcPr>
            <w:tcW w:w="611" w:type="pct"/>
            <w:gridSpan w:val="2"/>
            <w:vAlign w:val="center"/>
          </w:tcPr>
          <w:p>
            <w:pPr>
              <w:pStyle w:val="27"/>
            </w:pPr>
            <w:r>
              <w:rPr>
                <w:rFonts w:hint="eastAsia"/>
              </w:rPr>
              <w:t>0.03</w:t>
            </w:r>
            <w:r>
              <w:t>1</w:t>
            </w:r>
          </w:p>
        </w:tc>
        <w:tc>
          <w:tcPr>
            <w:tcW w:w="1509" w:type="pct"/>
            <w:vMerge w:val="continue"/>
            <w:vAlign w:val="center"/>
          </w:tcPr>
          <w:p>
            <w:pPr>
              <w:pStyle w:val="27"/>
            </w:pP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总烃(</w:t>
            </w:r>
            <w:r>
              <w:rPr>
                <w:rFonts w:hint="eastAsia"/>
              </w:rPr>
              <w:t>万m</w:t>
            </w:r>
            <w:r>
              <w:rPr>
                <w:rFonts w:hint="eastAsia"/>
                <w:vertAlign w:val="superscript"/>
              </w:rPr>
              <w:t>3</w:t>
            </w:r>
            <w:r>
              <w:t>/a)</w:t>
            </w:r>
          </w:p>
        </w:tc>
        <w:tc>
          <w:tcPr>
            <w:tcW w:w="808" w:type="pct"/>
            <w:vAlign w:val="center"/>
          </w:tcPr>
          <w:p>
            <w:pPr>
              <w:pStyle w:val="27"/>
            </w:pPr>
            <w:r>
              <w:rPr>
                <w:rFonts w:hint="eastAsia"/>
              </w:rPr>
              <w:t>6.4</w:t>
            </w:r>
          </w:p>
        </w:tc>
        <w:tc>
          <w:tcPr>
            <w:tcW w:w="564" w:type="pct"/>
            <w:vAlign w:val="center"/>
          </w:tcPr>
          <w:p>
            <w:pPr>
              <w:pStyle w:val="27"/>
            </w:pPr>
            <w:r>
              <w:t>0</w:t>
            </w:r>
          </w:p>
        </w:tc>
        <w:tc>
          <w:tcPr>
            <w:tcW w:w="611" w:type="pct"/>
            <w:gridSpan w:val="2"/>
            <w:vAlign w:val="center"/>
          </w:tcPr>
          <w:p>
            <w:pPr>
              <w:pStyle w:val="27"/>
            </w:pPr>
            <w:r>
              <w:rPr>
                <w:rFonts w:hint="eastAsia"/>
              </w:rPr>
              <w:t>6.4</w:t>
            </w:r>
          </w:p>
        </w:tc>
        <w:tc>
          <w:tcPr>
            <w:tcW w:w="1509" w:type="pct"/>
            <w:vAlign w:val="center"/>
          </w:tcPr>
          <w:p>
            <w:pPr>
              <w:pStyle w:val="27"/>
            </w:pPr>
            <w:r>
              <w:rPr>
                <w:rFonts w:hint="eastAsia"/>
              </w:rPr>
              <w:t>无组织排放</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restart"/>
            <w:vAlign w:val="center"/>
          </w:tcPr>
          <w:p>
            <w:pPr>
              <w:pStyle w:val="27"/>
            </w:pPr>
            <w:r>
              <w:t>废水</w:t>
            </w:r>
          </w:p>
        </w:tc>
        <w:tc>
          <w:tcPr>
            <w:tcW w:w="890" w:type="pct"/>
            <w:vAlign w:val="center"/>
          </w:tcPr>
          <w:p>
            <w:pPr>
              <w:pStyle w:val="27"/>
            </w:pPr>
            <w:r>
              <w:t>采</w:t>
            </w:r>
            <w:r>
              <w:rPr>
                <w:rFonts w:hint="eastAsia"/>
              </w:rPr>
              <w:t>出</w:t>
            </w:r>
            <w:r>
              <w:t>水（t/a）</w:t>
            </w:r>
          </w:p>
        </w:tc>
        <w:tc>
          <w:tcPr>
            <w:tcW w:w="808" w:type="pct"/>
            <w:vAlign w:val="center"/>
          </w:tcPr>
          <w:p>
            <w:pPr>
              <w:pStyle w:val="27"/>
            </w:pPr>
            <w:r>
              <w:rPr>
                <w:rFonts w:hint="eastAsia"/>
              </w:rPr>
              <w:t>16000</w:t>
            </w:r>
          </w:p>
        </w:tc>
        <w:tc>
          <w:tcPr>
            <w:tcW w:w="564" w:type="pct"/>
            <w:vAlign w:val="center"/>
          </w:tcPr>
          <w:p>
            <w:pPr>
              <w:pStyle w:val="27"/>
            </w:pPr>
            <w:r>
              <w:rPr>
                <w:rFonts w:hint="eastAsia"/>
              </w:rPr>
              <w:t>16000</w:t>
            </w:r>
          </w:p>
        </w:tc>
        <w:tc>
          <w:tcPr>
            <w:tcW w:w="611" w:type="pct"/>
            <w:gridSpan w:val="2"/>
            <w:vAlign w:val="center"/>
          </w:tcPr>
          <w:p>
            <w:pPr>
              <w:pStyle w:val="27"/>
            </w:pPr>
            <w:r>
              <w:t>0</w:t>
            </w:r>
          </w:p>
        </w:tc>
        <w:tc>
          <w:tcPr>
            <w:tcW w:w="1509" w:type="pct"/>
            <w:vAlign w:val="center"/>
          </w:tcPr>
          <w:p>
            <w:pPr>
              <w:pStyle w:val="27"/>
            </w:pPr>
            <w:r>
              <w:rPr>
                <w:rFonts w:hint="eastAsia"/>
              </w:rPr>
              <w:t>采出水全部自然蒸发（化纤填料强化）</w:t>
            </w:r>
            <w:r>
              <w:t>，无外排。</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生活废水（t/a）</w:t>
            </w:r>
          </w:p>
        </w:tc>
        <w:tc>
          <w:tcPr>
            <w:tcW w:w="808" w:type="pct"/>
            <w:vAlign w:val="center"/>
          </w:tcPr>
          <w:p>
            <w:pPr>
              <w:pStyle w:val="27"/>
            </w:pPr>
            <w:r>
              <w:rPr>
                <w:rFonts w:hint="eastAsia"/>
              </w:rPr>
              <w:t>6705.6</w:t>
            </w:r>
          </w:p>
        </w:tc>
        <w:tc>
          <w:tcPr>
            <w:tcW w:w="564" w:type="pct"/>
            <w:vAlign w:val="center"/>
          </w:tcPr>
          <w:p>
            <w:pPr>
              <w:pStyle w:val="27"/>
            </w:pPr>
            <w:r>
              <w:rPr>
                <w:rFonts w:hint="eastAsia"/>
              </w:rPr>
              <w:t>6705.6</w:t>
            </w:r>
          </w:p>
        </w:tc>
        <w:tc>
          <w:tcPr>
            <w:tcW w:w="611" w:type="pct"/>
            <w:gridSpan w:val="2"/>
            <w:vAlign w:val="center"/>
          </w:tcPr>
          <w:p>
            <w:pPr>
              <w:pStyle w:val="27"/>
            </w:pPr>
            <w:r>
              <w:t>0</w:t>
            </w:r>
          </w:p>
        </w:tc>
        <w:tc>
          <w:tcPr>
            <w:tcW w:w="1509" w:type="pct"/>
            <w:vAlign w:val="center"/>
          </w:tcPr>
          <w:p>
            <w:pPr>
              <w:pStyle w:val="27"/>
            </w:pPr>
            <w:r>
              <w:t>生活污水处理后</w:t>
            </w:r>
            <w:r>
              <w:rPr>
                <w:rFonts w:hint="eastAsia"/>
              </w:rPr>
              <w:t>回用于</w:t>
            </w:r>
            <w:r>
              <w:t>绿化</w:t>
            </w:r>
            <w:r>
              <w:rPr>
                <w:rFonts w:hint="eastAsia"/>
              </w:rPr>
              <w:t>和降尘</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restart"/>
            <w:vAlign w:val="center"/>
          </w:tcPr>
          <w:p>
            <w:pPr>
              <w:pStyle w:val="27"/>
            </w:pPr>
            <w:r>
              <w:t>固体废物</w:t>
            </w:r>
          </w:p>
        </w:tc>
        <w:tc>
          <w:tcPr>
            <w:tcW w:w="890" w:type="pct"/>
            <w:vAlign w:val="center"/>
          </w:tcPr>
          <w:p>
            <w:pPr>
              <w:spacing w:line="240" w:lineRule="exact"/>
              <w:ind w:firstLine="0" w:firstLineChars="0"/>
              <w:jc w:val="center"/>
              <w:rPr>
                <w:rFonts w:ascii="Times New Roman" w:hAnsi="宋体"/>
                <w:sz w:val="21"/>
              </w:rPr>
            </w:pPr>
            <w:r>
              <w:rPr>
                <w:rFonts w:hint="eastAsia" w:ascii="Times New Roman" w:hAnsi="宋体"/>
                <w:sz w:val="21"/>
              </w:rPr>
              <w:t>凝析油</w:t>
            </w:r>
            <w:r>
              <w:rPr>
                <w:rFonts w:ascii="Times New Roman" w:hAnsi="宋体"/>
                <w:sz w:val="21"/>
              </w:rPr>
              <w:t>(</w:t>
            </w:r>
            <w:r>
              <w:rPr>
                <w:rFonts w:hint="eastAsia" w:ascii="Times New Roman" w:hAnsi="宋体"/>
                <w:sz w:val="21"/>
              </w:rPr>
              <w:t>m</w:t>
            </w:r>
            <w:r>
              <w:rPr>
                <w:rFonts w:hint="eastAsia" w:ascii="Times New Roman" w:hAnsi="宋体"/>
                <w:sz w:val="21"/>
                <w:vertAlign w:val="superscript"/>
              </w:rPr>
              <w:t>3</w:t>
            </w:r>
            <w:r>
              <w:rPr>
                <w:rFonts w:ascii="Times New Roman" w:hAnsi="宋体"/>
                <w:sz w:val="21"/>
              </w:rPr>
              <w:t>/a)</w:t>
            </w:r>
          </w:p>
        </w:tc>
        <w:tc>
          <w:tcPr>
            <w:tcW w:w="808" w:type="pct"/>
            <w:vAlign w:val="center"/>
          </w:tcPr>
          <w:p>
            <w:pPr>
              <w:pStyle w:val="27"/>
            </w:pPr>
            <w:r>
              <w:rPr>
                <w:rFonts w:hint="eastAsia"/>
              </w:rPr>
              <w:t>80</w:t>
            </w:r>
          </w:p>
        </w:tc>
        <w:tc>
          <w:tcPr>
            <w:tcW w:w="564" w:type="pct"/>
            <w:vAlign w:val="center"/>
          </w:tcPr>
          <w:p>
            <w:pPr>
              <w:pStyle w:val="27"/>
            </w:pPr>
            <w:r>
              <w:rPr>
                <w:rFonts w:hint="eastAsia"/>
              </w:rPr>
              <w:t>0</w:t>
            </w:r>
          </w:p>
        </w:tc>
        <w:tc>
          <w:tcPr>
            <w:tcW w:w="611" w:type="pct"/>
            <w:gridSpan w:val="2"/>
            <w:vAlign w:val="center"/>
          </w:tcPr>
          <w:p>
            <w:pPr>
              <w:pStyle w:val="27"/>
            </w:pPr>
            <w:r>
              <w:rPr>
                <w:rFonts w:hint="eastAsia"/>
              </w:rPr>
              <w:t>8</w:t>
            </w:r>
            <w:r>
              <w:t>0</w:t>
            </w:r>
          </w:p>
        </w:tc>
        <w:tc>
          <w:tcPr>
            <w:tcW w:w="1509" w:type="pct"/>
            <w:vMerge w:val="restart"/>
            <w:vAlign w:val="center"/>
          </w:tcPr>
          <w:p>
            <w:pPr>
              <w:pStyle w:val="27"/>
            </w:pPr>
            <w:r>
              <w:rPr>
                <w:rFonts w:hint="eastAsia"/>
                <w:lang w:val="en-US"/>
              </w:rPr>
              <w:t>定期交由广灵金隅水泥有限公司处置</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rPr>
                <w:rFonts w:hint="eastAsia"/>
              </w:rPr>
              <w:t>废盐</w:t>
            </w:r>
            <w:r>
              <w:t>（t/a）</w:t>
            </w:r>
          </w:p>
        </w:tc>
        <w:tc>
          <w:tcPr>
            <w:tcW w:w="808" w:type="pct"/>
            <w:vAlign w:val="center"/>
          </w:tcPr>
          <w:p>
            <w:pPr>
              <w:pStyle w:val="27"/>
            </w:pPr>
            <w:r>
              <w:rPr>
                <w:rFonts w:hint="eastAsia"/>
              </w:rPr>
              <w:t>585</w:t>
            </w:r>
          </w:p>
        </w:tc>
        <w:tc>
          <w:tcPr>
            <w:tcW w:w="564" w:type="pct"/>
            <w:vAlign w:val="center"/>
          </w:tcPr>
          <w:p>
            <w:pPr>
              <w:pStyle w:val="27"/>
            </w:pPr>
            <w:r>
              <w:rPr>
                <w:rFonts w:hint="eastAsia"/>
              </w:rPr>
              <w:t>0</w:t>
            </w:r>
          </w:p>
        </w:tc>
        <w:tc>
          <w:tcPr>
            <w:tcW w:w="611" w:type="pct"/>
            <w:gridSpan w:val="2"/>
            <w:vAlign w:val="center"/>
          </w:tcPr>
          <w:p>
            <w:pPr>
              <w:pStyle w:val="27"/>
            </w:pPr>
            <w:r>
              <w:rPr>
                <w:rFonts w:hint="eastAsia"/>
              </w:rPr>
              <w:t>585</w:t>
            </w:r>
          </w:p>
        </w:tc>
        <w:tc>
          <w:tcPr>
            <w:tcW w:w="1509" w:type="pct"/>
            <w:vMerge w:val="continue"/>
            <w:vAlign w:val="center"/>
          </w:tcPr>
          <w:p>
            <w:pPr>
              <w:pStyle w:val="27"/>
            </w:pP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spacing w:line="240" w:lineRule="exact"/>
              <w:ind w:firstLine="0" w:firstLineChars="0"/>
              <w:jc w:val="center"/>
              <w:rPr>
                <w:rFonts w:ascii="Times New Roman" w:hAnsi="宋体"/>
                <w:sz w:val="21"/>
              </w:rPr>
            </w:pPr>
            <w:r>
              <w:rPr>
                <w:rFonts w:hint="eastAsia"/>
              </w:rPr>
              <w:t>干化池污泥</w:t>
            </w:r>
            <w:r>
              <w:t>（t/a）</w:t>
            </w:r>
          </w:p>
        </w:tc>
        <w:tc>
          <w:tcPr>
            <w:tcW w:w="808" w:type="pct"/>
            <w:vAlign w:val="center"/>
          </w:tcPr>
          <w:p>
            <w:pPr>
              <w:pStyle w:val="27"/>
            </w:pPr>
            <w:r>
              <w:rPr>
                <w:rFonts w:hint="eastAsia"/>
              </w:rPr>
              <w:t>5.92</w:t>
            </w:r>
          </w:p>
        </w:tc>
        <w:tc>
          <w:tcPr>
            <w:tcW w:w="564" w:type="pct"/>
            <w:vAlign w:val="center"/>
          </w:tcPr>
          <w:p>
            <w:pPr>
              <w:pStyle w:val="27"/>
            </w:pPr>
            <w:r>
              <w:rPr>
                <w:rFonts w:hint="eastAsia"/>
              </w:rPr>
              <w:t>0</w:t>
            </w:r>
          </w:p>
        </w:tc>
        <w:tc>
          <w:tcPr>
            <w:tcW w:w="611" w:type="pct"/>
            <w:gridSpan w:val="2"/>
            <w:vAlign w:val="center"/>
          </w:tcPr>
          <w:p>
            <w:pPr>
              <w:pStyle w:val="27"/>
            </w:pPr>
            <w:r>
              <w:rPr>
                <w:rFonts w:hint="eastAsia"/>
              </w:rPr>
              <w:t>5.92</w:t>
            </w:r>
          </w:p>
        </w:tc>
        <w:tc>
          <w:tcPr>
            <w:tcW w:w="1509" w:type="pct"/>
            <w:vMerge w:val="continue"/>
            <w:vAlign w:val="center"/>
          </w:tcPr>
          <w:p>
            <w:pPr>
              <w:pStyle w:val="27"/>
            </w:pP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rPr>
                <w:rFonts w:hint="eastAsia"/>
              </w:rPr>
              <w:t>生活污水处理站污泥</w:t>
            </w:r>
            <w:r>
              <w:rPr>
                <w:lang w:val="en-US"/>
              </w:rPr>
              <w:t>（t/a）</w:t>
            </w:r>
          </w:p>
        </w:tc>
        <w:tc>
          <w:tcPr>
            <w:tcW w:w="808" w:type="pct"/>
            <w:vAlign w:val="center"/>
          </w:tcPr>
          <w:p>
            <w:pPr>
              <w:pStyle w:val="27"/>
            </w:pPr>
            <w:r>
              <w:rPr>
                <w:rFonts w:hint="eastAsia"/>
              </w:rPr>
              <w:t>1.51</w:t>
            </w:r>
          </w:p>
        </w:tc>
        <w:tc>
          <w:tcPr>
            <w:tcW w:w="564" w:type="pct"/>
            <w:vAlign w:val="center"/>
          </w:tcPr>
          <w:p>
            <w:pPr>
              <w:pStyle w:val="27"/>
            </w:pPr>
            <w:r>
              <w:rPr>
                <w:rFonts w:hint="eastAsia"/>
              </w:rPr>
              <w:t>0</w:t>
            </w:r>
          </w:p>
        </w:tc>
        <w:tc>
          <w:tcPr>
            <w:tcW w:w="611" w:type="pct"/>
            <w:gridSpan w:val="2"/>
            <w:vAlign w:val="center"/>
          </w:tcPr>
          <w:p>
            <w:pPr>
              <w:pStyle w:val="27"/>
            </w:pPr>
            <w:r>
              <w:rPr>
                <w:rFonts w:hint="eastAsia"/>
              </w:rPr>
              <w:t>1.51</w:t>
            </w:r>
          </w:p>
        </w:tc>
        <w:tc>
          <w:tcPr>
            <w:tcW w:w="1509" w:type="pct"/>
            <w:vAlign w:val="center"/>
          </w:tcPr>
          <w:p>
            <w:pPr>
              <w:pStyle w:val="27"/>
            </w:pPr>
            <w:r>
              <w:rPr>
                <w:rFonts w:hint="eastAsia"/>
              </w:rPr>
              <w:t>定期送填埋场处理</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rPr>
                <w:rFonts w:hint="eastAsia" w:hAnsi="宋体"/>
              </w:rPr>
              <w:t>废弃分子筛</w:t>
            </w:r>
            <w:r>
              <w:rPr>
                <w:rFonts w:hAnsi="宋体"/>
              </w:rPr>
              <w:t>（</w:t>
            </w:r>
            <w:r>
              <w:rPr>
                <w:rFonts w:hint="eastAsia" w:hAnsi="宋体"/>
              </w:rPr>
              <w:t>m</w:t>
            </w:r>
            <w:r>
              <w:rPr>
                <w:rFonts w:hint="eastAsia" w:hAnsi="宋体"/>
                <w:vertAlign w:val="superscript"/>
              </w:rPr>
              <w:t>3</w:t>
            </w:r>
            <w:r>
              <w:rPr>
                <w:rFonts w:hAnsi="宋体"/>
              </w:rPr>
              <w:t>/a）</w:t>
            </w:r>
          </w:p>
        </w:tc>
        <w:tc>
          <w:tcPr>
            <w:tcW w:w="808" w:type="pct"/>
            <w:vAlign w:val="center"/>
          </w:tcPr>
          <w:p>
            <w:pPr>
              <w:pStyle w:val="27"/>
            </w:pPr>
            <w:r>
              <w:rPr>
                <w:rFonts w:hint="eastAsia"/>
              </w:rPr>
              <w:t>1</w:t>
            </w:r>
          </w:p>
        </w:tc>
        <w:tc>
          <w:tcPr>
            <w:tcW w:w="564" w:type="pct"/>
            <w:vAlign w:val="center"/>
          </w:tcPr>
          <w:p>
            <w:pPr>
              <w:pStyle w:val="27"/>
            </w:pPr>
            <w:r>
              <w:rPr>
                <w:rFonts w:hint="eastAsia"/>
              </w:rPr>
              <w:t>1</w:t>
            </w:r>
          </w:p>
        </w:tc>
        <w:tc>
          <w:tcPr>
            <w:tcW w:w="611" w:type="pct"/>
            <w:gridSpan w:val="2"/>
            <w:vAlign w:val="center"/>
          </w:tcPr>
          <w:p>
            <w:pPr>
              <w:pStyle w:val="27"/>
            </w:pPr>
          </w:p>
        </w:tc>
        <w:tc>
          <w:tcPr>
            <w:tcW w:w="1509" w:type="pct"/>
            <w:vAlign w:val="center"/>
          </w:tcPr>
          <w:p>
            <w:pPr>
              <w:pStyle w:val="27"/>
            </w:pPr>
            <w:r>
              <w:rPr>
                <w:rFonts w:hint="eastAsia"/>
              </w:rPr>
              <w:t>由厂家回收</w:t>
            </w:r>
          </w:p>
        </w:tc>
      </w:tr>
      <w:tr>
        <w:tblPrEx>
          <w:tblBorders>
            <w:top w:val="none" w:color="auto" w:sz="0"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250" w:type="pct"/>
            <w:vMerge w:val="continue"/>
            <w:vAlign w:val="center"/>
          </w:tcPr>
          <w:p>
            <w:pPr>
              <w:pStyle w:val="27"/>
            </w:pPr>
          </w:p>
        </w:tc>
        <w:tc>
          <w:tcPr>
            <w:tcW w:w="369" w:type="pct"/>
            <w:vMerge w:val="continue"/>
            <w:vAlign w:val="center"/>
          </w:tcPr>
          <w:p>
            <w:pPr>
              <w:pStyle w:val="27"/>
            </w:pPr>
          </w:p>
        </w:tc>
        <w:tc>
          <w:tcPr>
            <w:tcW w:w="890" w:type="pct"/>
            <w:vAlign w:val="center"/>
          </w:tcPr>
          <w:p>
            <w:pPr>
              <w:pStyle w:val="27"/>
            </w:pPr>
            <w:r>
              <w:t>生活垃圾</w:t>
            </w:r>
            <w:r>
              <w:rPr>
                <w:rFonts w:hint="eastAsia" w:asciiTheme="minorEastAsia" w:hAnsiTheme="minorEastAsia" w:eastAsiaTheme="minorEastAsia"/>
              </w:rPr>
              <w:t>(</w:t>
            </w:r>
            <w:r>
              <w:rPr>
                <w:rFonts w:hint="eastAsia"/>
              </w:rPr>
              <w:t>t/a</w:t>
            </w:r>
            <w:r>
              <w:rPr>
                <w:rFonts w:hint="eastAsia" w:asciiTheme="minorEastAsia" w:hAnsiTheme="minorEastAsia" w:eastAsiaTheme="minorEastAsia"/>
              </w:rPr>
              <w:t>)</w:t>
            </w:r>
          </w:p>
        </w:tc>
        <w:tc>
          <w:tcPr>
            <w:tcW w:w="808" w:type="pct"/>
            <w:vAlign w:val="center"/>
          </w:tcPr>
          <w:p>
            <w:pPr>
              <w:pStyle w:val="27"/>
            </w:pPr>
            <w:r>
              <w:rPr>
                <w:rFonts w:hint="eastAsia"/>
              </w:rPr>
              <w:t>19.8</w:t>
            </w:r>
          </w:p>
        </w:tc>
        <w:tc>
          <w:tcPr>
            <w:tcW w:w="564" w:type="pct"/>
            <w:vAlign w:val="center"/>
          </w:tcPr>
          <w:p>
            <w:pPr>
              <w:pStyle w:val="27"/>
            </w:pPr>
            <w:r>
              <w:t>0</w:t>
            </w:r>
          </w:p>
        </w:tc>
        <w:tc>
          <w:tcPr>
            <w:tcW w:w="611" w:type="pct"/>
            <w:gridSpan w:val="2"/>
            <w:vAlign w:val="center"/>
          </w:tcPr>
          <w:p>
            <w:pPr>
              <w:pStyle w:val="27"/>
            </w:pPr>
            <w:r>
              <w:rPr>
                <w:rFonts w:hint="eastAsia"/>
              </w:rPr>
              <w:t>19.8</w:t>
            </w:r>
          </w:p>
        </w:tc>
        <w:tc>
          <w:tcPr>
            <w:tcW w:w="1509" w:type="pct"/>
            <w:vAlign w:val="center"/>
          </w:tcPr>
          <w:p>
            <w:pPr>
              <w:pStyle w:val="27"/>
            </w:pPr>
            <w:r>
              <w:t>集中收集，定期拉运至当地环卫部门统一处理</w:t>
            </w:r>
          </w:p>
        </w:tc>
      </w:tr>
    </w:tbl>
    <w:p>
      <w:pPr>
        <w:spacing w:before="156" w:beforeLines="50" w:after="156" w:afterLines="50"/>
        <w:ind w:firstLine="0" w:firstLineChars="0"/>
        <w:outlineLvl w:val="1"/>
        <w:rPr>
          <w:rFonts w:ascii="Times New Roman" w:hAnsi="Times New Roman"/>
          <w:b/>
          <w:sz w:val="30"/>
          <w:szCs w:val="30"/>
        </w:rPr>
      </w:pPr>
      <w:bookmarkStart w:id="56" w:name="_Toc524624588"/>
      <w:r>
        <w:rPr>
          <w:rFonts w:hint="eastAsia" w:ascii="Times New Roman" w:hAnsi="Times New Roman"/>
          <w:b/>
          <w:sz w:val="30"/>
          <w:szCs w:val="30"/>
        </w:rPr>
        <w:t>3.6 项目扩建前后污染物排放量变化情况</w:t>
      </w:r>
      <w:bookmarkEnd w:id="56"/>
    </w:p>
    <w:p>
      <w:pPr>
        <w:ind w:firstLine="480" w:firstLineChars="0"/>
        <w:textAlignment w:val="baseline"/>
        <w:rPr>
          <w:rFonts w:ascii="Times New Roman" w:hAnsi="Times New Roman"/>
          <w:szCs w:val="20"/>
        </w:rPr>
      </w:pPr>
      <w:r>
        <w:rPr>
          <w:rFonts w:hint="eastAsia" w:ascii="Times New Roman" w:hAnsi="Times New Roman"/>
          <w:szCs w:val="20"/>
        </w:rPr>
        <w:t>扩建前后污染物排放情况见表3.6-1。</w:t>
      </w:r>
    </w:p>
    <w:p>
      <w:pPr>
        <w:spacing w:line="240" w:lineRule="auto"/>
        <w:ind w:firstLine="0" w:firstLineChars="0"/>
        <w:jc w:val="center"/>
        <w:textAlignment w:val="baseline"/>
        <w:rPr>
          <w:rFonts w:ascii="Times New Roman" w:hAnsi="Times New Roman"/>
          <w:b/>
          <w:sz w:val="21"/>
          <w:szCs w:val="20"/>
        </w:rPr>
      </w:pPr>
      <w:r>
        <w:rPr>
          <w:rFonts w:ascii="Times New Roman" w:hAnsi="Times New Roman"/>
          <w:b/>
          <w:sz w:val="21"/>
          <w:szCs w:val="20"/>
        </w:rPr>
        <w:t>表</w:t>
      </w:r>
      <w:r>
        <w:rPr>
          <w:rFonts w:hint="eastAsia" w:ascii="Times New Roman" w:hAnsi="Times New Roman"/>
          <w:b/>
          <w:sz w:val="21"/>
          <w:szCs w:val="20"/>
        </w:rPr>
        <w:t>3.6</w:t>
      </w:r>
      <w:r>
        <w:rPr>
          <w:rFonts w:ascii="Times New Roman" w:hAnsi="Times New Roman"/>
          <w:b/>
          <w:sz w:val="21"/>
          <w:szCs w:val="20"/>
        </w:rPr>
        <w:t>-</w:t>
      </w:r>
      <w:r>
        <w:rPr>
          <w:rFonts w:hint="eastAsia" w:ascii="Times New Roman" w:hAnsi="Times New Roman"/>
          <w:b/>
          <w:sz w:val="21"/>
          <w:szCs w:val="20"/>
        </w:rPr>
        <w:t>1</w:t>
      </w:r>
      <w:r>
        <w:rPr>
          <w:rFonts w:ascii="Times New Roman" w:hAnsi="Times New Roman"/>
          <w:b/>
          <w:sz w:val="21"/>
          <w:szCs w:val="20"/>
        </w:rPr>
        <w:t xml:space="preserve"> </w:t>
      </w:r>
      <w:r>
        <w:rPr>
          <w:rFonts w:hint="eastAsia" w:ascii="Times New Roman" w:hAnsi="Times New Roman"/>
          <w:b/>
          <w:sz w:val="21"/>
          <w:szCs w:val="20"/>
        </w:rPr>
        <w:t>扩建</w:t>
      </w:r>
      <w:r>
        <w:rPr>
          <w:rFonts w:ascii="Times New Roman" w:hAnsi="Times New Roman"/>
          <w:b/>
          <w:sz w:val="21"/>
          <w:szCs w:val="20"/>
        </w:rPr>
        <w:t>前后污染物变化情况表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276"/>
        <w:gridCol w:w="1134"/>
        <w:gridCol w:w="1418"/>
        <w:gridCol w:w="1559"/>
        <w:gridCol w:w="1276"/>
        <w:gridCol w:w="1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Align w:val="center"/>
          </w:tcPr>
          <w:p>
            <w:pPr>
              <w:spacing w:line="240" w:lineRule="exact"/>
              <w:ind w:firstLine="0" w:firstLineChars="0"/>
              <w:jc w:val="center"/>
              <w:rPr>
                <w:rFonts w:ascii="Times New Roman" w:hAnsi="Times New Roman"/>
                <w:sz w:val="21"/>
              </w:rPr>
            </w:pPr>
            <w:r>
              <w:rPr>
                <w:rFonts w:ascii="Times New Roman" w:hAnsi="宋体"/>
                <w:sz w:val="21"/>
              </w:rPr>
              <w:t>类</w:t>
            </w:r>
          </w:p>
          <w:p>
            <w:pPr>
              <w:spacing w:line="240" w:lineRule="exact"/>
              <w:ind w:firstLine="0" w:firstLineChars="0"/>
              <w:jc w:val="center"/>
              <w:rPr>
                <w:rFonts w:ascii="Times New Roman" w:hAnsi="Times New Roman"/>
                <w:sz w:val="21"/>
              </w:rPr>
            </w:pPr>
            <w:r>
              <w:rPr>
                <w:rFonts w:ascii="Times New Roman" w:hAnsi="宋体"/>
                <w:sz w:val="21"/>
              </w:rPr>
              <w:t>别</w:t>
            </w:r>
          </w:p>
        </w:tc>
        <w:tc>
          <w:tcPr>
            <w:tcW w:w="1276" w:type="dxa"/>
            <w:vAlign w:val="center"/>
          </w:tcPr>
          <w:p>
            <w:pPr>
              <w:spacing w:line="240" w:lineRule="exact"/>
              <w:ind w:firstLine="0" w:firstLineChars="0"/>
              <w:jc w:val="center"/>
              <w:rPr>
                <w:rFonts w:ascii="Times New Roman" w:hAnsi="Times New Roman"/>
                <w:sz w:val="21"/>
              </w:rPr>
            </w:pPr>
            <w:r>
              <w:rPr>
                <w:rFonts w:ascii="Times New Roman" w:hAnsi="宋体"/>
                <w:sz w:val="21"/>
              </w:rPr>
              <w:t>污染物</w:t>
            </w:r>
          </w:p>
        </w:tc>
        <w:tc>
          <w:tcPr>
            <w:tcW w:w="1134" w:type="dxa"/>
            <w:vAlign w:val="center"/>
          </w:tcPr>
          <w:p>
            <w:pPr>
              <w:spacing w:line="240" w:lineRule="exact"/>
              <w:ind w:firstLine="0" w:firstLineChars="0"/>
              <w:jc w:val="center"/>
              <w:rPr>
                <w:rFonts w:ascii="Times New Roman" w:hAnsi="Times New Roman"/>
                <w:sz w:val="21"/>
              </w:rPr>
            </w:pPr>
            <w:r>
              <w:rPr>
                <w:rFonts w:ascii="Times New Roman" w:hAnsi="宋体"/>
                <w:sz w:val="21"/>
              </w:rPr>
              <w:t>原有工程</w:t>
            </w:r>
          </w:p>
          <w:p>
            <w:pPr>
              <w:spacing w:line="240" w:lineRule="exact"/>
              <w:ind w:firstLine="0" w:firstLineChars="0"/>
              <w:jc w:val="center"/>
              <w:rPr>
                <w:rFonts w:ascii="Times New Roman" w:hAnsi="Times New Roman"/>
                <w:sz w:val="21"/>
              </w:rPr>
            </w:pPr>
            <w:r>
              <w:rPr>
                <w:rFonts w:ascii="Times New Roman" w:hAnsi="宋体"/>
                <w:sz w:val="21"/>
              </w:rPr>
              <w:t>排放量</w:t>
            </w:r>
          </w:p>
        </w:tc>
        <w:tc>
          <w:tcPr>
            <w:tcW w:w="1418" w:type="dxa"/>
            <w:vAlign w:val="center"/>
          </w:tcPr>
          <w:p>
            <w:pPr>
              <w:spacing w:line="240" w:lineRule="exact"/>
              <w:ind w:firstLine="0" w:firstLineChars="0"/>
              <w:jc w:val="center"/>
              <w:rPr>
                <w:rFonts w:ascii="Times New Roman" w:hAnsi="Times New Roman"/>
                <w:sz w:val="21"/>
              </w:rPr>
            </w:pPr>
            <w:r>
              <w:rPr>
                <w:rFonts w:ascii="Times New Roman" w:hAnsi="宋体"/>
                <w:sz w:val="21"/>
              </w:rPr>
              <w:t>拟建项目</w:t>
            </w:r>
          </w:p>
          <w:p>
            <w:pPr>
              <w:spacing w:line="240" w:lineRule="exact"/>
              <w:ind w:firstLine="0" w:firstLineChars="0"/>
              <w:jc w:val="center"/>
              <w:rPr>
                <w:rFonts w:ascii="Times New Roman" w:hAnsi="Times New Roman"/>
                <w:sz w:val="21"/>
              </w:rPr>
            </w:pPr>
            <w:r>
              <w:rPr>
                <w:rFonts w:ascii="Times New Roman" w:hAnsi="宋体"/>
                <w:sz w:val="21"/>
              </w:rPr>
              <w:t>排放量</w:t>
            </w:r>
          </w:p>
        </w:tc>
        <w:tc>
          <w:tcPr>
            <w:tcW w:w="1559" w:type="dxa"/>
            <w:vAlign w:val="center"/>
          </w:tcPr>
          <w:p>
            <w:pPr>
              <w:spacing w:line="240" w:lineRule="exact"/>
              <w:ind w:firstLine="0" w:firstLineChars="0"/>
              <w:jc w:val="center"/>
              <w:rPr>
                <w:rFonts w:ascii="宋体" w:hAnsi="宋体"/>
                <w:sz w:val="21"/>
              </w:rPr>
            </w:pPr>
            <w:r>
              <w:rPr>
                <w:rFonts w:ascii="宋体" w:hAnsi="宋体"/>
                <w:sz w:val="21"/>
              </w:rPr>
              <w:t>“以新带老”</w:t>
            </w:r>
          </w:p>
          <w:p>
            <w:pPr>
              <w:spacing w:line="240" w:lineRule="exact"/>
              <w:ind w:firstLine="0" w:firstLineChars="0"/>
              <w:jc w:val="center"/>
              <w:rPr>
                <w:rFonts w:ascii="Times New Roman" w:hAnsi="Times New Roman"/>
                <w:sz w:val="21"/>
              </w:rPr>
            </w:pPr>
            <w:r>
              <w:rPr>
                <w:rFonts w:ascii="Times New Roman" w:hAnsi="宋体"/>
                <w:sz w:val="21"/>
              </w:rPr>
              <w:t>消减量</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宋体"/>
                <w:sz w:val="21"/>
              </w:rPr>
              <w:t>扩建</w:t>
            </w:r>
            <w:r>
              <w:rPr>
                <w:rFonts w:ascii="Times New Roman" w:hAnsi="宋体"/>
                <w:sz w:val="21"/>
              </w:rPr>
              <w:t>后总排放量</w:t>
            </w:r>
          </w:p>
        </w:tc>
        <w:tc>
          <w:tcPr>
            <w:tcW w:w="1181" w:type="dxa"/>
            <w:vAlign w:val="center"/>
          </w:tcPr>
          <w:p>
            <w:pPr>
              <w:spacing w:line="240" w:lineRule="exact"/>
              <w:ind w:firstLine="0" w:firstLineChars="0"/>
              <w:jc w:val="center"/>
              <w:rPr>
                <w:rFonts w:ascii="Times New Roman" w:hAnsi="Times New Roman"/>
                <w:sz w:val="21"/>
              </w:rPr>
            </w:pPr>
            <w:r>
              <w:rPr>
                <w:rFonts w:ascii="Times New Roman" w:hAnsi="宋体"/>
                <w:sz w:val="21"/>
              </w:rP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restart"/>
            <w:vAlign w:val="center"/>
          </w:tcPr>
          <w:p>
            <w:pPr>
              <w:spacing w:line="240" w:lineRule="exact"/>
              <w:ind w:firstLine="0" w:firstLineChars="0"/>
              <w:jc w:val="center"/>
              <w:rPr>
                <w:rFonts w:ascii="Times New Roman" w:hAnsi="Times New Roman"/>
                <w:sz w:val="21"/>
              </w:rPr>
            </w:pPr>
            <w:r>
              <w:rPr>
                <w:rFonts w:ascii="Times New Roman" w:hAnsi="宋体"/>
                <w:sz w:val="21"/>
              </w:rPr>
              <w:t>废气</w:t>
            </w:r>
          </w:p>
        </w:tc>
        <w:tc>
          <w:tcPr>
            <w:tcW w:w="1276" w:type="dxa"/>
            <w:vAlign w:val="center"/>
          </w:tcPr>
          <w:p>
            <w:pPr>
              <w:spacing w:line="240" w:lineRule="exact"/>
              <w:ind w:firstLine="0" w:firstLineChars="0"/>
              <w:jc w:val="center"/>
              <w:rPr>
                <w:rFonts w:ascii="Times New Roman" w:hAnsi="Times New Roman"/>
                <w:sz w:val="21"/>
              </w:rPr>
            </w:pPr>
            <w:r>
              <w:rPr>
                <w:rFonts w:ascii="Times New Roman" w:hAnsi="Times New Roman"/>
                <w:sz w:val="21"/>
              </w:rPr>
              <w:t>SO</w:t>
            </w:r>
            <w:r>
              <w:rPr>
                <w:rFonts w:ascii="Times New Roman" w:hAnsi="Times New Roman"/>
                <w:sz w:val="21"/>
                <w:vertAlign w:val="subscript"/>
              </w:rPr>
              <w:t>2</w:t>
            </w:r>
            <w:r>
              <w:rPr>
                <w:rFonts w:hint="eastAsia" w:ascii="Times New Roman" w:hAnsi="Times New Roman"/>
                <w:sz w:val="21"/>
              </w:rP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320" w:lineRule="exact"/>
              <w:ind w:firstLine="0" w:firstLineChars="0"/>
              <w:jc w:val="center"/>
              <w:rPr>
                <w:rFonts w:ascii="Times New Roman" w:hAnsi="Times New Roman"/>
                <w:sz w:val="21"/>
              </w:rPr>
            </w:pPr>
            <w:r>
              <w:rPr>
                <w:rFonts w:ascii="Times New Roman" w:hAnsi="Times New Roman"/>
                <w:sz w:val="21"/>
              </w:rPr>
              <w:t>NO</w:t>
            </w:r>
            <w:r>
              <w:rPr>
                <w:rFonts w:ascii="Times New Roman" w:hAnsi="Times New Roman"/>
                <w:sz w:val="21"/>
                <w:vertAlign w:val="subscript"/>
              </w:rPr>
              <w:t>X</w:t>
            </w:r>
            <w:r>
              <w:rPr>
                <w:rFonts w:hint="eastAsia" w:ascii="Times New Roman" w:hAnsi="Times New Roman"/>
                <w:sz w:val="21"/>
              </w:rP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0.0308</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0.0308</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+0.0308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240" w:lineRule="exact"/>
              <w:ind w:firstLine="0" w:firstLineChars="0"/>
              <w:jc w:val="center"/>
              <w:rPr>
                <w:rFonts w:ascii="Times New Roman" w:hAnsi="宋体"/>
                <w:sz w:val="21"/>
              </w:rPr>
            </w:pPr>
            <w:r>
              <w:rPr>
                <w:rFonts w:ascii="Times New Roman" w:hAnsi="宋体"/>
                <w:sz w:val="21"/>
              </w:rPr>
              <w:t>总烃</w:t>
            </w:r>
          </w:p>
          <w:p>
            <w:pPr>
              <w:spacing w:line="240" w:lineRule="exact"/>
              <w:ind w:firstLine="0" w:firstLineChars="0"/>
              <w:jc w:val="center"/>
              <w:rPr>
                <w:rFonts w:ascii="Times New Roman" w:hAnsi="宋体"/>
                <w:sz w:val="21"/>
              </w:rPr>
            </w:pPr>
            <w:r>
              <w:rPr>
                <w:rFonts w:hint="eastAsia" w:ascii="Times New Roman" w:hAnsi="宋体"/>
                <w:sz w:val="21"/>
              </w:rPr>
              <w:t>（万m</w:t>
            </w:r>
            <w:r>
              <w:rPr>
                <w:rFonts w:hint="eastAsia" w:ascii="Times New Roman" w:hAnsi="宋体"/>
                <w:sz w:val="21"/>
                <w:vertAlign w:val="superscript"/>
              </w:rPr>
              <w:t>3</w:t>
            </w:r>
            <w:r>
              <w:rPr>
                <w:rFonts w:hint="eastAsia" w:ascii="Times New Roman" w:hAnsi="宋体"/>
                <w:sz w:val="21"/>
              </w:rPr>
              <w: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1.85</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6.4</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1.85</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6.4</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restart"/>
            <w:vAlign w:val="center"/>
          </w:tcPr>
          <w:p>
            <w:pPr>
              <w:spacing w:line="240" w:lineRule="exact"/>
              <w:ind w:firstLine="0" w:firstLineChars="0"/>
              <w:jc w:val="center"/>
              <w:rPr>
                <w:rFonts w:ascii="Times New Roman" w:hAnsi="Times New Roman"/>
                <w:sz w:val="21"/>
              </w:rPr>
            </w:pPr>
            <w:r>
              <w:rPr>
                <w:rFonts w:ascii="Times New Roman" w:hAnsi="宋体"/>
                <w:sz w:val="21"/>
              </w:rPr>
              <w:t>废水</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采出水（t/a）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生活污水（t/a）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restart"/>
            <w:vAlign w:val="center"/>
          </w:tcPr>
          <w:p>
            <w:pPr>
              <w:spacing w:line="240" w:lineRule="exact"/>
              <w:ind w:firstLine="0" w:firstLineChars="0"/>
              <w:jc w:val="center"/>
              <w:rPr>
                <w:rFonts w:ascii="Times New Roman" w:hAnsi="Times New Roman"/>
                <w:sz w:val="21"/>
              </w:rPr>
            </w:pPr>
            <w:r>
              <w:rPr>
                <w:rFonts w:ascii="Times New Roman" w:hAnsi="宋体"/>
                <w:sz w:val="21"/>
              </w:rPr>
              <w:t>固体</w:t>
            </w:r>
          </w:p>
          <w:p>
            <w:pPr>
              <w:spacing w:line="240" w:lineRule="exact"/>
              <w:ind w:firstLine="0" w:firstLineChars="0"/>
              <w:jc w:val="center"/>
              <w:rPr>
                <w:rFonts w:ascii="Times New Roman" w:hAnsi="Times New Roman"/>
                <w:sz w:val="21"/>
              </w:rPr>
            </w:pPr>
            <w:r>
              <w:rPr>
                <w:rFonts w:ascii="Times New Roman" w:hAnsi="宋体"/>
                <w:sz w:val="21"/>
              </w:rPr>
              <w:t>废物</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宋体"/>
                <w:bCs/>
                <w:kern w:val="0"/>
                <w:position w:val="2"/>
                <w:sz w:val="21"/>
              </w:rPr>
              <w:t>凝析油</w:t>
            </w:r>
            <w:r>
              <w:rPr>
                <w:rFonts w:hint="eastAsia" w:ascii="Times New Roman" w:hAnsi="Times New Roman"/>
                <w:sz w:val="21"/>
              </w:rPr>
              <w:t>（m</w:t>
            </w:r>
            <w:r>
              <w:rPr>
                <w:rFonts w:hint="eastAsia" w:ascii="Times New Roman" w:hAnsi="Times New Roman"/>
                <w:sz w:val="21"/>
                <w:vertAlign w:val="superscript"/>
              </w:rPr>
              <w:t>3</w:t>
            </w:r>
            <w:r>
              <w:rPr>
                <w:rFonts w:hint="eastAsia" w:ascii="Times New Roman" w:hAnsi="Times New Roman"/>
                <w:sz w:val="21"/>
              </w:rPr>
              <w: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13</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80</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13</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80</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宋体"/>
                <w:sz w:val="21"/>
              </w:rPr>
              <w:t>废盐</w:t>
            </w:r>
            <w:r>
              <w:rPr>
                <w:rFonts w:hint="eastAsia" w:ascii="Times New Roman" w:hAnsi="Times New Roman"/>
                <w:sz w:val="21"/>
              </w:rP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585</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585</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宋体"/>
                <w:sz w:val="21"/>
              </w:rPr>
              <w:t>废弃分子筛</w:t>
            </w:r>
            <w:r>
              <w:rPr>
                <w:rFonts w:hint="eastAsia" w:ascii="Times New Roman" w:hAnsi="Times New Roman"/>
                <w:sz w:val="21"/>
              </w:rP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pStyle w:val="27"/>
            </w:pPr>
            <w:r>
              <w:rPr>
                <w:rFonts w:hint="eastAsia"/>
              </w:rPr>
              <w:t>生活污水处理站污泥</w:t>
            </w:r>
            <w:r>
              <w:rPr>
                <w:lang w:val="en-US"/>
              </w:rP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1.51</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1.51</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pStyle w:val="27"/>
            </w:pPr>
            <w:r>
              <w:rPr>
                <w:rFonts w:hint="eastAsia"/>
              </w:rPr>
              <w:t>干化池污泥</w:t>
            </w:r>
            <w:r>
              <w:t>（t/a）</w:t>
            </w:r>
          </w:p>
        </w:tc>
        <w:tc>
          <w:tcPr>
            <w:tcW w:w="1134"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5.92</w:t>
            </w:r>
          </w:p>
        </w:tc>
        <w:tc>
          <w:tcPr>
            <w:tcW w:w="1559"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5.92</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+5.92</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vAlign w:val="center"/>
          </w:tcPr>
          <w:p>
            <w:pPr>
              <w:spacing w:line="240" w:lineRule="exact"/>
              <w:ind w:firstLine="0" w:firstLineChars="0"/>
              <w:jc w:val="center"/>
              <w:rPr>
                <w:rFonts w:ascii="Times New Roman" w:hAnsi="Times New Roman"/>
                <w:sz w:val="21"/>
              </w:rPr>
            </w:pPr>
          </w:p>
        </w:tc>
        <w:tc>
          <w:tcPr>
            <w:tcW w:w="1276" w:type="dxa"/>
            <w:vAlign w:val="center"/>
          </w:tcPr>
          <w:p>
            <w:pPr>
              <w:spacing w:line="240" w:lineRule="exact"/>
              <w:ind w:firstLine="0" w:firstLineChars="0"/>
              <w:jc w:val="center"/>
              <w:rPr>
                <w:rFonts w:ascii="Times New Roman" w:hAnsi="宋体"/>
                <w:bCs/>
                <w:kern w:val="0"/>
                <w:position w:val="2"/>
                <w:sz w:val="21"/>
                <w:lang w:val="zh-CN"/>
              </w:rPr>
            </w:pPr>
            <w:r>
              <w:rPr>
                <w:rFonts w:hint="eastAsia" w:ascii="Times New Roman" w:hAnsi="宋体"/>
                <w:bCs/>
                <w:kern w:val="0"/>
                <w:position w:val="2"/>
                <w:sz w:val="21"/>
                <w:lang w:val="zh-CN"/>
              </w:rPr>
              <w:t>生活垃圾</w:t>
            </w:r>
            <w:r>
              <w:rPr>
                <w:rFonts w:hint="eastAsia" w:ascii="Times New Roman" w:hAnsi="Times New Roman"/>
                <w:sz w:val="21"/>
              </w:rPr>
              <w:t>（t/a）</w:t>
            </w:r>
          </w:p>
        </w:tc>
        <w:tc>
          <w:tcPr>
            <w:tcW w:w="1134" w:type="dxa"/>
            <w:vAlign w:val="center"/>
          </w:tcPr>
          <w:p>
            <w:pPr>
              <w:spacing w:line="240" w:lineRule="exact"/>
              <w:ind w:left="420" w:hanging="420" w:firstLineChars="0"/>
              <w:jc w:val="center"/>
              <w:rPr>
                <w:rFonts w:ascii="Times New Roman" w:hAnsi="Times New Roman"/>
                <w:sz w:val="21"/>
              </w:rPr>
            </w:pPr>
            <w:r>
              <w:rPr>
                <w:rFonts w:hint="eastAsia" w:ascii="Times New Roman" w:hAnsi="Times New Roman"/>
                <w:sz w:val="21"/>
              </w:rPr>
              <w:t>0</w:t>
            </w:r>
          </w:p>
        </w:tc>
        <w:tc>
          <w:tcPr>
            <w:tcW w:w="1418"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19.8</w:t>
            </w:r>
          </w:p>
        </w:tc>
        <w:tc>
          <w:tcPr>
            <w:tcW w:w="1559" w:type="dxa"/>
            <w:vAlign w:val="center"/>
          </w:tcPr>
          <w:p>
            <w:pPr>
              <w:spacing w:line="240" w:lineRule="exact"/>
              <w:ind w:left="420" w:hanging="420" w:firstLineChars="0"/>
              <w:jc w:val="center"/>
              <w:rPr>
                <w:rFonts w:ascii="Times New Roman" w:hAnsi="Times New Roman"/>
                <w:sz w:val="21"/>
              </w:rPr>
            </w:pPr>
            <w:r>
              <w:rPr>
                <w:rFonts w:hint="eastAsia" w:ascii="Times New Roman" w:hAnsi="Times New Roman"/>
                <w:sz w:val="21"/>
              </w:rPr>
              <w:t>0</w:t>
            </w:r>
          </w:p>
        </w:tc>
        <w:tc>
          <w:tcPr>
            <w:tcW w:w="1276"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19.8</w:t>
            </w:r>
          </w:p>
        </w:tc>
        <w:tc>
          <w:tcPr>
            <w:tcW w:w="1181" w:type="dxa"/>
            <w:vAlign w:val="center"/>
          </w:tcPr>
          <w:p>
            <w:pPr>
              <w:spacing w:line="240" w:lineRule="exact"/>
              <w:ind w:firstLine="0" w:firstLineChars="0"/>
              <w:jc w:val="center"/>
              <w:rPr>
                <w:rFonts w:ascii="Times New Roman" w:hAnsi="Times New Roman"/>
                <w:sz w:val="21"/>
              </w:rPr>
            </w:pPr>
            <w:r>
              <w:rPr>
                <w:rFonts w:hint="eastAsia" w:ascii="Times New Roman" w:hAnsi="Times New Roman"/>
                <w:sz w:val="21"/>
              </w:rPr>
              <w:t>+19.8</w:t>
            </w:r>
          </w:p>
        </w:tc>
      </w:tr>
    </w:tbl>
    <w:p>
      <w:pPr>
        <w:snapToGrid w:val="0"/>
        <w:ind w:firstLine="0" w:firstLineChars="0"/>
        <w:rPr>
          <w:rFonts w:ascii="Times New Roman" w:hAnsi="Times New Roman"/>
          <w:szCs w:val="24"/>
        </w:rPr>
      </w:pPr>
      <w:r>
        <w:rPr>
          <w:rFonts w:hint="eastAsia" w:ascii="Times New Roman" w:hAnsi="Times New Roman"/>
          <w:sz w:val="21"/>
          <w:szCs w:val="20"/>
        </w:rPr>
        <w:t>说明：+表示增加，－表示减少。</w:t>
      </w:r>
    </w:p>
    <w:p>
      <w:pPr>
        <w:spacing w:before="156" w:beforeLines="50" w:after="156" w:afterLines="50"/>
        <w:ind w:firstLine="0" w:firstLineChars="0"/>
        <w:outlineLvl w:val="1"/>
        <w:rPr>
          <w:rFonts w:ascii="Times New Roman" w:hAnsi="Times New Roman"/>
          <w:b/>
          <w:sz w:val="30"/>
          <w:szCs w:val="30"/>
        </w:rPr>
      </w:pPr>
      <w:bookmarkStart w:id="57" w:name="_Toc524624589"/>
      <w:r>
        <w:rPr>
          <w:rFonts w:hint="eastAsia" w:ascii="Times New Roman" w:hAnsi="Times New Roman"/>
          <w:b/>
          <w:sz w:val="30"/>
          <w:szCs w:val="30"/>
        </w:rPr>
        <w:t>3.7 总量控制</w:t>
      </w:r>
      <w:bookmarkEnd w:id="57"/>
    </w:p>
    <w:p>
      <w:pPr>
        <w:widowControl/>
        <w:ind w:firstLine="480"/>
        <w:rPr>
          <w:rFonts w:ascii="Times New Roman"/>
          <w:szCs w:val="24"/>
        </w:rPr>
      </w:pPr>
      <w:r>
        <w:rPr>
          <w:rFonts w:hint="eastAsia" w:ascii="Times New Roman"/>
          <w:szCs w:val="24"/>
        </w:rPr>
        <w:t>本项目供热采用燃气锅炉，主要污染物为NOx；采出水和生活污水均不外排。因此，根据本项目特点，确定本项目总量控制因子为NOx，NOx0.0308t/a。</w:t>
      </w:r>
    </w:p>
    <w:p>
      <w:pPr>
        <w:widowControl/>
        <w:ind w:firstLine="0" w:firstLineChars="0"/>
        <w:rPr>
          <w:rFonts w:ascii="Times New Roman"/>
          <w:szCs w:val="24"/>
        </w:rPr>
      </w:pPr>
    </w:p>
    <w:p>
      <w:pPr>
        <w:widowControl/>
        <w:ind w:firstLine="0" w:firstLineChars="0"/>
        <w:rPr>
          <w:rFonts w:ascii="Times New Roman"/>
          <w:szCs w:val="24"/>
        </w:rPr>
      </w:pPr>
    </w:p>
    <w:p>
      <w:pPr>
        <w:widowControl/>
        <w:ind w:firstLine="0" w:firstLineChars="0"/>
        <w:rPr>
          <w:rFonts w:ascii="Times New Roman"/>
          <w:szCs w:val="24"/>
        </w:rPr>
      </w:pPr>
    </w:p>
    <w:p>
      <w:pPr>
        <w:widowControl/>
        <w:ind w:firstLine="0" w:firstLineChars="0"/>
        <w:rPr>
          <w:rFonts w:ascii="Times New Roman"/>
          <w:szCs w:val="24"/>
        </w:rPr>
      </w:pPr>
    </w:p>
    <w:p>
      <w:pPr>
        <w:widowControl/>
        <w:ind w:firstLine="0" w:firstLineChars="0"/>
        <w:rPr>
          <w:rFonts w:ascii="Times New Roman"/>
          <w:szCs w:val="24"/>
        </w:rPr>
      </w:pPr>
    </w:p>
    <w:p>
      <w:pPr>
        <w:widowControl/>
        <w:ind w:firstLine="0" w:firstLineChars="0"/>
        <w:rPr>
          <w:rFonts w:ascii="Times New Roman"/>
          <w:szCs w:val="24"/>
        </w:rPr>
      </w:pPr>
    </w:p>
    <w:p>
      <w:pPr>
        <w:spacing w:before="156" w:beforeLines="50" w:after="156" w:afterLines="50"/>
        <w:ind w:firstLine="0" w:firstLineChars="0"/>
        <w:outlineLvl w:val="0"/>
        <w:rPr>
          <w:rFonts w:ascii="Times New Roman" w:hAnsi="Times New Roman"/>
          <w:b/>
          <w:sz w:val="32"/>
          <w:szCs w:val="32"/>
        </w:rPr>
      </w:pPr>
      <w:bookmarkStart w:id="58" w:name="_Toc524624590"/>
      <w:r>
        <w:rPr>
          <w:rFonts w:hint="eastAsia" w:ascii="Times New Roman" w:hAnsi="Times New Roman"/>
          <w:b/>
          <w:sz w:val="32"/>
          <w:szCs w:val="32"/>
        </w:rPr>
        <w:t>4 环境现状调查与评价</w:t>
      </w:r>
      <w:bookmarkEnd w:id="58"/>
    </w:p>
    <w:p>
      <w:pPr>
        <w:spacing w:before="156" w:beforeLines="50" w:after="156" w:afterLines="50"/>
        <w:ind w:firstLine="0" w:firstLineChars="0"/>
        <w:outlineLvl w:val="1"/>
        <w:rPr>
          <w:rFonts w:ascii="Times New Roman" w:hAnsi="Times New Roman"/>
          <w:b/>
          <w:sz w:val="30"/>
          <w:szCs w:val="30"/>
        </w:rPr>
      </w:pPr>
      <w:bookmarkStart w:id="59" w:name="_Toc524624591"/>
      <w:r>
        <w:rPr>
          <w:rFonts w:hint="eastAsia" w:ascii="Times New Roman" w:hAnsi="Times New Roman"/>
          <w:b/>
          <w:sz w:val="30"/>
          <w:szCs w:val="30"/>
        </w:rPr>
        <w:t>4.1 自然环境现状调查与评价</w:t>
      </w:r>
      <w:bookmarkEnd w:id="59"/>
    </w:p>
    <w:p>
      <w:pPr>
        <w:ind w:firstLine="0" w:firstLineChars="0"/>
        <w:outlineLvl w:val="2"/>
        <w:rPr>
          <w:rFonts w:ascii="Times New Roman" w:hAnsi="Times New Roman"/>
          <w:b/>
          <w:sz w:val="28"/>
          <w:szCs w:val="28"/>
        </w:rPr>
      </w:pPr>
      <w:bookmarkStart w:id="60" w:name="_Toc524624592"/>
      <w:r>
        <w:rPr>
          <w:rFonts w:hint="eastAsia" w:ascii="Times New Roman" w:hAnsi="Times New Roman"/>
          <w:b/>
          <w:sz w:val="28"/>
          <w:szCs w:val="28"/>
        </w:rPr>
        <w:t>4.1.1项目地理位置</w:t>
      </w:r>
      <w:bookmarkEnd w:id="60"/>
    </w:p>
    <w:p>
      <w:pPr>
        <w:pStyle w:val="8"/>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吕梁市位于山西省中部西侧，西隔黄河同陕西榆林相望，东北与省会太原市相连，东部、东南部分别和晋中、临汾接壤。市境总面积21140km</w:t>
      </w:r>
      <w:r>
        <w:rPr>
          <w:rFonts w:ascii="Times New Roman" w:hAnsi="Times New Roman" w:cs="Times New Roman"/>
          <w:color w:val="auto"/>
          <w:sz w:val="24"/>
          <w:szCs w:val="24"/>
          <w:vertAlign w:val="superscript"/>
        </w:rPr>
        <w:t>2</w:t>
      </w:r>
      <w:r>
        <w:rPr>
          <w:rFonts w:ascii="Times New Roman" w:hAnsi="Times New Roman" w:cs="Times New Roman"/>
          <w:color w:val="auto"/>
          <w:sz w:val="24"/>
          <w:szCs w:val="24"/>
        </w:rPr>
        <w:t>，下辖1个市辖区、10个县，代管2个县级市。本项目位于吕梁市辖的临县和兴县部分地区。</w:t>
      </w:r>
    </w:p>
    <w:p>
      <w:pPr>
        <w:snapToGrid w:val="0"/>
        <w:ind w:firstLine="480"/>
        <w:rPr>
          <w:rFonts w:ascii="Times New Roman" w:hAnsi="Times New Roman"/>
          <w:szCs w:val="24"/>
        </w:rPr>
      </w:pPr>
      <w:r>
        <w:rPr>
          <w:rFonts w:ascii="Times New Roman" w:hAnsi="Times New Roman"/>
          <w:szCs w:val="24"/>
        </w:rPr>
        <w:t>兴县位于山西省西北部，吕梁市北端，东邻岚县、岢岚，南连临县、方山，北倚保德，西隔黄河与陕西省神木县相望。地理坐标介于东经110º33′00"～111º28′55"、北纬38º05′40"～38º43′50"之间。全县国土面积3168 km</w:t>
      </w:r>
      <w:r>
        <w:rPr>
          <w:rFonts w:ascii="Times New Roman" w:hAnsi="Times New Roman"/>
          <w:szCs w:val="24"/>
          <w:vertAlign w:val="superscript"/>
        </w:rPr>
        <w:t>2</w:t>
      </w:r>
      <w:r>
        <w:rPr>
          <w:rFonts w:ascii="Times New Roman" w:hAnsi="Times New Roman"/>
          <w:szCs w:val="24"/>
        </w:rPr>
        <w:t>，是山西省版图最大的县。</w:t>
      </w:r>
    </w:p>
    <w:p>
      <w:pPr>
        <w:snapToGrid w:val="0"/>
        <w:ind w:firstLine="480"/>
        <w:rPr>
          <w:rFonts w:ascii="Times New Roman" w:hAnsi="Times New Roman"/>
          <w:szCs w:val="24"/>
        </w:rPr>
      </w:pPr>
      <w:r>
        <w:rPr>
          <w:rFonts w:ascii="Times New Roman" w:hAnsi="Times New Roman"/>
          <w:szCs w:val="24"/>
        </w:rPr>
        <w:t>临兴先导试验区位于临兴区块中区东北部，行政区划属于山西省吕梁市兴县赵家坪乡，坐标范围：东经110°52'~110°54'，北纬38°17'~38°21'（</w:t>
      </w:r>
      <w:r>
        <w:rPr>
          <w:rFonts w:hint="eastAsia" w:ascii="Times New Roman" w:hAnsi="Times New Roman"/>
          <w:szCs w:val="24"/>
        </w:rPr>
        <w:t>地理位置见</w:t>
      </w:r>
      <w:r>
        <w:rPr>
          <w:rFonts w:ascii="Times New Roman" w:hAnsi="Times New Roman"/>
          <w:szCs w:val="24"/>
        </w:rPr>
        <w:t>图</w:t>
      </w:r>
      <w:r>
        <w:rPr>
          <w:rFonts w:hint="eastAsia" w:ascii="Times New Roman" w:hAnsi="Times New Roman"/>
          <w:szCs w:val="24"/>
        </w:rPr>
        <w:t>4.1</w:t>
      </w:r>
      <w:r>
        <w:rPr>
          <w:rFonts w:ascii="Times New Roman" w:hAnsi="Times New Roman"/>
          <w:szCs w:val="24"/>
        </w:rPr>
        <w:t>-1），面积为20.53km</w:t>
      </w:r>
      <w:r>
        <w:rPr>
          <w:rFonts w:ascii="Times New Roman" w:hAnsi="Times New Roman"/>
          <w:szCs w:val="24"/>
          <w:vertAlign w:val="superscript"/>
        </w:rPr>
        <w:t>2</w:t>
      </w:r>
      <w:r>
        <w:rPr>
          <w:rFonts w:ascii="Times New Roman" w:hAnsi="Times New Roman"/>
          <w:szCs w:val="24"/>
        </w:rPr>
        <w:t>。先导试验区东北距兴县约28km，东南距临县约40km，西南距佳县约46km，西北距神木县约69km。</w:t>
      </w:r>
    </w:p>
    <w:p>
      <w:pPr>
        <w:ind w:firstLine="0" w:firstLineChars="0"/>
        <w:outlineLvl w:val="2"/>
        <w:rPr>
          <w:rFonts w:ascii="Times New Roman" w:hAnsi="Times New Roman"/>
          <w:b/>
          <w:sz w:val="28"/>
          <w:szCs w:val="28"/>
        </w:rPr>
      </w:pPr>
      <w:bookmarkStart w:id="61" w:name="_Toc524624593"/>
      <w:r>
        <w:rPr>
          <w:rFonts w:hint="eastAsia" w:ascii="Times New Roman" w:hAnsi="Times New Roman"/>
          <w:b/>
          <w:sz w:val="28"/>
          <w:szCs w:val="28"/>
        </w:rPr>
        <w:t>4.1.2 地形地貌</w:t>
      </w:r>
      <w:bookmarkEnd w:id="61"/>
    </w:p>
    <w:p>
      <w:pPr>
        <w:ind w:firstLine="480"/>
        <w:rPr>
          <w:rFonts w:ascii="Times New Roman" w:hAnsi="Times New Roman"/>
          <w:szCs w:val="24"/>
        </w:rPr>
      </w:pPr>
      <w:r>
        <w:rPr>
          <w:rFonts w:hint="eastAsia" w:ascii="Times New Roman" w:hAnsi="Times New Roman"/>
          <w:szCs w:val="24"/>
        </w:rPr>
        <w:t>兴县地处黄河中游的黄土高原上，境内山河交错，沟谷纵横，梁峁起伏，岗毗峦连，构成中山、低山、丘陵、河谷等多种地貌形态。从地形上可划分为黄土丘陵沟壑区和土石山区两大区域，大致以木崖头、奥家湾、固贤一线为分界。东部土石山区裸露岩体主要是花岗岩、变质岩类，林草覆盖度高，水土流失轻微，生态环境良好。分界线以西，底部为三叠系砂页岩，表层被第四纪黄土覆盖，海拔高程在725～1200m之间，切割深度在100～200m左右，山顶呈圆峁状，山梁则波浪式起伏，沟谷呈“V”型，发育着一系列树枝状河谷系统，地形被分割得支离破碎，构成典型的黄土地貌景观。</w:t>
      </w:r>
    </w:p>
    <w:p>
      <w:pPr>
        <w:ind w:firstLine="480"/>
        <w:rPr>
          <w:rFonts w:ascii="Times New Roman" w:hAnsi="Times New Roman"/>
          <w:szCs w:val="24"/>
        </w:rPr>
      </w:pPr>
      <w:r>
        <w:rPr>
          <w:rFonts w:hint="eastAsia" w:ascii="Times New Roman" w:hAnsi="Times New Roman"/>
          <w:szCs w:val="24"/>
        </w:rPr>
        <w:t>兴县境内主要地貌有四种类型，分别为：</w:t>
      </w:r>
    </w:p>
    <w:p>
      <w:pPr>
        <w:ind w:firstLine="480"/>
        <w:rPr>
          <w:rFonts w:ascii="Times New Roman" w:hAnsi="Times New Roman"/>
          <w:szCs w:val="24"/>
        </w:rPr>
      </w:pPr>
      <w:r>
        <w:rPr>
          <w:rFonts w:hint="eastAsia" w:ascii="Times New Roman" w:hAnsi="Times New Roman"/>
          <w:szCs w:val="24"/>
        </w:rPr>
        <w:t>（1）土石中山区</w:t>
      </w:r>
    </w:p>
    <w:p>
      <w:pPr>
        <w:ind w:firstLine="480"/>
        <w:rPr>
          <w:rFonts w:ascii="Times New Roman" w:hAnsi="Times New Roman"/>
          <w:szCs w:val="24"/>
        </w:rPr>
      </w:pPr>
      <w:r>
        <w:rPr>
          <w:rFonts w:hint="eastAsia" w:ascii="Times New Roman" w:hAnsi="Times New Roman"/>
          <w:szCs w:val="24"/>
        </w:rPr>
        <w:t>剥蚀构造变质岩中山：主要分布于高唐山、大坪头山和黑茶山等地，呈东北—东—东南走向，海拔1500～2203m，沟谷切割深度大于500m，由变质岩、火成岩类组成。地表植被发育，蓄水保水能力较强，山脚下、沟谷中常有清泉出露。</w:t>
      </w:r>
    </w:p>
    <w:p>
      <w:pPr>
        <w:ind w:firstLine="480"/>
        <w:rPr>
          <w:rFonts w:ascii="Times New Roman" w:hAnsi="Times New Roman"/>
          <w:szCs w:val="24"/>
        </w:rPr>
      </w:pPr>
      <w:r>
        <w:rPr>
          <w:rFonts w:hint="eastAsia" w:ascii="Times New Roman" w:hAnsi="Times New Roman"/>
          <w:szCs w:val="24"/>
        </w:rPr>
        <w:t>剥蚀、溶蚀构造石灰岩中低山：分布于县境东北部的高王寨、香炉山、望儿山等地，大致呈南北向延伸。海拔1300～1680m，相对沟谷切割深度300～380m，由寒武系、奥陶系石灰岩、白云质灰岩和白云岩组成。基岩被黄土覆盖地带约占60%，裸露地表约占40%。</w:t>
      </w:r>
    </w:p>
    <w:p>
      <w:pPr>
        <w:ind w:firstLine="480"/>
        <w:rPr>
          <w:rFonts w:ascii="Times New Roman" w:hAnsi="Times New Roman"/>
          <w:szCs w:val="24"/>
        </w:rPr>
      </w:pPr>
      <w:r>
        <w:rPr>
          <w:rFonts w:hint="eastAsia" w:ascii="Times New Roman" w:hAnsi="Times New Roman"/>
          <w:szCs w:val="24"/>
        </w:rPr>
        <w:t>（2）低中山区</w:t>
      </w:r>
    </w:p>
    <w:p>
      <w:pPr>
        <w:ind w:firstLine="480"/>
        <w:rPr>
          <w:rFonts w:ascii="Times New Roman" w:hAnsi="Times New Roman"/>
          <w:szCs w:val="24"/>
        </w:rPr>
      </w:pPr>
      <w:r>
        <w:rPr>
          <w:rFonts w:hint="eastAsia" w:ascii="Times New Roman" w:hAnsi="Times New Roman"/>
          <w:szCs w:val="24"/>
        </w:rPr>
        <w:t>白家沟至固贤砂页岩构造剥蚀低中山：指白家沟至固贤南北一线，由石炭系、二迭系砂岩及含煤地层组成。岩层走向近南北并向西倾斜，倾角8º～10º，海拔1000～1350m，切沟深度300~380m。地表多被黄土覆盖，沟坡及沟谷底部基岩裸露，沟底常有清泉水。沟里多有风化煤层、铝土矿出露。</w:t>
      </w:r>
    </w:p>
    <w:p>
      <w:pPr>
        <w:ind w:firstLine="480"/>
        <w:rPr>
          <w:rFonts w:ascii="Times New Roman" w:hAnsi="Times New Roman"/>
          <w:szCs w:val="24"/>
        </w:rPr>
      </w:pPr>
      <w:r>
        <w:rPr>
          <w:rFonts w:hint="eastAsia" w:ascii="Times New Roman" w:hAnsi="Times New Roman"/>
          <w:szCs w:val="24"/>
        </w:rPr>
        <w:t>紫荆山火成岩构造剥蚀低中山区：主要分布在县境西南部，海拔1300～1800m，区内最高峰为大度山，东西走向，海拔1822.7m，切割深度大于400m，主要由燕山期碱性火成岩类组成。在新构造运动中，本区大幅度上升，形成高出周围地面的突出地形，水系呈放射状，地表植被发育，灌木茂密。</w:t>
      </w:r>
    </w:p>
    <w:p>
      <w:pPr>
        <w:ind w:firstLine="480"/>
        <w:rPr>
          <w:rFonts w:ascii="Times New Roman" w:hAnsi="Times New Roman"/>
          <w:szCs w:val="24"/>
        </w:rPr>
      </w:pPr>
      <w:r>
        <w:rPr>
          <w:rFonts w:hint="eastAsia" w:ascii="Times New Roman" w:hAnsi="Times New Roman"/>
          <w:szCs w:val="24"/>
        </w:rPr>
        <w:t>（3）低山丘陵区</w:t>
      </w:r>
    </w:p>
    <w:p>
      <w:pPr>
        <w:ind w:firstLine="480"/>
        <w:rPr>
          <w:rFonts w:ascii="Times New Roman" w:hAnsi="Times New Roman"/>
          <w:szCs w:val="24"/>
        </w:rPr>
      </w:pPr>
      <w:r>
        <w:rPr>
          <w:rFonts w:hint="eastAsia" w:ascii="Times New Roman" w:hAnsi="Times New Roman"/>
          <w:szCs w:val="24"/>
        </w:rPr>
        <w:t>强烈切割黄土丘陵低山：指黄河沿岸瓦塘、高家村、孟家坪、蔡家会一线的黄土粱峁丘陵地区。底部为三迭系中、下统砂页岩，表面被第四系黄土覆盖，谷底两侧砂页岩出露。海拔725～1200m，切割深度200m左右。</w:t>
      </w:r>
    </w:p>
    <w:p>
      <w:pPr>
        <w:ind w:firstLine="480"/>
        <w:rPr>
          <w:rFonts w:ascii="Times New Roman" w:hAnsi="Times New Roman"/>
          <w:szCs w:val="24"/>
        </w:rPr>
      </w:pPr>
      <w:r>
        <w:rPr>
          <w:rFonts w:hint="eastAsia" w:ascii="Times New Roman" w:hAnsi="Times New Roman"/>
          <w:szCs w:val="24"/>
        </w:rPr>
        <w:t>（4）河川宽谷区</w:t>
      </w:r>
    </w:p>
    <w:p>
      <w:pPr>
        <w:ind w:firstLine="480"/>
        <w:rPr>
          <w:rFonts w:ascii="Times New Roman" w:hAnsi="Times New Roman"/>
          <w:szCs w:val="24"/>
        </w:rPr>
      </w:pPr>
      <w:r>
        <w:rPr>
          <w:rFonts w:hint="eastAsia" w:ascii="Times New Roman" w:hAnsi="Times New Roman"/>
          <w:szCs w:val="24"/>
        </w:rPr>
        <w:t>位于岚漪河和蔚汾河及其支流南川河、交楼河和湫水河等河道两侧，最宽处约1500m，最窄处500～600m，多由河墁滩和二级阶地组成。一级阶地前缘高出河床3～5m，堆积物为全新统冲积砂砾和黄土状亚砂土；二级阶地前缘高出河床10～15m，堆积物为上更新统、次生黄土砂砾。岚漪河川和蔚汾河川地势平坦宽阔，平均海拔900～1000m，境内岚漪河川长约35km，宽约0.5～1.5km；蔚汾河川长约55km，宽约1.3km。</w:t>
      </w:r>
    </w:p>
    <w:p>
      <w:pPr>
        <w:ind w:firstLine="480"/>
        <w:rPr>
          <w:rFonts w:ascii="Times New Roman" w:hAnsi="Times New Roman"/>
          <w:szCs w:val="24"/>
        </w:rPr>
      </w:pPr>
      <w:r>
        <w:rPr>
          <w:rFonts w:hint="eastAsia" w:ascii="Times New Roman" w:hAnsi="Times New Roman"/>
          <w:szCs w:val="24"/>
        </w:rPr>
        <w:t>临兴先导区属侵蚀剥蚀黄土梁峁丘陵区，以残塬沟壑地形为主。由于长期受流水切割，沟壑纵横，梁、峁交错，水土流失严重。区内地势起伏较大，总体东南高西北低，底部切割到三叠系中、下统砂页岩，表面被第四系黄土覆盖，谷底两侧砂页岩出露，海拔在 850~1200m 之间，切割深度200m左右。山顶多为塬、峁状或棒槌状，山梁呈波浪式，山脊不明显。沟谷呈“V”型，十分发育。平面上呈树枝状，地形支离破碎，构成典型的黄土高原景观。</w:t>
      </w:r>
    </w:p>
    <w:p>
      <w:pPr>
        <w:ind w:firstLine="0" w:firstLineChars="0"/>
        <w:outlineLvl w:val="2"/>
        <w:rPr>
          <w:rFonts w:ascii="Times New Roman" w:hAnsi="Times New Roman"/>
          <w:b/>
          <w:sz w:val="28"/>
          <w:szCs w:val="28"/>
        </w:rPr>
      </w:pPr>
      <w:bookmarkStart w:id="62" w:name="_Toc524624594"/>
      <w:r>
        <w:rPr>
          <w:rFonts w:hint="eastAsia" w:ascii="Times New Roman" w:hAnsi="Times New Roman"/>
          <w:b/>
          <w:sz w:val="28"/>
          <w:szCs w:val="28"/>
        </w:rPr>
        <w:t>4.1.3 气候气象</w:t>
      </w:r>
      <w:bookmarkEnd w:id="62"/>
    </w:p>
    <w:p>
      <w:pPr>
        <w:ind w:firstLine="480"/>
        <w:rPr>
          <w:rFonts w:ascii="Times New Roman" w:hAnsi="Times New Roman"/>
          <w:szCs w:val="24"/>
        </w:rPr>
      </w:pPr>
      <w:r>
        <w:rPr>
          <w:rFonts w:hint="eastAsia" w:ascii="Times New Roman" w:hAnsi="Times New Roman"/>
          <w:szCs w:val="24"/>
        </w:rPr>
        <w:t>兴县属温带大陆性季风气候，四季分明，昼夜温差大，一般春季多风，夏季炎热，秋季云高气爽，冬季寒冷干燥。气温年平均值为8.8℃，1月份最低，平均为-7.6℃，极值为-24.8℃；7月份最高，平均为22.6℃，极值为37℃，平均温差30.2℃。降水量历年平均值为513.9mm，最大降水量在7月份，为744.8mm；最小在1月份，为4.5mm；雨量集中于7、8、9月份，占全年的59%。蒸发量年平均值为2141.9mm，蒸发量大于降水量。全年以SSW风出现最多，年风向频率为11.48%。全年平均风速为2.56m/s，春季平均风速最大，为3.54m/s，秋季平均风速最小，为1.83m/s。无霜期120-170天。</w:t>
      </w:r>
    </w:p>
    <w:p>
      <w:pPr>
        <w:ind w:firstLine="0" w:firstLineChars="0"/>
        <w:outlineLvl w:val="2"/>
        <w:rPr>
          <w:rFonts w:ascii="Times New Roman" w:hAnsi="Times New Roman"/>
          <w:b/>
          <w:sz w:val="28"/>
          <w:szCs w:val="28"/>
        </w:rPr>
      </w:pPr>
      <w:bookmarkStart w:id="63" w:name="_Toc524624595"/>
      <w:r>
        <w:rPr>
          <w:rFonts w:hint="eastAsia" w:ascii="Times New Roman" w:hAnsi="Times New Roman"/>
          <w:b/>
          <w:sz w:val="28"/>
          <w:szCs w:val="28"/>
        </w:rPr>
        <w:t>4.1.4 水文条件</w:t>
      </w:r>
      <w:bookmarkEnd w:id="63"/>
    </w:p>
    <w:p>
      <w:pPr>
        <w:ind w:firstLine="480"/>
        <w:rPr>
          <w:rFonts w:ascii="Times New Roman" w:hAnsi="Times New Roman"/>
          <w:szCs w:val="24"/>
        </w:rPr>
      </w:pPr>
      <w:r>
        <w:rPr>
          <w:rFonts w:hint="eastAsia" w:ascii="Times New Roman" w:hAnsi="Times New Roman"/>
          <w:szCs w:val="24"/>
        </w:rPr>
        <w:t>兴县东倚吕梁山脉，西界黄河，河流较多，河流自东向西汇入黄河，共有9条，属黄河水系。1000km2以上的较大河流有岚漪河、蔚汾河、湫水河3条，其余6条均为发源于兴县境内的较小河流。</w:t>
      </w:r>
    </w:p>
    <w:p>
      <w:pPr>
        <w:ind w:firstLine="480"/>
        <w:rPr>
          <w:rFonts w:ascii="Times New Roman" w:hAnsi="Times New Roman"/>
          <w:szCs w:val="24"/>
        </w:rPr>
      </w:pPr>
      <w:r>
        <w:rPr>
          <w:rFonts w:hint="eastAsia" w:ascii="Times New Roman" w:hAnsi="Times New Roman"/>
          <w:szCs w:val="24"/>
        </w:rPr>
        <w:t>黄河：流经县西边界瓦塘、高家村、赵家坪、罗峪口和圪垯上5个乡镇的数十个村庄。北自牛家洼村入境，南到大峪口村出境，境内全长82km。据实测资料记载：最大流量为19500m</w:t>
      </w:r>
      <w:r>
        <w:rPr>
          <w:rFonts w:hint="eastAsia" w:ascii="Times New Roman" w:hAnsi="Times New Roman"/>
          <w:szCs w:val="24"/>
          <w:vertAlign w:val="superscript"/>
        </w:rPr>
        <w:t>3</w:t>
      </w:r>
      <w:r>
        <w:rPr>
          <w:rFonts w:hint="eastAsia" w:ascii="Times New Roman" w:hAnsi="Times New Roman"/>
          <w:szCs w:val="24"/>
        </w:rPr>
        <w:t>/s，最小流量为60m</w:t>
      </w:r>
      <w:r>
        <w:rPr>
          <w:rFonts w:hint="eastAsia" w:ascii="Times New Roman" w:hAnsi="Times New Roman"/>
          <w:szCs w:val="24"/>
          <w:vertAlign w:val="superscript"/>
        </w:rPr>
        <w:t>3</w:t>
      </w:r>
      <w:r>
        <w:rPr>
          <w:rFonts w:hint="eastAsia" w:ascii="Times New Roman" w:hAnsi="Times New Roman"/>
          <w:szCs w:val="24"/>
        </w:rPr>
        <w:t>/s，最大年径流量为505亿m3，最小年径流量为159亿m</w:t>
      </w:r>
      <w:r>
        <w:rPr>
          <w:rFonts w:hint="eastAsia" w:ascii="Times New Roman" w:hAnsi="Times New Roman"/>
          <w:szCs w:val="24"/>
          <w:vertAlign w:val="superscript"/>
        </w:rPr>
        <w:t>3</w:t>
      </w:r>
      <w:r>
        <w:rPr>
          <w:rFonts w:hint="eastAsia" w:ascii="Times New Roman" w:hAnsi="Times New Roman"/>
          <w:szCs w:val="24"/>
        </w:rPr>
        <w:t>，多年平均年径流量为293亿m</w:t>
      </w:r>
      <w:r>
        <w:rPr>
          <w:rFonts w:hint="eastAsia" w:ascii="Times New Roman" w:hAnsi="Times New Roman"/>
          <w:szCs w:val="24"/>
          <w:vertAlign w:val="superscript"/>
        </w:rPr>
        <w:t>3</w:t>
      </w:r>
      <w:r>
        <w:rPr>
          <w:rFonts w:hint="eastAsia" w:ascii="Times New Roman" w:hAnsi="Times New Roman"/>
          <w:szCs w:val="24"/>
        </w:rPr>
        <w:t>。</w:t>
      </w:r>
    </w:p>
    <w:p>
      <w:pPr>
        <w:ind w:firstLine="480"/>
        <w:rPr>
          <w:rFonts w:ascii="Times New Roman" w:hAnsi="Times New Roman"/>
          <w:szCs w:val="24"/>
        </w:rPr>
      </w:pPr>
      <w:r>
        <w:rPr>
          <w:rFonts w:hint="eastAsia" w:ascii="Times New Roman" w:hAnsi="Times New Roman"/>
          <w:szCs w:val="24"/>
        </w:rPr>
        <w:t>岚漪河：黄河一级支流，发源于芦芽山区的荷叶坪、鹿计岭之西饮马池山，海拔2222m，河流跨越岚县、兴县和忻州市的岢岚、五寨、保德五县，于兴县裴家川口汇入黄河，干流长120km，在兴县境内35km。全流域面积2167km</w:t>
      </w:r>
      <w:r>
        <w:rPr>
          <w:rFonts w:hint="eastAsia" w:ascii="Times New Roman" w:hAnsi="Times New Roman"/>
          <w:szCs w:val="24"/>
          <w:vertAlign w:val="superscript"/>
        </w:rPr>
        <w:t>2</w:t>
      </w:r>
      <w:r>
        <w:rPr>
          <w:rFonts w:hint="eastAsia" w:ascii="Times New Roman" w:hAnsi="Times New Roman"/>
          <w:szCs w:val="24"/>
        </w:rPr>
        <w:t>，在兴县境内373km</w:t>
      </w:r>
      <w:r>
        <w:rPr>
          <w:rFonts w:hint="eastAsia" w:ascii="Times New Roman" w:hAnsi="Times New Roman"/>
          <w:szCs w:val="24"/>
          <w:vertAlign w:val="superscript"/>
        </w:rPr>
        <w:t>2</w:t>
      </w:r>
      <w:r>
        <w:rPr>
          <w:rFonts w:hint="eastAsia" w:ascii="Times New Roman" w:hAnsi="Times New Roman"/>
          <w:szCs w:val="24"/>
        </w:rPr>
        <w:t>，干流主河道平均坡度8.95‰。</w:t>
      </w:r>
    </w:p>
    <w:p>
      <w:pPr>
        <w:ind w:firstLine="480"/>
        <w:rPr>
          <w:rFonts w:ascii="Times New Roman" w:hAnsi="Times New Roman"/>
          <w:szCs w:val="24"/>
        </w:rPr>
      </w:pPr>
      <w:r>
        <w:rPr>
          <w:rFonts w:hint="eastAsia" w:ascii="Times New Roman" w:hAnsi="Times New Roman"/>
          <w:szCs w:val="24"/>
        </w:rPr>
        <w:t>蔚汾河：黄河一级支流，发源于岚县野鸡山之西白龙山，海拔2264km，流经岚县、兴县，于兴县张家湾汇入黄河，干流长81.8km，在兴县境内 53km，流域面积 1478km</w:t>
      </w:r>
      <w:r>
        <w:rPr>
          <w:rFonts w:hint="eastAsia" w:ascii="Times New Roman" w:hAnsi="Times New Roman"/>
          <w:szCs w:val="24"/>
          <w:vertAlign w:val="superscript"/>
        </w:rPr>
        <w:t>2</w:t>
      </w:r>
      <w:r>
        <w:rPr>
          <w:rFonts w:hint="eastAsia" w:ascii="Times New Roman" w:hAnsi="Times New Roman"/>
          <w:szCs w:val="24"/>
        </w:rPr>
        <w:t>，在兴县境内1274km</w:t>
      </w:r>
      <w:r>
        <w:rPr>
          <w:rFonts w:hint="eastAsia" w:ascii="Times New Roman" w:hAnsi="Times New Roman"/>
          <w:szCs w:val="24"/>
          <w:vertAlign w:val="superscript"/>
        </w:rPr>
        <w:t>2</w:t>
      </w:r>
      <w:r>
        <w:rPr>
          <w:rFonts w:hint="eastAsia" w:ascii="Times New Roman" w:hAnsi="Times New Roman"/>
          <w:szCs w:val="24"/>
        </w:rPr>
        <w:t>，干流主河道平均坡度9.73‰。</w:t>
      </w:r>
    </w:p>
    <w:p>
      <w:pPr>
        <w:ind w:firstLine="480"/>
        <w:rPr>
          <w:rFonts w:ascii="Times New Roman" w:hAnsi="Times New Roman"/>
          <w:szCs w:val="24"/>
        </w:rPr>
      </w:pPr>
      <w:r>
        <w:rPr>
          <w:rFonts w:hint="eastAsia" w:ascii="Times New Roman" w:hAnsi="Times New Roman"/>
          <w:szCs w:val="24"/>
        </w:rPr>
        <w:t>湫水河：黄河一级支流，发源于兴县白龙山西麓大坪头，海拔2264m，流经兴县、临县，于临县碛口古镇汇入黄河，干流长1221km，在兴县境内26km，流域面积 1989km</w:t>
      </w:r>
      <w:r>
        <w:rPr>
          <w:rFonts w:hint="eastAsia" w:ascii="Times New Roman" w:hAnsi="Times New Roman"/>
          <w:szCs w:val="24"/>
          <w:vertAlign w:val="superscript"/>
        </w:rPr>
        <w:t>2</w:t>
      </w:r>
      <w:r>
        <w:rPr>
          <w:rFonts w:hint="eastAsia" w:ascii="Times New Roman" w:hAnsi="Times New Roman"/>
          <w:szCs w:val="24"/>
        </w:rPr>
        <w:t>，在兴县境内246km</w:t>
      </w:r>
      <w:r>
        <w:rPr>
          <w:rFonts w:hint="eastAsia" w:ascii="Times New Roman" w:hAnsi="Times New Roman"/>
          <w:szCs w:val="24"/>
          <w:vertAlign w:val="superscript"/>
        </w:rPr>
        <w:t>2</w:t>
      </w:r>
      <w:r>
        <w:rPr>
          <w:rFonts w:hint="eastAsia" w:ascii="Times New Roman" w:hAnsi="Times New Roman"/>
          <w:szCs w:val="24"/>
        </w:rPr>
        <w:t>，干流主河道平均坡度6.5%。</w:t>
      </w:r>
    </w:p>
    <w:p>
      <w:pPr>
        <w:ind w:firstLine="480"/>
        <w:rPr>
          <w:rFonts w:ascii="Times New Roman" w:hAnsi="Times New Roman"/>
          <w:szCs w:val="24"/>
        </w:rPr>
      </w:pPr>
      <w:r>
        <w:rPr>
          <w:rFonts w:hint="eastAsia" w:ascii="Times New Roman" w:hAnsi="Times New Roman"/>
          <w:szCs w:val="24"/>
        </w:rPr>
        <w:t>评价区内较大的沟谷有赵家坪沟、罗峪口沟，除此之外，无大的河流。</w:t>
      </w:r>
    </w:p>
    <w:p>
      <w:pPr>
        <w:ind w:firstLine="480"/>
        <w:rPr>
          <w:rFonts w:ascii="Times New Roman" w:hAnsi="Times New Roman"/>
          <w:szCs w:val="24"/>
        </w:rPr>
      </w:pPr>
      <w:r>
        <w:rPr>
          <w:rFonts w:hint="eastAsia" w:ascii="Times New Roman" w:hAnsi="Times New Roman"/>
          <w:szCs w:val="24"/>
        </w:rPr>
        <w:t>赵家坪沟：黄河一级支流，发源于孟家坪乡白家焉村，流经孟家坪乡、赵家坪乡、罗峪口镇，全长23km，流域面积161km</w:t>
      </w:r>
      <w:r>
        <w:rPr>
          <w:rFonts w:hint="eastAsia" w:ascii="Times New Roman" w:hAnsi="Times New Roman"/>
          <w:szCs w:val="24"/>
          <w:vertAlign w:val="superscript"/>
        </w:rPr>
        <w:t>2</w:t>
      </w:r>
      <w:r>
        <w:rPr>
          <w:rFonts w:hint="eastAsia" w:ascii="Times New Roman" w:hAnsi="Times New Roman"/>
          <w:szCs w:val="24"/>
        </w:rPr>
        <w:t>，主沟常年流水，其支沟多具季节性，局部有小溪流，夏季暴雨过后溪流流量增大，局部有短时间的洪水。</w:t>
      </w:r>
    </w:p>
    <w:p>
      <w:pPr>
        <w:ind w:firstLine="480"/>
        <w:rPr>
          <w:rFonts w:ascii="Times New Roman" w:hAnsi="Times New Roman"/>
          <w:szCs w:val="24"/>
        </w:rPr>
      </w:pPr>
      <w:r>
        <w:rPr>
          <w:rFonts w:hint="eastAsia" w:ascii="Times New Roman" w:hAnsi="Times New Roman"/>
          <w:szCs w:val="24"/>
        </w:rPr>
        <w:t>罗峪口沟：黄河一级支流，发源于贺家会乡岔上村，流经贺家会乡、孟家坪乡、罗峪口镇，全长35km，流域面积237.15km</w:t>
      </w:r>
      <w:r>
        <w:rPr>
          <w:rFonts w:hint="eastAsia" w:ascii="Times New Roman" w:hAnsi="Times New Roman"/>
          <w:szCs w:val="24"/>
          <w:vertAlign w:val="superscript"/>
        </w:rPr>
        <w:t>2</w:t>
      </w:r>
      <w:r>
        <w:rPr>
          <w:rFonts w:hint="eastAsia" w:ascii="Times New Roman" w:hAnsi="Times New Roman"/>
          <w:szCs w:val="24"/>
        </w:rPr>
        <w:t>，主沟常年流水，其支沟多具季节性。先导试验区及周边地表水系见图4.1-1。</w:t>
      </w:r>
    </w:p>
    <w:p>
      <w:pPr>
        <w:spacing w:line="240" w:lineRule="auto"/>
        <w:ind w:firstLine="0" w:firstLineChars="0"/>
        <w:jc w:val="center"/>
        <w:rPr>
          <w:rFonts w:ascii="Times New Roman" w:hAnsi="Times New Roman"/>
          <w:szCs w:val="24"/>
        </w:rPr>
      </w:pPr>
      <w:r>
        <w:rPr>
          <w:rFonts w:hint="eastAsia"/>
        </w:rPr>
        <w:drawing>
          <wp:inline distT="0" distB="0" distL="0" distR="0">
            <wp:extent cx="5181600" cy="4933950"/>
            <wp:effectExtent l="0" t="0" r="0" b="0"/>
            <wp:docPr id="14" name="图片 14" descr="河流水系图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河流水系图新"/>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181600" cy="4933950"/>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图4.1-1 先导试验区及周边地表水系</w:t>
      </w:r>
    </w:p>
    <w:p>
      <w:pPr>
        <w:ind w:firstLine="0" w:firstLineChars="0"/>
        <w:outlineLvl w:val="2"/>
        <w:rPr>
          <w:rFonts w:ascii="Times New Roman" w:hAnsi="Times New Roman"/>
          <w:b/>
          <w:sz w:val="28"/>
          <w:szCs w:val="28"/>
        </w:rPr>
      </w:pPr>
      <w:bookmarkStart w:id="64" w:name="_Toc524624596"/>
      <w:r>
        <w:rPr>
          <w:rFonts w:hint="eastAsia" w:ascii="Times New Roman" w:hAnsi="Times New Roman"/>
          <w:b/>
          <w:sz w:val="28"/>
          <w:szCs w:val="28"/>
        </w:rPr>
        <w:t>4.1.5 区域地质环境条件</w:t>
      </w:r>
      <w:bookmarkEnd w:id="64"/>
    </w:p>
    <w:p>
      <w:pPr>
        <w:ind w:firstLine="0" w:firstLineChars="0"/>
        <w:outlineLvl w:val="3"/>
        <w:rPr>
          <w:rFonts w:ascii="Times New Roman" w:hAnsi="Times New Roman"/>
          <w:b/>
          <w:szCs w:val="24"/>
        </w:rPr>
      </w:pPr>
      <w:r>
        <w:rPr>
          <w:rFonts w:hint="eastAsia" w:ascii="Times New Roman" w:hAnsi="Times New Roman"/>
          <w:b/>
          <w:szCs w:val="24"/>
        </w:rPr>
        <w:t>4.1.5.1 评价区地质条件</w:t>
      </w:r>
    </w:p>
    <w:p>
      <w:pPr>
        <w:ind w:firstLine="480"/>
        <w:rPr>
          <w:rFonts w:ascii="Times New Roman" w:hAnsi="Times New Roman"/>
          <w:szCs w:val="24"/>
        </w:rPr>
      </w:pPr>
      <w:r>
        <w:rPr>
          <w:rFonts w:ascii="Times New Roman" w:hAnsi="Times New Roman"/>
          <w:szCs w:val="24"/>
        </w:rPr>
        <w:t>（1）地层岩性</w:t>
      </w:r>
    </w:p>
    <w:p>
      <w:pPr>
        <w:ind w:firstLine="480"/>
        <w:rPr>
          <w:rFonts w:ascii="Times New Roman" w:hAnsi="Times New Roman"/>
        </w:rPr>
      </w:pPr>
      <w:r>
        <w:rPr>
          <w:rFonts w:ascii="Times New Roman" w:hAnsi="Times New Roman"/>
        </w:rPr>
        <w:t>项目区广泛出露第三系、第四系中、上更新统以及全新统地层。仅在沟壑中出露三叠系地层。</w:t>
      </w:r>
    </w:p>
    <w:p>
      <w:pPr>
        <w:ind w:firstLine="480"/>
        <w:rPr>
          <w:rFonts w:ascii="Times New Roman" w:hAnsi="Times New Roman"/>
        </w:rPr>
      </w:pPr>
      <w:r>
        <w:rPr>
          <w:rFonts w:ascii="Times New Roman" w:hAnsi="Times New Roman"/>
        </w:rPr>
        <w:t>项目区出露的地层由老至新依次有：中生界三叠系中统二马营组（T</w:t>
      </w:r>
      <w:r>
        <w:rPr>
          <w:rFonts w:ascii="Times New Roman" w:hAnsi="Times New Roman"/>
          <w:vertAlign w:val="subscript"/>
        </w:rPr>
        <w:t>2</w:t>
      </w:r>
      <w:r>
        <w:rPr>
          <w:rFonts w:ascii="Times New Roman" w:hAnsi="Times New Roman"/>
        </w:rPr>
        <w:t>er）、铜川组（T</w:t>
      </w:r>
      <w:r>
        <w:rPr>
          <w:rFonts w:ascii="Times New Roman" w:hAnsi="Times New Roman"/>
          <w:vertAlign w:val="subscript"/>
        </w:rPr>
        <w:t>2</w:t>
      </w:r>
      <w:r>
        <w:rPr>
          <w:rFonts w:ascii="Times New Roman" w:hAnsi="Times New Roman"/>
        </w:rPr>
        <w:t>t）；新生界第三系上新统（N</w:t>
      </w:r>
      <w:r>
        <w:rPr>
          <w:rFonts w:ascii="Times New Roman" w:hAnsi="Times New Roman"/>
          <w:vertAlign w:val="subscript"/>
        </w:rPr>
        <w:t>2</w:t>
      </w:r>
      <w:r>
        <w:rPr>
          <w:rFonts w:ascii="Times New Roman" w:hAnsi="Times New Roman"/>
        </w:rPr>
        <w:t>），第四系中更新统（Q</w:t>
      </w:r>
      <w:r>
        <w:rPr>
          <w:rFonts w:ascii="Times New Roman" w:hAnsi="Times New Roman"/>
          <w:vertAlign w:val="subscript"/>
        </w:rPr>
        <w:t>2</w:t>
      </w:r>
      <w:r>
        <w:rPr>
          <w:rFonts w:ascii="Times New Roman" w:hAnsi="Times New Roman"/>
        </w:rPr>
        <w:t>）、第四系上更新统（Q</w:t>
      </w:r>
      <w:r>
        <w:rPr>
          <w:rFonts w:ascii="Times New Roman" w:hAnsi="Times New Roman"/>
          <w:vertAlign w:val="subscript"/>
        </w:rPr>
        <w:t>3</w:t>
      </w:r>
      <w:r>
        <w:rPr>
          <w:rFonts w:ascii="Times New Roman" w:hAnsi="Times New Roman"/>
        </w:rPr>
        <w:t>）、第四系全新统（Q</w:t>
      </w:r>
      <w:r>
        <w:rPr>
          <w:rFonts w:ascii="Times New Roman" w:hAnsi="Times New Roman"/>
          <w:vertAlign w:val="subscript"/>
        </w:rPr>
        <w:t>4</w:t>
      </w:r>
      <w:r>
        <w:rPr>
          <w:rFonts w:ascii="Times New Roman" w:hAnsi="Times New Roman"/>
        </w:rPr>
        <w:t>）。分述如下：</w:t>
      </w:r>
    </w:p>
    <w:p>
      <w:pPr>
        <w:ind w:firstLine="480"/>
        <w:rPr>
          <w:rFonts w:ascii="Times New Roman" w:hAnsi="Times New Roman"/>
        </w:rPr>
      </w:pPr>
      <w:r>
        <w:rPr>
          <w:rFonts w:hint="eastAsia" w:ascii="Times New Roman" w:hAnsi="Times New Roman"/>
        </w:rPr>
        <w:t>①</w:t>
      </w:r>
      <w:r>
        <w:rPr>
          <w:rFonts w:ascii="Times New Roman" w:hAnsi="Times New Roman"/>
        </w:rPr>
        <w:t>中生界三叠系中统二马营组（T</w:t>
      </w:r>
      <w:r>
        <w:rPr>
          <w:rFonts w:ascii="Times New Roman" w:hAnsi="Times New Roman"/>
          <w:vertAlign w:val="subscript"/>
        </w:rPr>
        <w:t>2</w:t>
      </w:r>
      <w:r>
        <w:rPr>
          <w:rFonts w:ascii="Times New Roman" w:hAnsi="Times New Roman"/>
        </w:rPr>
        <w:t>er）</w:t>
      </w:r>
    </w:p>
    <w:p>
      <w:pPr>
        <w:ind w:firstLine="480"/>
        <w:rPr>
          <w:rFonts w:ascii="Times New Roman" w:hAnsi="Times New Roman"/>
        </w:rPr>
      </w:pPr>
      <w:r>
        <w:rPr>
          <w:rFonts w:ascii="Times New Roman" w:hAnsi="Times New Roman"/>
        </w:rPr>
        <w:t>主要分布在沟谷中下游地区，岩性由灰绿、黄绿、灰白色长石砂岩与紫红、暗紫红色砂质泥岩组成一个下粗上细完整的沉积旋回。厚度约220m。</w:t>
      </w:r>
    </w:p>
    <w:p>
      <w:pPr>
        <w:ind w:firstLine="480"/>
        <w:rPr>
          <w:rFonts w:ascii="Times New Roman" w:hAnsi="Times New Roman"/>
        </w:rPr>
      </w:pPr>
      <w:r>
        <w:rPr>
          <w:rFonts w:hint="eastAsia" w:ascii="Times New Roman" w:hAnsi="Times New Roman"/>
        </w:rPr>
        <w:t>②</w:t>
      </w:r>
      <w:r>
        <w:rPr>
          <w:rFonts w:ascii="Times New Roman" w:hAnsi="Times New Roman"/>
        </w:rPr>
        <w:t>中生界三叠系中统铜川组（T</w:t>
      </w:r>
      <w:r>
        <w:rPr>
          <w:rFonts w:ascii="Times New Roman" w:hAnsi="Times New Roman"/>
          <w:vertAlign w:val="subscript"/>
        </w:rPr>
        <w:t>2</w:t>
      </w:r>
      <w:r>
        <w:rPr>
          <w:rFonts w:ascii="Times New Roman" w:hAnsi="Times New Roman"/>
        </w:rPr>
        <w:t>t）</w:t>
      </w:r>
    </w:p>
    <w:p>
      <w:pPr>
        <w:ind w:firstLine="480"/>
        <w:rPr>
          <w:rFonts w:ascii="Times New Roman" w:hAnsi="Times New Roman"/>
        </w:rPr>
      </w:pPr>
      <w:r>
        <w:rPr>
          <w:rFonts w:ascii="Times New Roman" w:hAnsi="Times New Roman"/>
        </w:rPr>
        <w:t>主要分布在沟头，岩性由灰绿、灰黄、灰红色砂质泥岩和页岩，夹灰黄、灰红、灰绿色中厚层中细粒长石砂岩、页岩互层组成。厚度约430m。</w:t>
      </w:r>
    </w:p>
    <w:p>
      <w:pPr>
        <w:ind w:firstLine="480"/>
        <w:rPr>
          <w:rFonts w:ascii="Times New Roman" w:hAnsi="Times New Roman"/>
        </w:rPr>
      </w:pPr>
      <w:r>
        <w:rPr>
          <w:rFonts w:hint="eastAsia" w:ascii="Times New Roman" w:hAnsi="Times New Roman"/>
        </w:rPr>
        <w:t>③</w:t>
      </w:r>
      <w:r>
        <w:rPr>
          <w:rFonts w:ascii="Times New Roman" w:hAnsi="Times New Roman"/>
        </w:rPr>
        <w:t>新生界第三系上新统（N</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Times New Roman" w:hAnsi="Times New Roman"/>
        </w:rPr>
        <w:t>主要分布在沟头与黄土塬交汇地区，角度不整合于下伏基岩地层之上，</w:t>
      </w:r>
      <w:r>
        <w:rPr>
          <w:rFonts w:ascii="Times New Roman" w:hAnsi="Times New Roman"/>
          <w:bCs/>
        </w:rPr>
        <w:t>平均厚为32.73m。岩性以紫红色、棕红色粘土及亚粘土为主，夹砂砾石层及钙质结核层，岩石呈半胶结状，砾石大多有较好的磨圆度，分选性较差。</w:t>
      </w:r>
    </w:p>
    <w:p>
      <w:pPr>
        <w:ind w:firstLine="480"/>
        <w:rPr>
          <w:rFonts w:ascii="Times New Roman" w:hAnsi="Times New Roman"/>
        </w:rPr>
      </w:pPr>
      <w:r>
        <w:rPr>
          <w:rFonts w:hint="eastAsia" w:ascii="Times New Roman" w:hAnsi="Times New Roman"/>
        </w:rPr>
        <w:t>④</w:t>
      </w:r>
      <w:r>
        <w:rPr>
          <w:rFonts w:ascii="Times New Roman" w:hAnsi="Times New Roman"/>
        </w:rPr>
        <w:t>新生界第四系中更新统（Q</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Times New Roman" w:hAnsi="Times New Roman"/>
        </w:rPr>
        <w:t>主要分布在黄土梁、峁边缘及沟谷两侧，角度不整合于新近系上新统保德组之上。岩性主</w:t>
      </w:r>
      <w:r>
        <w:rPr>
          <w:rFonts w:ascii="Times New Roman" w:hAnsi="Times New Roman"/>
          <w:bCs/>
        </w:rPr>
        <w:t>要由浅红、黄灰色砂质粘土、亚粘土、亚砂土组成，底部常含有一层砂砾石层，地层平均厚27.28m。</w:t>
      </w:r>
    </w:p>
    <w:p>
      <w:pPr>
        <w:ind w:firstLine="480"/>
        <w:rPr>
          <w:rFonts w:ascii="Times New Roman" w:hAnsi="Times New Roman"/>
        </w:rPr>
      </w:pPr>
      <w:r>
        <w:rPr>
          <w:rFonts w:hint="eastAsia" w:ascii="Times New Roman" w:hAnsi="Times New Roman"/>
        </w:rPr>
        <w:t>⑤</w:t>
      </w:r>
      <w:r>
        <w:rPr>
          <w:rFonts w:ascii="Times New Roman" w:hAnsi="Times New Roman"/>
        </w:rPr>
        <w:t>新生界第四系上更新统（Q</w:t>
      </w:r>
      <w:r>
        <w:rPr>
          <w:rFonts w:ascii="Times New Roman" w:hAnsi="Times New Roman"/>
          <w:vertAlign w:val="subscript"/>
        </w:rPr>
        <w:t>3</w:t>
      </w:r>
      <w:r>
        <w:rPr>
          <w:rFonts w:ascii="Times New Roman" w:hAnsi="Times New Roman"/>
        </w:rPr>
        <w:t>）</w:t>
      </w:r>
    </w:p>
    <w:p>
      <w:pPr>
        <w:ind w:firstLine="480"/>
        <w:rPr>
          <w:rFonts w:ascii="Times New Roman" w:hAnsi="Times New Roman"/>
        </w:rPr>
      </w:pPr>
      <w:r>
        <w:rPr>
          <w:rFonts w:ascii="Times New Roman" w:hAnsi="Times New Roman"/>
          <w:bCs/>
        </w:rPr>
        <w:t>广泛分布于黄土梁、峁、垣顶部、河流三级阶地上部和河流二级阶地，厚度约40m。岩性由浅灰黄、浅黄、棕黄色砂质粘土、粉砂土、亚粘土组成，底部常含有一层砂砾石层，颗粒均匀，结构疏松，无层理，具大孔隙，垂直节理发育，常形成陡壁。</w:t>
      </w:r>
    </w:p>
    <w:p>
      <w:pPr>
        <w:ind w:firstLine="480"/>
        <w:rPr>
          <w:rFonts w:ascii="Times New Roman" w:hAnsi="Times New Roman"/>
        </w:rPr>
      </w:pPr>
      <w:r>
        <w:rPr>
          <w:rFonts w:hint="eastAsia" w:ascii="Times New Roman" w:hAnsi="Times New Roman"/>
        </w:rPr>
        <w:t>⑥</w:t>
      </w:r>
      <w:r>
        <w:rPr>
          <w:rFonts w:ascii="Times New Roman" w:hAnsi="Times New Roman"/>
        </w:rPr>
        <w:t>新生界第四系全新统（Q</w:t>
      </w:r>
      <w:r>
        <w:rPr>
          <w:rFonts w:ascii="Times New Roman" w:hAnsi="Times New Roman"/>
          <w:vertAlign w:val="subscript"/>
        </w:rPr>
        <w:t>4</w:t>
      </w:r>
      <w:r>
        <w:rPr>
          <w:rFonts w:ascii="Times New Roman" w:hAnsi="Times New Roman"/>
        </w:rPr>
        <w:t>）</w:t>
      </w:r>
    </w:p>
    <w:p>
      <w:pPr>
        <w:ind w:firstLine="480"/>
        <w:rPr>
          <w:rFonts w:ascii="Times New Roman" w:hAnsi="Times New Roman"/>
        </w:rPr>
      </w:pPr>
      <w:r>
        <w:rPr>
          <w:rFonts w:ascii="Times New Roman" w:hAnsi="Times New Roman"/>
        </w:rPr>
        <w:t>主要分布在谷底，</w:t>
      </w:r>
      <w:r>
        <w:rPr>
          <w:rFonts w:ascii="Times New Roman" w:hAnsi="Times New Roman"/>
          <w:bCs/>
        </w:rPr>
        <w:t>为近代河流冲积、洪积层，</w:t>
      </w:r>
      <w:r>
        <w:rPr>
          <w:rFonts w:ascii="Times New Roman" w:hAnsi="Times New Roman"/>
        </w:rPr>
        <w:t>厚度约0～5m，</w:t>
      </w:r>
      <w:r>
        <w:rPr>
          <w:rFonts w:ascii="Times New Roman" w:hAnsi="Times New Roman"/>
          <w:bCs/>
        </w:rPr>
        <w:t>由不同时代的砂、砾、泥质岩碎屑等组成，</w:t>
      </w:r>
      <w:r>
        <w:rPr>
          <w:rFonts w:ascii="Times New Roman" w:hAnsi="Times New Roman"/>
        </w:rPr>
        <w:t>角度不整合于下伏地层之上。</w:t>
      </w:r>
    </w:p>
    <w:p>
      <w:pPr>
        <w:ind w:firstLine="480"/>
        <w:rPr>
          <w:rFonts w:ascii="Times New Roman" w:hAnsi="Times New Roman"/>
        </w:rPr>
      </w:pPr>
      <w:r>
        <w:rPr>
          <w:rFonts w:ascii="Times New Roman" w:hAnsi="Times New Roman"/>
        </w:rPr>
        <w:t>评价区地质图见图</w:t>
      </w:r>
      <w:r>
        <w:rPr>
          <w:rFonts w:hint="eastAsia" w:ascii="Times New Roman" w:hAnsi="Times New Roman"/>
        </w:rPr>
        <w:t>4.1-2</w:t>
      </w:r>
      <w:r>
        <w:rPr>
          <w:rFonts w:ascii="Times New Roman" w:hAnsi="Times New Roman"/>
        </w:rPr>
        <w:t>，评价区地质剖面图见图</w:t>
      </w:r>
      <w:r>
        <w:rPr>
          <w:rFonts w:hint="eastAsia" w:ascii="Times New Roman" w:hAnsi="Times New Roman"/>
        </w:rPr>
        <w:t>4.1-3</w:t>
      </w:r>
      <w:r>
        <w:rPr>
          <w:rFonts w:ascii="Times New Roman" w:hAnsi="Times New Roman"/>
        </w:rPr>
        <w:t>。</w:t>
      </w:r>
    </w:p>
    <w:p>
      <w:pPr>
        <w:spacing w:line="240" w:lineRule="auto"/>
        <w:ind w:firstLine="0" w:firstLineChars="0"/>
        <w:jc w:val="center"/>
        <w:rPr>
          <w:rFonts w:ascii="Times New Roman" w:hAnsi="Times New Roman"/>
          <w:szCs w:val="24"/>
        </w:rPr>
      </w:pPr>
      <w:r>
        <w:rPr>
          <w:rFonts w:hint="eastAsia"/>
        </w:rPr>
        <w:drawing>
          <wp:inline distT="0" distB="0" distL="0" distR="0">
            <wp:extent cx="4681220" cy="4457700"/>
            <wp:effectExtent l="0" t="0" r="5080" b="0"/>
            <wp:docPr id="10" name="图片 10" descr="研究区地质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研究区地质图（修改）"/>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689256" cy="4464811"/>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ascii="Times New Roman" w:hAnsi="Times New Roman"/>
          <w:b/>
          <w:sz w:val="21"/>
        </w:rPr>
        <w:t>图</w:t>
      </w:r>
      <w:r>
        <w:rPr>
          <w:rFonts w:hint="eastAsia" w:ascii="Times New Roman" w:hAnsi="Times New Roman"/>
          <w:b/>
          <w:sz w:val="21"/>
        </w:rPr>
        <w:t xml:space="preserve">4.1-2 </w:t>
      </w:r>
      <w:r>
        <w:rPr>
          <w:rFonts w:ascii="Times New Roman" w:hAnsi="Times New Roman"/>
          <w:b/>
          <w:sz w:val="21"/>
        </w:rPr>
        <w:t>评价区地质图</w:t>
      </w:r>
    </w:p>
    <w:p>
      <w:pPr>
        <w:spacing w:line="240" w:lineRule="auto"/>
        <w:ind w:firstLine="0" w:firstLineChars="0"/>
        <w:jc w:val="center"/>
        <w:rPr>
          <w:rFonts w:ascii="Times New Roman" w:hAnsi="Times New Roman"/>
          <w:b/>
          <w:sz w:val="21"/>
        </w:rPr>
      </w:pPr>
      <w:r>
        <w:rPr>
          <w:rFonts w:hint="eastAsia"/>
        </w:rPr>
        <w:drawing>
          <wp:inline distT="0" distB="0" distL="0" distR="0">
            <wp:extent cx="4381500" cy="3549650"/>
            <wp:effectExtent l="0" t="0" r="0" b="0"/>
            <wp:docPr id="16" name="图片 16" descr="地质剖面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地质剖面图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395232" cy="3561265"/>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ascii="Times New Roman" w:hAnsi="Times New Roman"/>
          <w:b/>
          <w:sz w:val="21"/>
        </w:rPr>
        <w:t>图</w:t>
      </w:r>
      <w:r>
        <w:rPr>
          <w:rFonts w:hint="eastAsia" w:ascii="Times New Roman" w:hAnsi="Times New Roman"/>
          <w:b/>
          <w:sz w:val="21"/>
        </w:rPr>
        <w:t xml:space="preserve">4.1-3 </w:t>
      </w:r>
      <w:r>
        <w:rPr>
          <w:rFonts w:ascii="Times New Roman" w:hAnsi="Times New Roman"/>
          <w:b/>
          <w:sz w:val="21"/>
        </w:rPr>
        <w:t>评价区地质剖面图</w:t>
      </w:r>
    </w:p>
    <w:p>
      <w:pPr>
        <w:ind w:firstLine="480"/>
        <w:rPr>
          <w:rFonts w:ascii="Times New Roman" w:hAnsi="Times New Roman"/>
          <w:szCs w:val="24"/>
        </w:rPr>
      </w:pPr>
      <w:r>
        <w:rPr>
          <w:rFonts w:hint="eastAsia" w:ascii="Times New Roman" w:hAnsi="Times New Roman"/>
          <w:szCs w:val="24"/>
        </w:rPr>
        <w:t>（2）地质构造</w:t>
      </w:r>
    </w:p>
    <w:p>
      <w:pPr>
        <w:ind w:firstLine="480"/>
        <w:rPr>
          <w:rFonts w:ascii="Times New Roman" w:hAnsi="Times New Roman"/>
          <w:szCs w:val="24"/>
        </w:rPr>
      </w:pPr>
      <w:r>
        <w:rPr>
          <w:rFonts w:hint="eastAsia" w:ascii="Times New Roman" w:hAnsi="Times New Roman"/>
          <w:szCs w:val="24"/>
        </w:rPr>
        <w:t>评价区位于晋西挠褶带西北缘，属平缓褶皱区。整体呈向西倾斜的单斜构造，倾角不到1°。</w:t>
      </w:r>
    </w:p>
    <w:p>
      <w:pPr>
        <w:ind w:firstLine="480"/>
        <w:rPr>
          <w:rFonts w:ascii="Times New Roman" w:hAnsi="Times New Roman"/>
          <w:szCs w:val="24"/>
        </w:rPr>
      </w:pPr>
      <w:r>
        <w:rPr>
          <w:rFonts w:hint="eastAsia" w:ascii="Times New Roman" w:hAnsi="Times New Roman"/>
          <w:szCs w:val="24"/>
        </w:rPr>
        <w:t>评价区范围纵向上发育深层和浅层两套断裂系统，深层断层主要发育在奥陶系地层中，断层断距较小，约30m左右，未断穿整个奥陶系；浅层断层主要发育在石炭、二叠系中的层间断层，均不断穿二叠系，平面延伸距离短。受压扭应力的作用，评价区断层以平移断层为主。</w:t>
      </w:r>
    </w:p>
    <w:p>
      <w:pPr>
        <w:ind w:firstLine="480"/>
        <w:rPr>
          <w:rFonts w:ascii="Times New Roman" w:hAnsi="Times New Roman"/>
          <w:szCs w:val="24"/>
        </w:rPr>
      </w:pPr>
      <w:r>
        <w:rPr>
          <w:rFonts w:hint="eastAsia" w:ascii="Times New Roman" w:hAnsi="Times New Roman"/>
          <w:szCs w:val="24"/>
        </w:rPr>
        <w:t>临兴先导试验区位于小湾子构造上，小湾子构造为北西向长轴背斜，先导试验区内主要发育3条小断层，以北西向、南北向倾角近90°的平移断层为主。</w:t>
      </w:r>
    </w:p>
    <w:p>
      <w:pPr>
        <w:ind w:firstLine="480"/>
        <w:rPr>
          <w:rFonts w:ascii="Times New Roman" w:hAnsi="Times New Roman"/>
          <w:szCs w:val="24"/>
        </w:rPr>
      </w:pPr>
      <w:r>
        <w:rPr>
          <w:rFonts w:hint="eastAsia" w:ascii="Times New Roman" w:hAnsi="Times New Roman"/>
          <w:szCs w:val="24"/>
        </w:rPr>
        <w:t>从褶皱及断层的分布情况来看，评价区地质构造条件有利于煤成气的保存，由于断层不发育，减少了各含水层之间的连通，一定程度上能降低煤成气开采对地下水环境的影响。</w:t>
      </w:r>
    </w:p>
    <w:p>
      <w:pPr>
        <w:ind w:firstLine="0" w:firstLineChars="0"/>
        <w:outlineLvl w:val="3"/>
        <w:rPr>
          <w:rFonts w:ascii="Times New Roman" w:hAnsi="Times New Roman"/>
          <w:szCs w:val="24"/>
        </w:rPr>
      </w:pPr>
      <w:r>
        <w:rPr>
          <w:rFonts w:hint="eastAsia" w:ascii="Times New Roman" w:hAnsi="Times New Roman"/>
          <w:b/>
          <w:szCs w:val="24"/>
        </w:rPr>
        <w:t>4.1.5.2 评价区水文地质条件</w:t>
      </w:r>
    </w:p>
    <w:p>
      <w:pPr>
        <w:ind w:firstLine="480"/>
        <w:rPr>
          <w:rFonts w:ascii="Times New Roman" w:hAnsi="Times New Roman"/>
          <w:szCs w:val="24"/>
        </w:rPr>
      </w:pPr>
      <w:r>
        <w:rPr>
          <w:rFonts w:hint="eastAsia"/>
        </w:rPr>
        <w:t>评价区属于典型黄土塬梁丘陵区，其成因主要受燕山运动以及新构造运动的影响。受地形控制，地表水流向大体由东南向西北，最终汇入黄河。评价区水流切割强烈，切割深度可至三叠系地层，平面上地形呈“树枝状”展布。地下水以浅层松散孔隙、孔隙裂隙含水层为主，富水性较弱，受季节影响明显，径流途径短，多以泉的形式流向沟谷，地表水与地下水水力联系密切。</w:t>
      </w:r>
    </w:p>
    <w:p>
      <w:pPr>
        <w:ind w:firstLine="480"/>
        <w:rPr>
          <w:rFonts w:ascii="Times New Roman" w:hAnsi="Times New Roman"/>
          <w:szCs w:val="24"/>
        </w:rPr>
      </w:pPr>
      <w:r>
        <w:rPr>
          <w:rFonts w:hint="eastAsia" w:ascii="Times New Roman" w:hAnsi="Times New Roman"/>
          <w:szCs w:val="24"/>
        </w:rPr>
        <w:t>（1）含水层</w:t>
      </w:r>
    </w:p>
    <w:p>
      <w:pPr>
        <w:ind w:firstLine="480"/>
        <w:rPr>
          <w:rFonts w:ascii="Times New Roman" w:hAnsi="Times New Roman"/>
        </w:rPr>
      </w:pPr>
      <w:r>
        <w:rPr>
          <w:rFonts w:ascii="Times New Roman" w:hAnsi="Times New Roman"/>
        </w:rPr>
        <w:t>评价区内地下水类型主要为碳酸盐岩类岩溶水，碎屑岩类裂隙水，松散岩类孔隙水三种类型。现分述如下：</w:t>
      </w:r>
    </w:p>
    <w:p>
      <w:pPr>
        <w:ind w:left="480" w:firstLine="0" w:firstLineChars="0"/>
        <w:rPr>
          <w:rFonts w:ascii="Times New Roman" w:hAnsi="Times New Roman"/>
        </w:rPr>
      </w:pPr>
      <w:r>
        <w:rPr>
          <w:rFonts w:hint="eastAsia" w:ascii="Times New Roman" w:hAnsi="Times New Roman"/>
        </w:rPr>
        <w:t>①</w:t>
      </w:r>
      <w:r>
        <w:rPr>
          <w:rFonts w:ascii="Times New Roman" w:hAnsi="Times New Roman"/>
        </w:rPr>
        <w:t>碳酸盐岩类岩溶水</w:t>
      </w:r>
    </w:p>
    <w:p>
      <w:pPr>
        <w:ind w:firstLine="480"/>
        <w:rPr>
          <w:rFonts w:ascii="Times New Roman" w:hAnsi="Times New Roman"/>
        </w:rPr>
      </w:pPr>
      <w:r>
        <w:rPr>
          <w:rFonts w:ascii="Times New Roman" w:hAnsi="Times New Roman"/>
        </w:rPr>
        <w:t>评价区不在山西省泉域保护区范围内，区内岩溶含水层埋藏较深，位于地下2000m以下，径流缓慢，大体流向自东向西，主要接受含水层侧向径流补给，顺地层走向移动。</w:t>
      </w:r>
    </w:p>
    <w:p>
      <w:pPr>
        <w:ind w:firstLine="480"/>
        <w:rPr>
          <w:rFonts w:ascii="Times New Roman" w:hAnsi="Times New Roman"/>
        </w:rPr>
      </w:pPr>
      <w:r>
        <w:rPr>
          <w:rFonts w:hint="eastAsia" w:ascii="Times New Roman" w:hAnsi="Times New Roman"/>
        </w:rPr>
        <w:t>②</w:t>
      </w:r>
      <w:r>
        <w:rPr>
          <w:rFonts w:ascii="Times New Roman" w:hAnsi="Times New Roman"/>
        </w:rPr>
        <w:t>碎屑岩类裂隙水</w:t>
      </w:r>
    </w:p>
    <w:p>
      <w:pPr>
        <w:ind w:firstLine="480"/>
        <w:rPr>
          <w:rFonts w:ascii="Times New Roman" w:hAnsi="Times New Roman"/>
        </w:rPr>
      </w:pPr>
      <w:r>
        <w:rPr>
          <w:rFonts w:ascii="Times New Roman" w:hAnsi="Times New Roman"/>
        </w:rPr>
        <w:t>碎屑岩类裂隙水可分为表层风化裂隙水以及深层构造裂隙水。表层风化裂隙水埋藏较浅，主要接受大气降水、地表水以及松散含水层入渗补给，水量受季节变化影响较为明显，富水性弱，多以泉的形式向沟谷排泄，是中西部许多山梁顶上村庄人畜饮用水源，涌水量约10m</w:t>
      </w:r>
      <w:r>
        <w:rPr>
          <w:rFonts w:ascii="Times New Roman" w:hAnsi="Times New Roman"/>
          <w:vertAlign w:val="superscript"/>
        </w:rPr>
        <w:t>3</w:t>
      </w:r>
      <w:r>
        <w:rPr>
          <w:rFonts w:ascii="Times New Roman" w:hAnsi="Times New Roman"/>
        </w:rPr>
        <w:t>/d；深层构造裂隙水主要分布在石炭系底部、二叠系中部以及下石盒子组底部、三叠系和尚沟组底部砂岩地层中，富水性弱，地下水动态变化不明显。据LX-SY1抽水试验资料，三叠系中上统砂岩裂隙含水层单位涌水量约0.0665L/s·m，渗透系数约1.31m/d，水位埋深20.4m，流向大体由东南向西北流动。</w:t>
      </w:r>
    </w:p>
    <w:p>
      <w:pPr>
        <w:ind w:firstLine="480"/>
        <w:rPr>
          <w:rFonts w:ascii="Times New Roman" w:hAnsi="Times New Roman"/>
        </w:rPr>
      </w:pPr>
      <w:r>
        <w:rPr>
          <w:rFonts w:hint="eastAsia" w:ascii="Times New Roman" w:hAnsi="Times New Roman"/>
        </w:rPr>
        <w:t>③</w:t>
      </w:r>
      <w:r>
        <w:rPr>
          <w:rFonts w:ascii="Times New Roman" w:hAnsi="Times New Roman"/>
        </w:rPr>
        <w:t>松散岩类孔隙水</w:t>
      </w:r>
    </w:p>
    <w:p>
      <w:pPr>
        <w:ind w:firstLine="480"/>
        <w:rPr>
          <w:rFonts w:ascii="Times New Roman" w:hAnsi="Times New Roman"/>
        </w:rPr>
      </w:pPr>
      <w:r>
        <w:rPr>
          <w:rFonts w:ascii="Times New Roman" w:hAnsi="Times New Roman"/>
        </w:rPr>
        <w:t>第四系中、上更新统孔隙潜水含水层广泛分布在评价区内，岩性以中、上更新统黄土及黄土状亚砂土、亚粘土为主，多以披盖式覆于基岩之上，构成典型的黄土塬梁地貌，水量受季节变化影响明显，个别地区以泉的形式排泄至地表。</w:t>
      </w:r>
    </w:p>
    <w:p>
      <w:pPr>
        <w:ind w:firstLine="480"/>
        <w:rPr>
          <w:rFonts w:ascii="Times New Roman" w:hAnsi="Times New Roman"/>
        </w:rPr>
      </w:pPr>
      <w:r>
        <w:rPr>
          <w:rFonts w:ascii="Times New Roman" w:hAnsi="Times New Roman"/>
        </w:rPr>
        <w:t>在沟谷中，主要分布第四系全新统孔隙潜水含水层。该含水层埋深浅，一般在地表以下2～3m，厚度0.5～4m，富水性弱，水位年内变化1～2m。据村民反映，该含水层现状水质较差，硬度大。</w:t>
      </w:r>
    </w:p>
    <w:p>
      <w:pPr>
        <w:ind w:firstLine="480"/>
        <w:rPr>
          <w:rFonts w:ascii="Times New Roman" w:hAnsi="Times New Roman"/>
          <w:szCs w:val="24"/>
        </w:rPr>
      </w:pPr>
      <w:r>
        <w:rPr>
          <w:rFonts w:hint="eastAsia" w:ascii="Times New Roman" w:hAnsi="Times New Roman"/>
          <w:szCs w:val="24"/>
        </w:rPr>
        <w:t>（2）隔水层</w:t>
      </w:r>
    </w:p>
    <w:p>
      <w:pPr>
        <w:ind w:firstLine="480"/>
        <w:rPr>
          <w:rFonts w:ascii="Times New Roman" w:hAnsi="Times New Roman"/>
          <w:szCs w:val="24"/>
        </w:rPr>
      </w:pPr>
      <w:r>
        <w:rPr>
          <w:rFonts w:hint="eastAsia" w:ascii="Times New Roman" w:hAnsi="Times New Roman"/>
          <w:szCs w:val="24"/>
        </w:rPr>
        <w:t>评价区位于兴县西南部地区，地形地貌属于黄土塬、梁地貌，其下部分布有新近系上新统隔水层以及碎屑岩类层间泥岩隔水层等。</w:t>
      </w:r>
    </w:p>
    <w:p>
      <w:pPr>
        <w:ind w:firstLine="480"/>
        <w:rPr>
          <w:rFonts w:ascii="Times New Roman" w:hAnsi="Times New Roman"/>
          <w:szCs w:val="24"/>
        </w:rPr>
      </w:pPr>
      <w:r>
        <w:rPr>
          <w:rFonts w:hint="eastAsia" w:ascii="Times New Roman" w:hAnsi="Times New Roman"/>
          <w:szCs w:val="24"/>
        </w:rPr>
        <w:t>①碎屑岩类层间泥岩隔水层</w:t>
      </w:r>
    </w:p>
    <w:p>
      <w:pPr>
        <w:ind w:firstLine="480"/>
        <w:rPr>
          <w:rFonts w:ascii="Times New Roman" w:hAnsi="Times New Roman"/>
          <w:szCs w:val="24"/>
        </w:rPr>
      </w:pPr>
      <w:r>
        <w:rPr>
          <w:rFonts w:hint="eastAsia" w:ascii="Times New Roman" w:hAnsi="Times New Roman"/>
          <w:szCs w:val="24"/>
        </w:rPr>
        <w:t>该隔水层岩性为泥岩、粉砂质泥岩、铝土质泥岩等，其单层厚度相差悬殊，呈层状分布于各砂岩含水层之间，裂隙不发育，具有较好的隔水性，阻隔或减弱了各基岩含水层之间的水力联系，可视为隔水层。</w:t>
      </w:r>
    </w:p>
    <w:p>
      <w:pPr>
        <w:ind w:firstLine="480"/>
        <w:rPr>
          <w:rFonts w:ascii="Times New Roman" w:hAnsi="Times New Roman"/>
          <w:szCs w:val="24"/>
        </w:rPr>
      </w:pPr>
      <w:r>
        <w:rPr>
          <w:rFonts w:hint="eastAsia" w:ascii="Times New Roman" w:hAnsi="Times New Roman"/>
          <w:szCs w:val="24"/>
        </w:rPr>
        <w:t>②新近系上新统隔水层</w:t>
      </w:r>
    </w:p>
    <w:p>
      <w:pPr>
        <w:ind w:firstLine="480"/>
        <w:rPr>
          <w:rFonts w:ascii="Times New Roman" w:hAnsi="Times New Roman"/>
          <w:szCs w:val="24"/>
        </w:rPr>
      </w:pPr>
      <w:r>
        <w:rPr>
          <w:rFonts w:hint="eastAsia" w:ascii="Times New Roman" w:hAnsi="Times New Roman"/>
          <w:szCs w:val="24"/>
        </w:rPr>
        <w:t>主要由粘土、砂质粘土等组成，粘性大，广泛分布在黄土塬、梁地区，出露于沟谷地带，厚度约18～40m左右，透水性弱，阻隔第四系松散含水层与基岩含水层间的水力联系，区域上起到隔水作用。</w:t>
      </w:r>
    </w:p>
    <w:p>
      <w:pPr>
        <w:ind w:firstLine="480"/>
        <w:rPr>
          <w:rFonts w:ascii="Times New Roman" w:hAnsi="Times New Roman"/>
          <w:szCs w:val="24"/>
        </w:rPr>
      </w:pPr>
      <w:r>
        <w:rPr>
          <w:rFonts w:ascii="Times New Roman" w:hAnsi="Times New Roman"/>
          <w:szCs w:val="24"/>
        </w:rPr>
        <w:t>（3）补径排条件</w:t>
      </w:r>
    </w:p>
    <w:p>
      <w:pPr>
        <w:ind w:firstLine="480"/>
        <w:rPr>
          <w:rFonts w:ascii="Times New Roman" w:hAnsi="Times New Roman"/>
        </w:rPr>
      </w:pPr>
      <w:r>
        <w:rPr>
          <w:rFonts w:hint="eastAsia" w:ascii="宋体" w:hAnsi="宋体" w:cs="宋体"/>
        </w:rPr>
        <w:t>①</w:t>
      </w:r>
      <w:r>
        <w:rPr>
          <w:rFonts w:ascii="Times New Roman" w:hAnsi="Times New Roman"/>
        </w:rPr>
        <w:t>松散岩类孔隙含水岩组</w:t>
      </w:r>
    </w:p>
    <w:p>
      <w:pPr>
        <w:ind w:firstLine="480"/>
        <w:rPr>
          <w:rFonts w:ascii="Times New Roman" w:hAnsi="Times New Roman"/>
        </w:rPr>
      </w:pPr>
      <w:r>
        <w:rPr>
          <w:rFonts w:ascii="Times New Roman" w:hAnsi="Times New Roman"/>
        </w:rPr>
        <w:t>沟谷地区松散岩类孔隙含水层主要接受大气降水补给及地表水入渗补给。在黄土塬梁地区，受地形影响，该含水层径流途径短，大体由黄土塬梁地带向沟谷排泄：其中，一些地区地下水受到新近系隔水层的阻挡，常常在沟头以泉的方式排泄，补给地表水以及沟谷中浅层地下水；另一部分通过沟谷两侧与基岩的接触面下泄到沟谷中，少部分向地层深部运移。在评价区，浅层地下水与地表水水力联系密切，互为补给源；排泄方式以泉排泄、蒸发排泄为主。</w:t>
      </w:r>
    </w:p>
    <w:p>
      <w:pPr>
        <w:ind w:firstLine="480"/>
        <w:rPr>
          <w:rFonts w:ascii="Times New Roman" w:hAnsi="Times New Roman"/>
        </w:rPr>
      </w:pPr>
      <w:r>
        <w:rPr>
          <w:rFonts w:hint="eastAsia" w:ascii="宋体" w:hAnsi="宋体" w:cs="宋体"/>
        </w:rPr>
        <w:t>②</w:t>
      </w:r>
      <w:r>
        <w:rPr>
          <w:rFonts w:ascii="Times New Roman" w:hAnsi="Times New Roman"/>
        </w:rPr>
        <w:t>碎屑岩类裂隙含水岩组</w:t>
      </w:r>
    </w:p>
    <w:p>
      <w:pPr>
        <w:ind w:firstLine="480"/>
        <w:rPr>
          <w:rFonts w:ascii="Times New Roman" w:hAnsi="Times New Roman"/>
        </w:rPr>
      </w:pPr>
      <w:r>
        <w:rPr>
          <w:rFonts w:ascii="Times New Roman" w:hAnsi="Times New Roman"/>
        </w:rPr>
        <w:t>评价区浅层基岩裂隙水主要接受大气降水入渗补给，径流途径短，流向不固定，主要依地形起伏由高到低流动，在沟谷中以泉的形式排泄出来补给地表水。</w:t>
      </w:r>
    </w:p>
    <w:p>
      <w:pPr>
        <w:ind w:firstLine="480"/>
        <w:rPr>
          <w:rFonts w:ascii="Times New Roman" w:hAnsi="Times New Roman"/>
        </w:rPr>
      </w:pPr>
      <w:r>
        <w:rPr>
          <w:rFonts w:ascii="Times New Roman" w:hAnsi="Times New Roman"/>
        </w:rPr>
        <w:t>评价区深层基岩裂隙水主要接受上部岩层下渗补给以及侧向径流补给，流向自东南向西北流动，排泄主要顺岩层向下游排泄。</w:t>
      </w:r>
    </w:p>
    <w:p>
      <w:pPr>
        <w:ind w:firstLine="480"/>
        <w:rPr>
          <w:rFonts w:ascii="Times New Roman" w:hAnsi="Times New Roman"/>
        </w:rPr>
      </w:pPr>
      <w:r>
        <w:rPr>
          <w:rFonts w:ascii="Times New Roman" w:hAnsi="Times New Roman"/>
        </w:rPr>
        <w:t>评价区水文地质图见图</w:t>
      </w:r>
      <w:r>
        <w:rPr>
          <w:rFonts w:hint="eastAsia" w:ascii="Times New Roman" w:hAnsi="Times New Roman"/>
        </w:rPr>
        <w:t>4.1-4</w:t>
      </w:r>
      <w:r>
        <w:rPr>
          <w:rFonts w:ascii="Times New Roman" w:hAnsi="Times New Roman"/>
        </w:rPr>
        <w:t>。</w:t>
      </w:r>
    </w:p>
    <w:p>
      <w:pPr>
        <w:ind w:firstLine="480"/>
        <w:rPr>
          <w:rFonts w:ascii="Times New Roman" w:hAnsi="Times New Roman"/>
        </w:rPr>
      </w:pPr>
    </w:p>
    <w:p>
      <w:pPr>
        <w:ind w:firstLine="0" w:firstLineChars="0"/>
        <w:jc w:val="center"/>
      </w:pPr>
      <w:r>
        <w:rPr>
          <w:rFonts w:hint="eastAsia"/>
        </w:rPr>
        <w:drawing>
          <wp:inline distT="0" distB="0" distL="0" distR="0">
            <wp:extent cx="5274310" cy="5201920"/>
            <wp:effectExtent l="0" t="0" r="0" b="0"/>
            <wp:docPr id="11" name="图片 11" descr="研究区水文地质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研究区水文地质图（修改）"/>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5202183"/>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图4.1-4 评价区水文地质图</w:t>
      </w:r>
    </w:p>
    <w:p>
      <w:pPr>
        <w:spacing w:after="156" w:afterLines="50" w:line="240" w:lineRule="auto"/>
        <w:ind w:firstLine="0" w:firstLineChars="0"/>
        <w:jc w:val="center"/>
        <w:rPr>
          <w:rFonts w:ascii="Times New Roman" w:hAnsi="Times New Roman"/>
          <w:b/>
          <w:sz w:val="21"/>
        </w:rPr>
      </w:pPr>
    </w:p>
    <w:p>
      <w:pPr>
        <w:ind w:firstLine="0" w:firstLineChars="0"/>
        <w:outlineLvl w:val="3"/>
        <w:rPr>
          <w:rFonts w:ascii="Times New Roman" w:hAnsi="Times New Roman"/>
          <w:szCs w:val="24"/>
        </w:rPr>
      </w:pPr>
      <w:r>
        <w:rPr>
          <w:rFonts w:hint="eastAsia" w:ascii="Times New Roman" w:hAnsi="Times New Roman"/>
          <w:b/>
          <w:szCs w:val="24"/>
        </w:rPr>
        <w:t>4.1.5.3 场地地质环境特征</w:t>
      </w:r>
    </w:p>
    <w:p>
      <w:pPr>
        <w:ind w:firstLine="480"/>
        <w:rPr>
          <w:rFonts w:ascii="Times New Roman" w:hAnsi="Times New Roman"/>
          <w:szCs w:val="24"/>
        </w:rPr>
      </w:pPr>
      <w:r>
        <w:rPr>
          <w:rFonts w:hint="eastAsia" w:ascii="Times New Roman" w:hAnsi="Times New Roman"/>
          <w:szCs w:val="24"/>
        </w:rPr>
        <w:t>（1）集气站工业场地地质环境特征</w:t>
      </w:r>
    </w:p>
    <w:p>
      <w:pPr>
        <w:ind w:firstLine="480"/>
      </w:pPr>
      <w:r>
        <w:rPr>
          <w:rFonts w:hint="eastAsia"/>
        </w:rPr>
        <w:t>拟建集气站位于赵家坪乡佐子坪村以西350m左右河流沟谷一级阶地上，总体地貌单元属中山地貌，微地貌单元为冲积河谷地貌，地形起伏较大。</w:t>
      </w:r>
    </w:p>
    <w:p>
      <w:pPr>
        <w:ind w:firstLine="480"/>
      </w:pPr>
      <w:r>
        <w:rPr>
          <w:rFonts w:hint="eastAsia"/>
        </w:rPr>
        <w:t>集气站覆盖层有第四系全新统人工填土、第四系上更新统冲洪积粉土和卵石，各覆盖层岩土层特征如下：</w:t>
      </w:r>
    </w:p>
    <w:p>
      <w:pPr>
        <w:ind w:firstLine="480"/>
        <w:rPr>
          <w:rFonts w:ascii="Times New Roman" w:hAnsi="Times New Roman"/>
          <w:szCs w:val="24"/>
        </w:rPr>
      </w:pPr>
      <w:r>
        <w:rPr>
          <w:rFonts w:hint="eastAsia" w:ascii="Times New Roman" w:hAnsi="Times New Roman"/>
          <w:szCs w:val="24"/>
        </w:rPr>
        <w:t>（1）第四系全新统人工填土（Q</w:t>
      </w:r>
      <w:r>
        <w:rPr>
          <w:rFonts w:hint="eastAsia" w:ascii="Times New Roman" w:hAnsi="Times New Roman"/>
          <w:szCs w:val="24"/>
          <w:vertAlign w:val="subscript"/>
        </w:rPr>
        <w:t>4</w:t>
      </w:r>
      <w:r>
        <w:rPr>
          <w:rFonts w:hint="eastAsia" w:ascii="Times New Roman" w:hAnsi="Times New Roman"/>
          <w:szCs w:val="24"/>
          <w:vertAlign w:val="superscript"/>
        </w:rPr>
        <w:t>ml</w:t>
      </w:r>
      <w:r>
        <w:rPr>
          <w:rFonts w:hint="eastAsia" w:ascii="Times New Roman" w:hAnsi="Times New Roman"/>
          <w:szCs w:val="24"/>
        </w:rPr>
        <w:t>）：岩性主要由黏性土夹块石、碎石等组成，该地层主要分布于工业场地东侧靠近河道地区及东南部预留场地一带，厚度0.40～4.40m。</w:t>
      </w:r>
    </w:p>
    <w:p>
      <w:pPr>
        <w:ind w:firstLine="480"/>
        <w:rPr>
          <w:rFonts w:ascii="Times New Roman" w:hAnsi="Times New Roman"/>
          <w:szCs w:val="24"/>
        </w:rPr>
      </w:pPr>
      <w:r>
        <w:rPr>
          <w:rFonts w:hint="eastAsia" w:ascii="Times New Roman" w:hAnsi="Times New Roman"/>
          <w:szCs w:val="24"/>
        </w:rPr>
        <w:t>（2）第四系上更新统冲洪积粉土（Q</w:t>
      </w:r>
      <w:r>
        <w:rPr>
          <w:rFonts w:hint="eastAsia" w:ascii="Times New Roman" w:hAnsi="Times New Roman"/>
          <w:szCs w:val="24"/>
          <w:vertAlign w:val="superscript"/>
        </w:rPr>
        <w:t>3al+pl</w:t>
      </w:r>
      <w:r>
        <w:rPr>
          <w:rFonts w:hint="eastAsia" w:ascii="Times New Roman" w:hAnsi="Times New Roman"/>
          <w:szCs w:val="24"/>
        </w:rPr>
        <w:t>）：浅黄色，稍湿，稍密，局部黏粒含量较高，靠近底部含较多的砾石，该层主要分布于工业场地溪沟阶地上，厚度0.80～3.90m。</w:t>
      </w:r>
    </w:p>
    <w:p>
      <w:pPr>
        <w:ind w:firstLine="480"/>
        <w:rPr>
          <w:rFonts w:ascii="Times New Roman" w:hAnsi="Times New Roman"/>
          <w:szCs w:val="24"/>
        </w:rPr>
      </w:pPr>
      <w:r>
        <w:rPr>
          <w:rFonts w:hint="eastAsia" w:ascii="Times New Roman" w:hAnsi="Times New Roman"/>
          <w:szCs w:val="24"/>
        </w:rPr>
        <w:t>（3）第四系上更新统冲洪积卵石（Q</w:t>
      </w:r>
      <w:r>
        <w:rPr>
          <w:rFonts w:hint="eastAsia" w:ascii="Times New Roman" w:hAnsi="Times New Roman"/>
          <w:szCs w:val="24"/>
          <w:vertAlign w:val="superscript"/>
        </w:rPr>
        <w:t>3al+pl</w:t>
      </w:r>
      <w:r>
        <w:rPr>
          <w:rFonts w:hint="eastAsia" w:ascii="Times New Roman" w:hAnsi="Times New Roman"/>
          <w:szCs w:val="24"/>
        </w:rPr>
        <w:t>）：褐灰色，稍湿，稍密～中密，以卵石为主，约占70～80%，粒径2～8cm，个别可达15cm，河沟段局部含少量漂石，其余为中粗砂及黏性土，胶结一般，级配较好。该层遍布工业场地，仅在厂区中东部地区出露，厚度1.40~5.60m。</w:t>
      </w:r>
    </w:p>
    <w:p>
      <w:pPr>
        <w:ind w:firstLine="480"/>
        <w:rPr>
          <w:rFonts w:ascii="Times New Roman" w:hAnsi="Times New Roman"/>
          <w:szCs w:val="24"/>
        </w:rPr>
      </w:pPr>
      <w:r>
        <w:rPr>
          <w:rFonts w:hint="eastAsia" w:ascii="Times New Roman" w:hAnsi="Times New Roman"/>
          <w:szCs w:val="24"/>
        </w:rPr>
        <w:t>工业场地范围内地下水主要为第四系全新统孔隙潜水，埋藏于卵石土中，该含水层与地表水互为补给源，涨幅受溪水控制，一般在1.0～2.0m。</w:t>
      </w:r>
    </w:p>
    <w:p>
      <w:pPr>
        <w:ind w:firstLine="480"/>
        <w:rPr>
          <w:rFonts w:ascii="Times New Roman" w:hAnsi="Times New Roman"/>
          <w:szCs w:val="24"/>
        </w:rPr>
      </w:pPr>
      <w:r>
        <w:rPr>
          <w:rFonts w:hint="eastAsia" w:ascii="Times New Roman" w:hAnsi="Times New Roman"/>
          <w:szCs w:val="24"/>
        </w:rPr>
        <w:t>集气站范围内地下水主要为第四系全新统孔隙潜水，埋藏于卵石土中，该含水层与地表水互为补给源，涨幅受溪水控制，一般在1.0～2.0m。</w:t>
      </w:r>
    </w:p>
    <w:p>
      <w:pPr>
        <w:ind w:firstLine="480"/>
        <w:rPr>
          <w:rFonts w:ascii="Times New Roman" w:hAnsi="Times New Roman"/>
          <w:szCs w:val="24"/>
        </w:rPr>
      </w:pPr>
      <w:r>
        <w:rPr>
          <w:rFonts w:hint="eastAsia" w:ascii="Times New Roman" w:hAnsi="Times New Roman"/>
          <w:szCs w:val="24"/>
        </w:rPr>
        <w:t>由于工业场地地基持力层为冲洪积卵砾石层，加之包气带厚度很小，防污性能弱，单从地质环境条件角度上讲，工业场地对潜水含水层的威胁很大，一旦发生事故导致污水泄露，很难被发现并采取相应措施，极易影响地表水与浅层地下水的水质，属地质环境条件脆弱区。</w:t>
      </w:r>
    </w:p>
    <w:p>
      <w:pPr>
        <w:ind w:firstLine="480"/>
        <w:rPr>
          <w:rFonts w:ascii="Times New Roman" w:hAnsi="Times New Roman"/>
          <w:szCs w:val="24"/>
        </w:rPr>
      </w:pPr>
      <w:r>
        <w:rPr>
          <w:rFonts w:hint="eastAsia" w:ascii="Times New Roman" w:hAnsi="Times New Roman"/>
          <w:szCs w:val="24"/>
        </w:rPr>
        <w:t>（2）办公生活区、废水净化处理站地质环境特征</w:t>
      </w:r>
    </w:p>
    <w:p>
      <w:pPr>
        <w:ind w:firstLine="480"/>
        <w:rPr>
          <w:rFonts w:ascii="Times New Roman" w:hAnsi="Times New Roman"/>
          <w:szCs w:val="24"/>
        </w:rPr>
      </w:pPr>
      <w:r>
        <w:rPr>
          <w:rFonts w:hint="eastAsia"/>
        </w:rPr>
        <w:t>废水净化处理站与办公生活区分别位于集气站上、下游，地形地貌上与集气站同属一条沟谷，因此，净化污水处理站场地地质环境条件与集气站相似，此处不再赘述。</w:t>
      </w:r>
    </w:p>
    <w:p>
      <w:pPr>
        <w:ind w:firstLine="480"/>
        <w:rPr>
          <w:rFonts w:ascii="Times New Roman" w:hAnsi="Times New Roman"/>
          <w:szCs w:val="24"/>
        </w:rPr>
      </w:pPr>
      <w:r>
        <w:rPr>
          <w:rFonts w:hint="eastAsia" w:ascii="Times New Roman" w:hAnsi="Times New Roman"/>
          <w:szCs w:val="24"/>
        </w:rPr>
        <w:t>（3）废水蒸发处理站地质环境特征</w:t>
      </w:r>
    </w:p>
    <w:p>
      <w:pPr>
        <w:ind w:firstLine="480"/>
        <w:rPr>
          <w:rFonts w:ascii="Times New Roman" w:hAnsi="Times New Roman"/>
          <w:szCs w:val="24"/>
        </w:rPr>
      </w:pPr>
      <w:r>
        <w:rPr>
          <w:rFonts w:hint="eastAsia" w:ascii="Times New Roman" w:hAnsi="Times New Roman"/>
          <w:szCs w:val="24"/>
        </w:rPr>
        <w:t>废水蒸发处理站位于赵家坪乡佐子坪村东南侧600m左右LX-104井场中，属黄土梁地貌，海拔+1037m，其西南侧紧邻赵家坪沟，距沟底相对高差57m。</w:t>
      </w:r>
    </w:p>
    <w:p>
      <w:pPr>
        <w:ind w:firstLine="480"/>
        <w:rPr>
          <w:rFonts w:ascii="Times New Roman" w:hAnsi="Times New Roman"/>
          <w:szCs w:val="24"/>
        </w:rPr>
      </w:pPr>
      <w:r>
        <w:rPr>
          <w:rFonts w:hint="eastAsia" w:ascii="Times New Roman" w:hAnsi="Times New Roman"/>
          <w:szCs w:val="24"/>
        </w:rPr>
        <w:t>废水蒸发处理站所处位置表层覆盖有第四系上更新统粉土，厚度10-15m左右，其下部见基岩出露，属三叠系二马营组地层，砂岩与薄层泥岩互层。</w:t>
      </w:r>
    </w:p>
    <w:p>
      <w:pPr>
        <w:ind w:firstLine="480"/>
        <w:rPr>
          <w:rFonts w:ascii="Times New Roman" w:hAnsi="Times New Roman"/>
          <w:szCs w:val="24"/>
        </w:rPr>
      </w:pPr>
      <w:r>
        <w:rPr>
          <w:rFonts w:hint="eastAsia" w:ascii="Times New Roman" w:hAnsi="Times New Roman"/>
          <w:szCs w:val="24"/>
        </w:rPr>
        <w:t>废水蒸发处理站位于地表以上，钢结构，底部与边壁全封闭，采用预处理后蒸发工艺。大气降水为当地地下水的主要补给来源，降雨通过包气带粉土，向下渗透到浅层砂岩裂隙中，砂岩裂隙水沿裂隙流动并在地势低的沟谷中以泉的形式排泄至沟谷小溪中。</w:t>
      </w:r>
    </w:p>
    <w:p>
      <w:pPr>
        <w:ind w:firstLine="480"/>
        <w:rPr>
          <w:rFonts w:ascii="Times New Roman" w:hAnsi="Times New Roman"/>
          <w:szCs w:val="24"/>
        </w:rPr>
      </w:pPr>
      <w:r>
        <w:rPr>
          <w:rFonts w:hint="eastAsia" w:ascii="Times New Roman" w:hAnsi="Times New Roman"/>
          <w:szCs w:val="24"/>
        </w:rPr>
        <w:t>可以看出，废水蒸发处理站场地包气带有一定厚度，但垂向渗透系数在10-4cm/s的量级上，包气带防污性能判定为弱，一旦发生事故导致废水泄露，包气带对于COD、石油类等污染物会产生一定的吸附作用，但是污水泄漏难以被发现，倘若大量的污废水泄漏则会通过包气带渗透到基岩裂隙水中，从而影响地表水及浅层地下水水质。因此，从地质环境条件上讲，污水处理站对浅层砂岩裂隙水及地表水有一定的威胁，属地质环境条件脆弱区。</w:t>
      </w:r>
    </w:p>
    <w:p>
      <w:pPr>
        <w:ind w:firstLine="480"/>
        <w:rPr>
          <w:rFonts w:ascii="Times New Roman" w:hAnsi="Times New Roman"/>
          <w:szCs w:val="24"/>
        </w:rPr>
      </w:pPr>
      <w:r>
        <w:rPr>
          <w:rFonts w:hint="eastAsia" w:ascii="Times New Roman" w:hAnsi="Times New Roman"/>
          <w:szCs w:val="24"/>
        </w:rPr>
        <w:t>（4）井场地质环境特征</w:t>
      </w:r>
    </w:p>
    <w:p>
      <w:pPr>
        <w:ind w:firstLine="480"/>
        <w:rPr>
          <w:rFonts w:ascii="Times New Roman" w:hAnsi="Times New Roman"/>
          <w:szCs w:val="24"/>
        </w:rPr>
      </w:pPr>
      <w:r>
        <w:rPr>
          <w:rFonts w:hint="eastAsia" w:ascii="Times New Roman" w:hAnsi="Times New Roman"/>
          <w:szCs w:val="24"/>
        </w:rPr>
        <w:t>本项目共7个井场，其中属于黄土塬地貌单元的井场为LX-105，属于黄土梁地貌单元的井场有两个，分别为LX-101、LX-104、LX-106井场，属于沟谷地貌单元的井场有三个，分别为LX-102、LX-103、LX-4井场。</w:t>
      </w:r>
    </w:p>
    <w:p>
      <w:pPr>
        <w:ind w:firstLine="480"/>
        <w:rPr>
          <w:rFonts w:ascii="Times New Roman" w:hAnsi="Times New Roman"/>
          <w:szCs w:val="24"/>
        </w:rPr>
      </w:pPr>
      <w:r>
        <w:rPr>
          <w:rFonts w:hint="eastAsia" w:ascii="Times New Roman" w:hAnsi="Times New Roman"/>
          <w:szCs w:val="24"/>
        </w:rPr>
        <w:t>LX-102、LX-103、LX-4井场与1#集气站工业场地同属沟谷地貌单元，相距不远，地质环境条件相似，属地质环境条件脆弱区。</w:t>
      </w:r>
    </w:p>
    <w:p>
      <w:pPr>
        <w:ind w:firstLine="480"/>
        <w:rPr>
          <w:rFonts w:ascii="Times New Roman" w:hAnsi="Times New Roman"/>
          <w:szCs w:val="24"/>
        </w:rPr>
      </w:pPr>
      <w:r>
        <w:rPr>
          <w:rFonts w:hint="eastAsia" w:ascii="Times New Roman" w:hAnsi="Times New Roman"/>
          <w:szCs w:val="24"/>
        </w:rPr>
        <w:t>LX-101、LX-104、LX-106井场同属黄土梁地貌单元，与污水处理站地质环境条件相似或相同，属地质环境条件脆弱地区。</w:t>
      </w:r>
    </w:p>
    <w:p>
      <w:pPr>
        <w:ind w:firstLine="480"/>
        <w:rPr>
          <w:rFonts w:ascii="Times New Roman" w:hAnsi="Times New Roman"/>
          <w:szCs w:val="24"/>
        </w:rPr>
      </w:pPr>
      <w:r>
        <w:rPr>
          <w:rFonts w:hint="eastAsia" w:ascii="Times New Roman" w:hAnsi="Times New Roman"/>
          <w:szCs w:val="24"/>
        </w:rPr>
        <w:t>LX-105井场属黄土塬地貌单元，地质条件相较于黄土梁地区地质条件好，包气带厚度大，表层分布有厚度约30-50m左右粉土，垂向渗透系数在10-5cm/s量级上，根据项目所在地地质条件，该井场下部应分布有一定厚度的新近系地层，是良好的隔水层，再往下为三叠系基岩。黄土塬地貌单元地下水缓慢向沟谷排泄。因此，黄土塬地貌单元对浅层地下水的影响有限，属地质环境条件较好区。</w:t>
      </w:r>
    </w:p>
    <w:p>
      <w:pPr>
        <w:ind w:firstLine="480"/>
        <w:rPr>
          <w:rFonts w:ascii="Times New Roman" w:hAnsi="Times New Roman"/>
          <w:szCs w:val="24"/>
        </w:rPr>
      </w:pPr>
      <w:r>
        <w:rPr>
          <w:rFonts w:hint="eastAsia" w:ascii="Times New Roman" w:hAnsi="Times New Roman"/>
          <w:szCs w:val="24"/>
        </w:rPr>
        <w:t>各场地地质环境条件分级详见表4.1-1。</w:t>
      </w:r>
    </w:p>
    <w:p>
      <w:pPr>
        <w:adjustRightInd w:val="0"/>
        <w:snapToGrid w:val="0"/>
        <w:spacing w:before="156" w:beforeLines="50" w:line="240" w:lineRule="auto"/>
        <w:ind w:firstLine="0" w:firstLineChars="0"/>
        <w:jc w:val="center"/>
        <w:textAlignment w:val="baseline"/>
        <w:rPr>
          <w:rFonts w:ascii="Times New Roman" w:hAnsi="Times New Roman"/>
          <w:b/>
          <w:bCs/>
          <w:sz w:val="21"/>
        </w:rPr>
      </w:pPr>
    </w:p>
    <w:p>
      <w:pPr>
        <w:adjustRightInd w:val="0"/>
        <w:snapToGrid w:val="0"/>
        <w:spacing w:before="156" w:beforeLines="50" w:line="240" w:lineRule="auto"/>
        <w:ind w:firstLine="0" w:firstLineChars="0"/>
        <w:jc w:val="center"/>
        <w:textAlignment w:val="baseline"/>
        <w:rPr>
          <w:rFonts w:ascii="Times New Roman" w:hAnsi="Times New Roman"/>
          <w:b/>
          <w:bCs/>
          <w:sz w:val="21"/>
        </w:rPr>
      </w:pPr>
      <w:r>
        <w:rPr>
          <w:rFonts w:hint="eastAsia" w:ascii="Times New Roman" w:hAnsi="Times New Roman"/>
          <w:b/>
          <w:bCs/>
          <w:sz w:val="21"/>
        </w:rPr>
        <w:t>表4.1-1  各场地地质环境条件分级统计表</w:t>
      </w:r>
    </w:p>
    <w:tbl>
      <w:tblPr>
        <w:tblStyle w:val="18"/>
        <w:tblW w:w="90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160"/>
        <w:gridCol w:w="1250"/>
        <w:gridCol w:w="1275"/>
        <w:gridCol w:w="1418"/>
        <w:gridCol w:w="1417"/>
        <w:gridCol w:w="1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9" w:type="dxa"/>
            <w:gridSpan w:val="2"/>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场地名称</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地貌</w:t>
            </w:r>
          </w:p>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类型</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包气带厚度</w:t>
            </w:r>
          </w:p>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（m）</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包气带</w:t>
            </w:r>
          </w:p>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防污性能</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污染控制</w:t>
            </w:r>
          </w:p>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难易程度</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场地地质</w:t>
            </w:r>
          </w:p>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环境条件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9" w:type="dxa"/>
            <w:gridSpan w:val="2"/>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集气站工业场地</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9" w:type="dxa"/>
            <w:gridSpan w:val="2"/>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办公生活区</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9" w:type="dxa"/>
            <w:gridSpan w:val="2"/>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净化处理站</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19" w:type="dxa"/>
            <w:gridSpan w:val="2"/>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蒸发处理站</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黄土梁</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10-15</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井场</w:t>
            </w: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LX-101</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黄土梁</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10-15</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LX-102</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LX-103</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LX-104</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黄土梁</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10-15</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LX-105</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黄土塬</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40</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中</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LX-106</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黄土梁</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10-15</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116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LX-4</w:t>
            </w:r>
          </w:p>
        </w:tc>
        <w:tc>
          <w:tcPr>
            <w:tcW w:w="1250"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沟谷</w:t>
            </w:r>
          </w:p>
        </w:tc>
        <w:tc>
          <w:tcPr>
            <w:tcW w:w="1275"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0-2</w:t>
            </w:r>
          </w:p>
        </w:tc>
        <w:tc>
          <w:tcPr>
            <w:tcW w:w="1418"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弱</w:t>
            </w:r>
          </w:p>
        </w:tc>
        <w:tc>
          <w:tcPr>
            <w:tcW w:w="1417"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难</w:t>
            </w:r>
          </w:p>
        </w:tc>
        <w:tc>
          <w:tcPr>
            <w:tcW w:w="159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备注</w:t>
            </w:r>
          </w:p>
        </w:tc>
        <w:tc>
          <w:tcPr>
            <w:tcW w:w="8119" w:type="dxa"/>
            <w:gridSpan w:val="6"/>
            <w:shd w:val="clear" w:color="auto" w:fill="auto"/>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hint="eastAsia" w:ascii="Times New Roman" w:hAnsi="Times New Roman"/>
                <w:bCs/>
                <w:sz w:val="21"/>
              </w:rPr>
              <w:t>标“○”为较好；标“◎”为中等；标“●”为脆弱</w:t>
            </w:r>
          </w:p>
        </w:tc>
      </w:tr>
    </w:tbl>
    <w:p>
      <w:pPr>
        <w:ind w:firstLine="0" w:firstLineChars="0"/>
        <w:outlineLvl w:val="2"/>
        <w:rPr>
          <w:rFonts w:ascii="Times New Roman" w:hAnsi="Times New Roman"/>
          <w:b/>
          <w:sz w:val="28"/>
          <w:szCs w:val="28"/>
        </w:rPr>
      </w:pPr>
      <w:bookmarkStart w:id="65" w:name="_Toc524624597"/>
      <w:r>
        <w:rPr>
          <w:rFonts w:hint="eastAsia" w:ascii="Times New Roman" w:hAnsi="Times New Roman"/>
          <w:b/>
          <w:sz w:val="28"/>
          <w:szCs w:val="28"/>
        </w:rPr>
        <w:t>4.1.6 水源地</w:t>
      </w:r>
      <w:bookmarkEnd w:id="65"/>
    </w:p>
    <w:p>
      <w:pPr>
        <w:ind w:firstLine="480"/>
        <w:rPr>
          <w:rFonts w:ascii="Times New Roman" w:hAnsi="Times New Roman"/>
          <w:szCs w:val="24"/>
        </w:rPr>
      </w:pPr>
      <w:r>
        <w:rPr>
          <w:rFonts w:hint="eastAsia" w:ascii="Times New Roman" w:hAnsi="Times New Roman"/>
          <w:szCs w:val="24"/>
        </w:rPr>
        <w:t>先导试验区内无乡镇级集中供水水源，距离最近的乡镇级集中供水水源为赵家坪乡集中供水水源。赵家坪乡集中供水水源距先导试验区边界为784m，距开发井最近距离为1279m。赵家坪乡集中供水水源情况见表4.1-2，先导试验区与水源地地理位置见图4.1-6。</w:t>
      </w:r>
    </w:p>
    <w:p>
      <w:pPr>
        <w:adjustRightInd w:val="0"/>
        <w:snapToGrid w:val="0"/>
        <w:spacing w:before="156" w:beforeLines="50" w:line="240" w:lineRule="auto"/>
        <w:ind w:firstLine="0" w:firstLineChars="0"/>
        <w:jc w:val="center"/>
        <w:textAlignment w:val="baseline"/>
        <w:rPr>
          <w:rFonts w:ascii="Times New Roman" w:hAnsi="Times New Roman"/>
          <w:b/>
          <w:bCs/>
          <w:sz w:val="21"/>
        </w:rPr>
      </w:pPr>
      <w:r>
        <w:rPr>
          <w:rFonts w:ascii="Times New Roman" w:hAnsi="Times New Roman"/>
          <w:b/>
          <w:bCs/>
          <w:sz w:val="21"/>
        </w:rPr>
        <w:t>表</w:t>
      </w:r>
      <w:r>
        <w:rPr>
          <w:rFonts w:hint="eastAsia" w:ascii="Times New Roman" w:hAnsi="Times New Roman"/>
          <w:b/>
          <w:bCs/>
          <w:sz w:val="21"/>
        </w:rPr>
        <w:t>4.1</w:t>
      </w:r>
      <w:r>
        <w:rPr>
          <w:rFonts w:ascii="Times New Roman" w:hAnsi="Times New Roman"/>
          <w:b/>
          <w:bCs/>
          <w:sz w:val="21"/>
        </w:rPr>
        <w:t>-</w:t>
      </w:r>
      <w:r>
        <w:rPr>
          <w:rFonts w:hint="eastAsia" w:ascii="Times New Roman" w:hAnsi="Times New Roman"/>
          <w:b/>
          <w:bCs/>
          <w:sz w:val="21"/>
        </w:rPr>
        <w:t>2</w:t>
      </w:r>
      <w:r>
        <w:rPr>
          <w:rFonts w:ascii="Times New Roman" w:hAnsi="Times New Roman"/>
          <w:b/>
          <w:bCs/>
          <w:sz w:val="21"/>
        </w:rPr>
        <w:t>赵家坪乡集中供水水源情况表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1"/>
        <w:gridCol w:w="1193"/>
        <w:gridCol w:w="895"/>
        <w:gridCol w:w="1193"/>
        <w:gridCol w:w="1341"/>
        <w:gridCol w:w="1193"/>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7" w:type="pct"/>
            <w:vMerge w:val="restar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水源名称</w:t>
            </w:r>
          </w:p>
        </w:tc>
        <w:tc>
          <w:tcPr>
            <w:tcW w:w="700" w:type="pct"/>
            <w:vMerge w:val="restar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服务对象</w:t>
            </w:r>
          </w:p>
        </w:tc>
        <w:tc>
          <w:tcPr>
            <w:tcW w:w="525" w:type="pct"/>
            <w:vMerge w:val="restar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取水口数量</w:t>
            </w:r>
          </w:p>
        </w:tc>
        <w:tc>
          <w:tcPr>
            <w:tcW w:w="1487" w:type="pct"/>
            <w:gridSpan w:val="2"/>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一级保护区</w:t>
            </w:r>
          </w:p>
        </w:tc>
        <w:tc>
          <w:tcPr>
            <w:tcW w:w="1501" w:type="pct"/>
            <w:gridSpan w:val="2"/>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二级保护区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7" w:type="pct"/>
            <w:vMerge w:val="continue"/>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700" w:type="pct"/>
            <w:vMerge w:val="continue"/>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525" w:type="pct"/>
            <w:vMerge w:val="continue"/>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700"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半径（m）</w:t>
            </w:r>
          </w:p>
        </w:tc>
        <w:tc>
          <w:tcPr>
            <w:tcW w:w="787"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面积（km</w:t>
            </w:r>
            <w:r>
              <w:rPr>
                <w:rFonts w:ascii="Times New Roman" w:hAnsi="Times New Roman"/>
                <w:bCs/>
                <w:sz w:val="21"/>
                <w:vertAlign w:val="superscript"/>
              </w:rPr>
              <w:t>2</w:t>
            </w:r>
            <w:r>
              <w:rPr>
                <w:rFonts w:ascii="Times New Roman" w:hAnsi="Times New Roman"/>
                <w:bCs/>
                <w:sz w:val="21"/>
              </w:rPr>
              <w:t>）</w:t>
            </w:r>
          </w:p>
        </w:tc>
        <w:tc>
          <w:tcPr>
            <w:tcW w:w="700"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半径（m）</w:t>
            </w:r>
          </w:p>
        </w:tc>
        <w:tc>
          <w:tcPr>
            <w:tcW w:w="802"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面积（km</w:t>
            </w:r>
            <w:r>
              <w:rPr>
                <w:rFonts w:ascii="Times New Roman" w:hAnsi="Times New Roman"/>
                <w:bCs/>
                <w:sz w:val="21"/>
                <w:vertAlign w:val="superscript"/>
              </w:rPr>
              <w:t>2</w:t>
            </w:r>
            <w:r>
              <w:rPr>
                <w:rFonts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7" w:type="pct"/>
            <w:vMerge w:val="restar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赵家坪乡集中供水水源</w:t>
            </w:r>
          </w:p>
        </w:tc>
        <w:tc>
          <w:tcPr>
            <w:tcW w:w="700" w:type="pct"/>
            <w:vMerge w:val="restar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赵家坪村</w:t>
            </w:r>
          </w:p>
        </w:tc>
        <w:tc>
          <w:tcPr>
            <w:tcW w:w="525"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1</w:t>
            </w:r>
          </w:p>
        </w:tc>
        <w:tc>
          <w:tcPr>
            <w:tcW w:w="700"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50</w:t>
            </w:r>
          </w:p>
        </w:tc>
        <w:tc>
          <w:tcPr>
            <w:tcW w:w="787"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0.0078</w:t>
            </w:r>
          </w:p>
        </w:tc>
        <w:tc>
          <w:tcPr>
            <w:tcW w:w="700"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w:t>
            </w:r>
          </w:p>
        </w:tc>
        <w:tc>
          <w:tcPr>
            <w:tcW w:w="802"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7" w:type="pct"/>
            <w:vMerge w:val="continue"/>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700" w:type="pct"/>
            <w:vMerge w:val="continue"/>
            <w:vAlign w:val="center"/>
          </w:tcPr>
          <w:p>
            <w:pPr>
              <w:adjustRightInd w:val="0"/>
              <w:snapToGrid w:val="0"/>
              <w:spacing w:line="240" w:lineRule="auto"/>
              <w:ind w:firstLine="0" w:firstLineChars="0"/>
              <w:jc w:val="center"/>
              <w:textAlignment w:val="baseline"/>
              <w:rPr>
                <w:rFonts w:ascii="Times New Roman" w:hAnsi="Times New Roman"/>
                <w:bCs/>
                <w:sz w:val="21"/>
              </w:rPr>
            </w:pPr>
          </w:p>
        </w:tc>
        <w:tc>
          <w:tcPr>
            <w:tcW w:w="525" w:type="pct"/>
            <w:vAlign w:val="center"/>
          </w:tcPr>
          <w:p>
            <w:pPr>
              <w:adjustRightInd w:val="0"/>
              <w:snapToGrid w:val="0"/>
              <w:spacing w:line="240" w:lineRule="auto"/>
              <w:ind w:firstLine="0" w:firstLineChars="0"/>
              <w:jc w:val="center"/>
              <w:textAlignment w:val="baseline"/>
              <w:rPr>
                <w:rFonts w:ascii="Times New Roman" w:hAnsi="Times New Roman"/>
                <w:bCs/>
                <w:sz w:val="21"/>
              </w:rPr>
            </w:pPr>
            <w:r>
              <w:rPr>
                <w:rFonts w:ascii="Times New Roman" w:hAnsi="Times New Roman"/>
                <w:bCs/>
                <w:sz w:val="21"/>
              </w:rPr>
              <w:t>1</w:t>
            </w:r>
          </w:p>
        </w:tc>
        <w:tc>
          <w:tcPr>
            <w:tcW w:w="700"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100</w:t>
            </w:r>
          </w:p>
        </w:tc>
        <w:tc>
          <w:tcPr>
            <w:tcW w:w="787"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0.0314</w:t>
            </w:r>
          </w:p>
        </w:tc>
        <w:tc>
          <w:tcPr>
            <w:tcW w:w="700"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1000</w:t>
            </w:r>
          </w:p>
        </w:tc>
        <w:tc>
          <w:tcPr>
            <w:tcW w:w="802" w:type="pc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sz w:val="21"/>
              </w:rPr>
              <w:t>0.3700</w:t>
            </w:r>
          </w:p>
        </w:tc>
      </w:tr>
    </w:tbl>
    <w:p>
      <w:pPr>
        <w:ind w:firstLine="0" w:firstLineChars="0"/>
        <w:outlineLvl w:val="2"/>
        <w:rPr>
          <w:rFonts w:ascii="Times New Roman" w:hAnsi="Times New Roman"/>
          <w:b/>
          <w:sz w:val="28"/>
          <w:szCs w:val="28"/>
        </w:rPr>
      </w:pPr>
      <w:bookmarkStart w:id="66" w:name="_Toc524624598"/>
      <w:r>
        <w:rPr>
          <w:rFonts w:hint="eastAsia" w:ascii="Times New Roman" w:hAnsi="Times New Roman"/>
          <w:b/>
          <w:sz w:val="28"/>
          <w:szCs w:val="28"/>
        </w:rPr>
        <w:t>4.1.7 生物资源</w:t>
      </w:r>
      <w:bookmarkEnd w:id="66"/>
    </w:p>
    <w:p>
      <w:pPr>
        <w:ind w:firstLine="480"/>
        <w:rPr>
          <w:rFonts w:ascii="Times New Roman" w:hAnsi="Times New Roman"/>
          <w:szCs w:val="24"/>
        </w:rPr>
      </w:pPr>
      <w:r>
        <w:rPr>
          <w:rFonts w:hint="eastAsia" w:ascii="Times New Roman" w:hAnsi="Times New Roman"/>
          <w:szCs w:val="24"/>
        </w:rPr>
        <w:t>（1）植被</w:t>
      </w:r>
    </w:p>
    <w:p>
      <w:pPr>
        <w:ind w:firstLine="480"/>
        <w:rPr>
          <w:rFonts w:ascii="Times New Roman" w:hAnsi="Times New Roman"/>
          <w:szCs w:val="24"/>
        </w:rPr>
      </w:pPr>
      <w:r>
        <w:rPr>
          <w:rFonts w:hint="eastAsia" w:ascii="Times New Roman" w:hAnsi="Times New Roman"/>
          <w:szCs w:val="24"/>
        </w:rPr>
        <w:t>先导试验区内植被类型分为自然植被类型和人工植被类型。自然植被类型主要为低矮灌木及草本植物，灌丛大部分为荆条、醋柳、胡枝子、达乌里等；草丛为旱生类杂草，有蒿类、芦苇、白羊草、狗尾草等。人工植被主要是农田植被，主要为玉米和谷子等植物。</w:t>
      </w:r>
    </w:p>
    <w:p>
      <w:pPr>
        <w:ind w:firstLine="480"/>
        <w:rPr>
          <w:rFonts w:ascii="Times New Roman" w:hAnsi="Times New Roman"/>
          <w:szCs w:val="24"/>
        </w:rPr>
      </w:pPr>
      <w:r>
        <w:rPr>
          <w:rFonts w:hint="eastAsia" w:ascii="Times New Roman" w:hAnsi="Times New Roman"/>
          <w:szCs w:val="24"/>
        </w:rPr>
        <w:t>经现场踏勘，评价区没有《国家重点保护野生植物名录》中公布的保护植物，也没有地方区域特有物种。</w:t>
      </w:r>
    </w:p>
    <w:p>
      <w:pPr>
        <w:ind w:firstLine="480"/>
        <w:rPr>
          <w:rFonts w:ascii="Times New Roman" w:hAnsi="Times New Roman"/>
          <w:szCs w:val="24"/>
        </w:rPr>
      </w:pPr>
      <w:r>
        <w:rPr>
          <w:rFonts w:hint="eastAsia" w:ascii="Times New Roman" w:hAnsi="Times New Roman"/>
          <w:szCs w:val="24"/>
        </w:rPr>
        <w:t>（2）动物</w:t>
      </w:r>
    </w:p>
    <w:p>
      <w:pPr>
        <w:ind w:firstLine="480"/>
        <w:rPr>
          <w:rFonts w:ascii="Times New Roman" w:hAnsi="Times New Roman"/>
          <w:szCs w:val="24"/>
        </w:rPr>
      </w:pPr>
      <w:r>
        <w:rPr>
          <w:rFonts w:hint="eastAsia" w:ascii="Times New Roman" w:hAnsi="Times New Roman"/>
          <w:szCs w:val="24"/>
        </w:rPr>
        <w:t>兴县境内动物有两栖、爬行类、鸟类和哺乳类4个类别，其中鸟类最多。先导试验区内动物也以鸟类最多，鸟类生境类型主要为灌草丛生境，该地常见鸟类多为在这些次生或人为生境中活动的鸟类，主要有家燕、[树]麻雀、山麻雀等。</w:t>
      </w:r>
    </w:p>
    <w:p>
      <w:pPr>
        <w:ind w:firstLine="480"/>
        <w:rPr>
          <w:rFonts w:ascii="Times New Roman" w:hAnsi="Times New Roman"/>
          <w:szCs w:val="24"/>
        </w:rPr>
      </w:pPr>
      <w:r>
        <w:rPr>
          <w:rFonts w:hint="eastAsia" w:ascii="Times New Roman" w:hAnsi="Times New Roman"/>
          <w:szCs w:val="24"/>
        </w:rPr>
        <w:t>经现场踏勘和查阅《山西省珍稀濒危野生动物分布图》，评价区内没有国家和山西省重点保护野生动物，也没有需要特殊保护的野生动物分布区。</w:t>
      </w:r>
    </w:p>
    <w:p>
      <w:pPr>
        <w:ind w:firstLine="0" w:firstLineChars="0"/>
        <w:outlineLvl w:val="2"/>
        <w:rPr>
          <w:rFonts w:ascii="Times New Roman" w:hAnsi="Times New Roman"/>
          <w:b/>
          <w:sz w:val="28"/>
          <w:szCs w:val="28"/>
        </w:rPr>
      </w:pPr>
      <w:bookmarkStart w:id="67" w:name="_Toc524624599"/>
      <w:r>
        <w:rPr>
          <w:rFonts w:hint="eastAsia" w:ascii="Times New Roman" w:hAnsi="Times New Roman"/>
          <w:b/>
          <w:sz w:val="28"/>
          <w:szCs w:val="28"/>
        </w:rPr>
        <w:t>4.1.8 土壤</w:t>
      </w:r>
      <w:bookmarkEnd w:id="67"/>
    </w:p>
    <w:p>
      <w:pPr>
        <w:ind w:firstLine="480"/>
        <w:rPr>
          <w:rFonts w:ascii="Times New Roman" w:hAnsi="Times New Roman"/>
          <w:szCs w:val="24"/>
        </w:rPr>
      </w:pPr>
      <w:r>
        <w:rPr>
          <w:rFonts w:hint="eastAsia" w:ascii="Times New Roman" w:hAnsi="Times New Roman"/>
          <w:szCs w:val="24"/>
        </w:rPr>
        <w:t>兴县境内土壤面积442.8万亩，占总土地面积的93.3%，共有三个大类， 9个亚类。其中山地棕壤土包括山地生草棕壤、山地棕壤两个亚类，发育于针阔叶混交林草灌地带，总面积243125亩；灰褐土包括淋溶灰褐土、山地灰褐土、灰褐土、粗骨性灰褐土、灰褐土性土五个亚类，总面积4345643亩，是分布最多最广的土类；草甸土包括灰褐土化草甸土、浅色草甸土两个亚类，总面积160311亩。全县土壤中有机质含氮量极缺，速效磷较缺，速效钾较丰富。</w:t>
      </w:r>
    </w:p>
    <w:p>
      <w:pPr>
        <w:ind w:firstLine="0" w:firstLineChars="0"/>
        <w:outlineLvl w:val="2"/>
        <w:rPr>
          <w:rFonts w:ascii="Times New Roman" w:hAnsi="Times New Roman"/>
          <w:b/>
          <w:sz w:val="28"/>
          <w:szCs w:val="28"/>
        </w:rPr>
      </w:pPr>
      <w:bookmarkStart w:id="68" w:name="_Toc524624600"/>
      <w:r>
        <w:rPr>
          <w:rFonts w:hint="eastAsia" w:ascii="Times New Roman" w:hAnsi="Times New Roman"/>
          <w:b/>
          <w:sz w:val="28"/>
          <w:szCs w:val="28"/>
        </w:rPr>
        <w:t>4.1.9 生态功能区划与生态经济区划</w:t>
      </w:r>
      <w:bookmarkEnd w:id="68"/>
    </w:p>
    <w:p>
      <w:pPr>
        <w:ind w:firstLine="480"/>
        <w:rPr>
          <w:rFonts w:ascii="Times New Roman" w:hAnsi="Times New Roman"/>
          <w:szCs w:val="24"/>
        </w:rPr>
      </w:pPr>
      <w:r>
        <w:rPr>
          <w:rFonts w:hint="eastAsia" w:ascii="Times New Roman" w:hAnsi="Times New Roman"/>
          <w:szCs w:val="24"/>
        </w:rPr>
        <w:t>（1）生态功能区划</w:t>
      </w:r>
    </w:p>
    <w:p>
      <w:pPr>
        <w:ind w:firstLine="480"/>
        <w:rPr>
          <w:rFonts w:ascii="Times New Roman" w:hAnsi="Times New Roman"/>
          <w:szCs w:val="24"/>
        </w:rPr>
      </w:pPr>
      <w:r>
        <w:rPr>
          <w:rFonts w:hint="eastAsia" w:ascii="Times New Roman" w:hAnsi="Times New Roman"/>
          <w:szCs w:val="24"/>
        </w:rPr>
        <w:t>兴县生态功能区划方案以吕梁市生态功能区划三级区为基础，结合区域生态环境特点，在综合考虑土壤侵蚀敏感性、生境敏感性、地质灾害敏感性和服务功能重要性等的基础上，将兴县分为4个生态功能亚区、9个生态功能小区。</w:t>
      </w:r>
    </w:p>
    <w:p>
      <w:pPr>
        <w:ind w:firstLine="480"/>
        <w:rPr>
          <w:rFonts w:ascii="Times New Roman" w:hAnsi="Times New Roman"/>
          <w:szCs w:val="24"/>
        </w:rPr>
      </w:pPr>
      <w:r>
        <w:rPr>
          <w:rFonts w:hint="eastAsia" w:ascii="Times New Roman" w:hAnsi="Times New Roman"/>
          <w:szCs w:val="24"/>
        </w:rPr>
        <w:t>本项目位于赵家坪乡，属于ⅡA兴县西南部低山丘陵土壤保持生态功能小区，位置见图4.1-7。</w:t>
      </w:r>
    </w:p>
    <w:p>
      <w:pPr>
        <w:ind w:firstLine="480"/>
        <w:rPr>
          <w:rFonts w:ascii="Times New Roman" w:hAnsi="Times New Roman"/>
          <w:szCs w:val="24"/>
        </w:rPr>
      </w:pPr>
      <w:r>
        <w:rPr>
          <w:rFonts w:hint="eastAsia" w:ascii="Times New Roman" w:hAnsi="Times New Roman"/>
          <w:szCs w:val="24"/>
        </w:rPr>
        <w:t>（2）生态经济区划</w:t>
      </w:r>
    </w:p>
    <w:p>
      <w:pPr>
        <w:ind w:firstLine="480"/>
        <w:rPr>
          <w:rFonts w:ascii="Times New Roman" w:hAnsi="Times New Roman"/>
          <w:szCs w:val="24"/>
        </w:rPr>
      </w:pPr>
      <w:r>
        <w:rPr>
          <w:rFonts w:hint="eastAsia" w:ascii="Times New Roman" w:hAnsi="Times New Roman"/>
          <w:szCs w:val="24"/>
        </w:rPr>
        <w:t>兴县生态经济区划分为禁止开发区、限制开发区、优化开发区、重点开发区四个大区，本项目部分位于ⅣB-1兴县西南部高效农牧业生产及农副产品加工生态经济区，少部分位于</w:t>
      </w:r>
      <w:r>
        <w:rPr>
          <w:rFonts w:hint="eastAsia" w:ascii="宋体" w:hAnsi="宋体" w:cs="宋体"/>
          <w:szCs w:val="24"/>
        </w:rPr>
        <w:t>Ⅱ</w:t>
      </w:r>
      <w:r>
        <w:rPr>
          <w:rFonts w:ascii="Times New Roman" w:hAnsi="Times New Roman"/>
          <w:szCs w:val="24"/>
        </w:rPr>
        <w:t>B-1</w:t>
      </w:r>
      <w:r>
        <w:rPr>
          <w:rFonts w:hint="eastAsia" w:ascii="Times New Roman" w:hAnsi="Times New Roman"/>
          <w:szCs w:val="24"/>
        </w:rPr>
        <w:t>兴县西南部高效农副产品发展生态经济区，位置见图4.1-8。</w:t>
      </w:r>
    </w:p>
    <w:p>
      <w:pPr>
        <w:spacing w:before="156" w:beforeLines="50" w:after="156" w:afterLines="50"/>
        <w:ind w:firstLine="0" w:firstLineChars="0"/>
        <w:outlineLvl w:val="1"/>
        <w:rPr>
          <w:rFonts w:ascii="Times New Roman" w:hAnsi="Times New Roman"/>
          <w:b/>
          <w:sz w:val="30"/>
          <w:szCs w:val="30"/>
        </w:rPr>
      </w:pPr>
      <w:bookmarkStart w:id="69" w:name="_Toc524624601"/>
      <w:r>
        <w:rPr>
          <w:rFonts w:hint="eastAsia" w:ascii="Times New Roman" w:hAnsi="Times New Roman"/>
          <w:b/>
          <w:sz w:val="30"/>
          <w:szCs w:val="30"/>
        </w:rPr>
        <w:t>4.2 环境质量现状调查与评价</w:t>
      </w:r>
      <w:bookmarkEnd w:id="69"/>
    </w:p>
    <w:p>
      <w:pPr>
        <w:ind w:firstLine="0" w:firstLineChars="0"/>
        <w:outlineLvl w:val="2"/>
        <w:rPr>
          <w:rFonts w:ascii="Times New Roman" w:hAnsi="Times New Roman"/>
          <w:b/>
          <w:sz w:val="28"/>
          <w:szCs w:val="28"/>
        </w:rPr>
      </w:pPr>
      <w:bookmarkStart w:id="70" w:name="_Toc524624602"/>
      <w:r>
        <w:rPr>
          <w:rFonts w:hint="eastAsia" w:ascii="Times New Roman" w:hAnsi="Times New Roman"/>
          <w:b/>
          <w:sz w:val="28"/>
          <w:szCs w:val="28"/>
        </w:rPr>
        <w:t>4.2.1 环境空气质量现状与评价</w:t>
      </w:r>
      <w:bookmarkEnd w:id="70"/>
    </w:p>
    <w:p>
      <w:pPr>
        <w:ind w:firstLine="480"/>
        <w:rPr>
          <w:rFonts w:ascii="Times New Roman" w:hAnsi="Times New Roman"/>
          <w:szCs w:val="24"/>
        </w:rPr>
      </w:pPr>
      <w:r>
        <w:rPr>
          <w:rFonts w:hint="eastAsia" w:ascii="Times New Roman" w:hAnsi="Times New Roman"/>
          <w:szCs w:val="24"/>
        </w:rPr>
        <w:t>（1）现状监测</w:t>
      </w:r>
    </w:p>
    <w:p>
      <w:pPr>
        <w:ind w:firstLine="480"/>
        <w:rPr>
          <w:rFonts w:ascii="Times New Roman" w:hAnsi="Times New Roman"/>
          <w:szCs w:val="24"/>
        </w:rPr>
      </w:pPr>
      <w:r>
        <w:rPr>
          <w:rFonts w:hint="eastAsia" w:ascii="Times New Roman" w:hAnsi="Times New Roman"/>
          <w:szCs w:val="24"/>
        </w:rPr>
        <w:t>本次评价委托山西省交通环境监测中心于2015年11月12日至11月18日对项目所在区域环境质量进行了监测，监测布点图见图4.2-1。</w:t>
      </w:r>
    </w:p>
    <w:p>
      <w:pPr>
        <w:ind w:firstLine="480"/>
        <w:rPr>
          <w:rFonts w:ascii="Times New Roman" w:hAnsi="Times New Roman"/>
          <w:szCs w:val="24"/>
        </w:rPr>
      </w:pPr>
      <w:r>
        <w:rPr>
          <w:rFonts w:hint="eastAsia" w:ascii="Times New Roman" w:hAnsi="Times New Roman"/>
          <w:szCs w:val="24"/>
        </w:rPr>
        <w:t>①监测布点和监测项目</w:t>
      </w:r>
    </w:p>
    <w:p>
      <w:pPr>
        <w:ind w:firstLine="480"/>
        <w:rPr>
          <w:rFonts w:ascii="Times New Roman" w:hAnsi="Times New Roman"/>
          <w:szCs w:val="24"/>
        </w:rPr>
      </w:pPr>
      <w:r>
        <w:rPr>
          <w:rFonts w:hint="eastAsia" w:ascii="Times New Roman" w:hAnsi="Times New Roman"/>
          <w:szCs w:val="24"/>
        </w:rPr>
        <w:t>本次评价共在评价区内布设2个大气监测点，各监测布点见表4.2-1。</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w:t>
      </w:r>
      <w:r>
        <w:rPr>
          <w:rFonts w:hint="eastAsia" w:ascii="Times New Roman" w:hAnsi="Times New Roman"/>
          <w:b/>
          <w:sz w:val="21"/>
        </w:rPr>
        <w:t>.2-1</w:t>
      </w:r>
      <w:r>
        <w:rPr>
          <w:rFonts w:ascii="Times New Roman" w:hAnsi="Times New Roman"/>
          <w:b/>
          <w:sz w:val="21"/>
        </w:rPr>
        <w:t>　环境空气监测布点</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45"/>
        <w:gridCol w:w="1424"/>
        <w:gridCol w:w="1139"/>
        <w:gridCol w:w="1282"/>
        <w:gridCol w:w="1282"/>
        <w:gridCol w:w="255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编号</w:t>
            </w:r>
          </w:p>
        </w:tc>
        <w:tc>
          <w:tcPr>
            <w:tcW w:w="8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监测点名称</w:t>
            </w:r>
          </w:p>
        </w:tc>
        <w:tc>
          <w:tcPr>
            <w:tcW w:w="6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井位</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相对方位</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相对距离</w:t>
            </w:r>
          </w:p>
        </w:tc>
        <w:tc>
          <w:tcPr>
            <w:tcW w:w="14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96" w:type="pct"/>
            <w:vAlign w:val="center"/>
          </w:tcPr>
          <w:p>
            <w:pPr>
              <w:adjustRightInd w:val="0"/>
              <w:spacing w:line="240" w:lineRule="auto"/>
              <w:ind w:firstLine="0" w:firstLineChars="0"/>
              <w:jc w:val="center"/>
              <w:textAlignment w:val="baseline"/>
              <w:rPr>
                <w:rFonts w:ascii="Times New Roman" w:hAnsi="Times New Roman"/>
                <w:sz w:val="21"/>
                <w:szCs w:val="20"/>
                <w:vertAlign w:val="superscript"/>
              </w:rPr>
            </w:pPr>
            <w:r>
              <w:rPr>
                <w:rFonts w:ascii="Times New Roman" w:hAnsi="Times New Roman"/>
                <w:sz w:val="21"/>
                <w:szCs w:val="20"/>
              </w:rPr>
              <w:t>A1</w:t>
            </w:r>
          </w:p>
        </w:tc>
        <w:tc>
          <w:tcPr>
            <w:tcW w:w="8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小湾则村</w:t>
            </w:r>
          </w:p>
        </w:tc>
        <w:tc>
          <w:tcPr>
            <w:tcW w:w="6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LX-102</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E</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254m</w:t>
            </w:r>
          </w:p>
        </w:tc>
        <w:tc>
          <w:tcPr>
            <w:tcW w:w="1496" w:type="pct"/>
            <w:vMerge w:val="restart"/>
            <w:vAlign w:val="center"/>
          </w:tcPr>
          <w:p>
            <w:pPr>
              <w:adjustRightInd w:val="0"/>
              <w:spacing w:line="240" w:lineRule="auto"/>
              <w:ind w:firstLine="0" w:firstLineChars="0"/>
              <w:jc w:val="center"/>
              <w:textAlignment w:val="baseline"/>
              <w:rPr>
                <w:rFonts w:ascii="Times New Roman" w:hAnsi="Times New Roman"/>
                <w:sz w:val="21"/>
              </w:rPr>
            </w:pPr>
            <w:r>
              <w:rPr>
                <w:rFonts w:ascii="Times New Roman" w:hAnsi="Times New Roman"/>
                <w:bCs/>
                <w:sz w:val="21"/>
              </w:rPr>
              <w:t>TSP、SO</w:t>
            </w:r>
            <w:r>
              <w:rPr>
                <w:rFonts w:ascii="Times New Roman" w:hAnsi="Times New Roman"/>
                <w:bCs/>
                <w:sz w:val="21"/>
                <w:vertAlign w:val="subscript"/>
              </w:rPr>
              <w:t>2</w:t>
            </w:r>
            <w:r>
              <w:rPr>
                <w:rFonts w:ascii="Times New Roman" w:hAnsi="Times New Roman"/>
                <w:bCs/>
                <w:sz w:val="21"/>
              </w:rPr>
              <w:t>、NO</w:t>
            </w:r>
            <w:r>
              <w:rPr>
                <w:rFonts w:ascii="Times New Roman" w:hAnsi="Times New Roman"/>
                <w:bCs/>
                <w:sz w:val="21"/>
                <w:vertAlign w:val="subscript"/>
              </w:rPr>
              <w:t>2</w:t>
            </w:r>
            <w:r>
              <w:rPr>
                <w:rFonts w:ascii="Times New Roman" w:hAnsi="Times New Roman"/>
                <w:bCs/>
                <w:sz w:val="21"/>
              </w:rPr>
              <w:t>、PM</w:t>
            </w:r>
            <w:r>
              <w:rPr>
                <w:rFonts w:ascii="Times New Roman" w:hAnsi="Times New Roman"/>
                <w:bCs/>
                <w:sz w:val="21"/>
                <w:vertAlign w:val="subscript"/>
              </w:rPr>
              <w:t>10</w:t>
            </w:r>
            <w:r>
              <w:rPr>
                <w:rFonts w:ascii="Times New Roman" w:hAnsi="Times New Roman"/>
                <w:bCs/>
                <w:sz w:val="21"/>
              </w:rPr>
              <w:t>、非甲烷总烃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A2</w:t>
            </w:r>
          </w:p>
        </w:tc>
        <w:tc>
          <w:tcPr>
            <w:tcW w:w="8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张家庄</w:t>
            </w:r>
          </w:p>
        </w:tc>
        <w:tc>
          <w:tcPr>
            <w:tcW w:w="6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LX-105</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N</w:t>
            </w:r>
          </w:p>
        </w:tc>
        <w:tc>
          <w:tcPr>
            <w:tcW w:w="7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235m</w:t>
            </w:r>
          </w:p>
        </w:tc>
        <w:tc>
          <w:tcPr>
            <w:tcW w:w="1496" w:type="pct"/>
            <w:vMerge w:val="continue"/>
            <w:vAlign w:val="center"/>
          </w:tcPr>
          <w:p>
            <w:pPr>
              <w:adjustRightInd w:val="0"/>
              <w:spacing w:line="240" w:lineRule="auto"/>
              <w:ind w:firstLine="0" w:firstLineChars="0"/>
              <w:jc w:val="center"/>
              <w:textAlignment w:val="baseline"/>
              <w:rPr>
                <w:rFonts w:ascii="Times New Roman" w:hAnsi="Times New Roman"/>
                <w:bCs/>
                <w:sz w:val="21"/>
              </w:rPr>
            </w:pPr>
          </w:p>
        </w:tc>
      </w:tr>
    </w:tbl>
    <w:p>
      <w:pPr>
        <w:ind w:firstLine="480"/>
        <w:rPr>
          <w:rFonts w:ascii="Times New Roman" w:hAnsi="Times New Roman"/>
          <w:szCs w:val="24"/>
        </w:rPr>
      </w:pPr>
      <w:r>
        <w:rPr>
          <w:rFonts w:hint="eastAsia" w:ascii="Times New Roman" w:hAnsi="Times New Roman"/>
          <w:szCs w:val="24"/>
        </w:rPr>
        <w:t>②监测时间和频率</w:t>
      </w:r>
    </w:p>
    <w:p>
      <w:pPr>
        <w:ind w:firstLine="480"/>
        <w:rPr>
          <w:rFonts w:ascii="Times New Roman" w:hAnsi="Times New Roman"/>
          <w:szCs w:val="24"/>
        </w:rPr>
      </w:pPr>
      <w:r>
        <w:rPr>
          <w:rFonts w:hint="eastAsia" w:ascii="Times New Roman" w:hAnsi="Times New Roman"/>
          <w:szCs w:val="24"/>
        </w:rPr>
        <w:t>监测时间为2015年11月16日~2015年11月22日，TSP、SO</w:t>
      </w:r>
      <w:r>
        <w:rPr>
          <w:rFonts w:hint="eastAsia" w:ascii="Times New Roman" w:hAnsi="Times New Roman"/>
          <w:szCs w:val="24"/>
          <w:vertAlign w:val="subscript"/>
        </w:rPr>
        <w:t>2</w:t>
      </w:r>
      <w:r>
        <w:rPr>
          <w:rFonts w:hint="eastAsia" w:ascii="Times New Roman" w:hAnsi="Times New Roman"/>
          <w:szCs w:val="24"/>
        </w:rPr>
        <w:t>、NO</w:t>
      </w:r>
      <w:r>
        <w:rPr>
          <w:rFonts w:hint="eastAsia" w:ascii="Times New Roman" w:hAnsi="Times New Roman"/>
          <w:szCs w:val="24"/>
          <w:vertAlign w:val="subscript"/>
        </w:rPr>
        <w:t>2</w:t>
      </w:r>
      <w:r>
        <w:rPr>
          <w:rFonts w:hint="eastAsia" w:ascii="Times New Roman" w:hAnsi="Times New Roman"/>
          <w:szCs w:val="24"/>
        </w:rPr>
        <w:t>、PM</w:t>
      </w:r>
      <w:r>
        <w:rPr>
          <w:rFonts w:hint="eastAsia" w:ascii="Times New Roman" w:hAnsi="Times New Roman"/>
          <w:szCs w:val="24"/>
          <w:vertAlign w:val="subscript"/>
        </w:rPr>
        <w:t>10</w:t>
      </w:r>
      <w:r>
        <w:rPr>
          <w:rFonts w:hint="eastAsia" w:ascii="Times New Roman" w:hAnsi="Times New Roman"/>
          <w:szCs w:val="24"/>
        </w:rPr>
        <w:t>连续监测7天，其中TSP每天采样不少于24h，SO</w:t>
      </w:r>
      <w:r>
        <w:rPr>
          <w:rFonts w:hint="eastAsia" w:ascii="Times New Roman" w:hAnsi="Times New Roman"/>
          <w:szCs w:val="24"/>
          <w:vertAlign w:val="subscript"/>
        </w:rPr>
        <w:t>2</w:t>
      </w:r>
      <w:r>
        <w:rPr>
          <w:rFonts w:hint="eastAsia" w:ascii="Times New Roman" w:hAnsi="Times New Roman"/>
          <w:szCs w:val="24"/>
        </w:rPr>
        <w:t>、NO</w:t>
      </w:r>
      <w:r>
        <w:rPr>
          <w:rFonts w:hint="eastAsia" w:ascii="Times New Roman" w:hAnsi="Times New Roman"/>
          <w:szCs w:val="24"/>
          <w:vertAlign w:val="subscript"/>
        </w:rPr>
        <w:t>2</w:t>
      </w:r>
      <w:r>
        <w:rPr>
          <w:rFonts w:hint="eastAsia" w:ascii="Times New Roman" w:hAnsi="Times New Roman"/>
          <w:szCs w:val="24"/>
        </w:rPr>
        <w:t>、PM</w:t>
      </w:r>
      <w:r>
        <w:rPr>
          <w:rFonts w:hint="eastAsia" w:ascii="Times New Roman" w:hAnsi="Times New Roman"/>
          <w:szCs w:val="24"/>
          <w:vertAlign w:val="subscript"/>
        </w:rPr>
        <w:t>10</w:t>
      </w:r>
      <w:r>
        <w:rPr>
          <w:rFonts w:hint="eastAsia" w:ascii="Times New Roman" w:hAnsi="Times New Roman"/>
          <w:szCs w:val="24"/>
        </w:rPr>
        <w:t>每天采样不少于20h，SO</w:t>
      </w:r>
      <w:r>
        <w:rPr>
          <w:rFonts w:hint="eastAsia" w:ascii="Times New Roman" w:hAnsi="Times New Roman"/>
          <w:szCs w:val="24"/>
          <w:vertAlign w:val="subscript"/>
        </w:rPr>
        <w:t>2</w:t>
      </w:r>
      <w:r>
        <w:rPr>
          <w:rFonts w:hint="eastAsia" w:ascii="Times New Roman" w:hAnsi="Times New Roman"/>
          <w:szCs w:val="24"/>
        </w:rPr>
        <w:t>、NO</w:t>
      </w:r>
      <w:r>
        <w:rPr>
          <w:rFonts w:hint="eastAsia" w:ascii="Times New Roman" w:hAnsi="Times New Roman"/>
          <w:szCs w:val="24"/>
          <w:vertAlign w:val="subscript"/>
        </w:rPr>
        <w:t>2</w:t>
      </w:r>
      <w:r>
        <w:rPr>
          <w:rFonts w:hint="eastAsia" w:ascii="Times New Roman" w:hAnsi="Times New Roman"/>
          <w:szCs w:val="24"/>
        </w:rPr>
        <w:t>小时浓度每天监测4次，时间为2:00、8:00、14:00、20:00，每小时采样时间不少于45min；非甲烷总烃连续监测7天，每天监测时间为2:00、8:00、14:00、20:00，，每小时采样时间不少于45min。</w:t>
      </w:r>
    </w:p>
    <w:p>
      <w:pPr>
        <w:ind w:firstLine="480"/>
        <w:rPr>
          <w:rFonts w:ascii="Times New Roman" w:hAnsi="Times New Roman"/>
          <w:szCs w:val="24"/>
        </w:rPr>
      </w:pPr>
      <w:r>
        <w:rPr>
          <w:rFonts w:hint="eastAsia" w:ascii="Times New Roman" w:hAnsi="Times New Roman"/>
          <w:szCs w:val="24"/>
        </w:rPr>
        <w:t>③采样与分析方法</w:t>
      </w:r>
    </w:p>
    <w:p>
      <w:pPr>
        <w:ind w:firstLine="480"/>
        <w:rPr>
          <w:rFonts w:ascii="Times New Roman" w:hAnsi="Times New Roman"/>
          <w:szCs w:val="24"/>
        </w:rPr>
      </w:pPr>
      <w:r>
        <w:rPr>
          <w:rFonts w:hint="eastAsia" w:ascii="Times New Roman" w:hAnsi="Times New Roman"/>
          <w:szCs w:val="24"/>
        </w:rPr>
        <w:t>采样及分析方法按国家环保局《环境监测技术规范》（大气部分）和《空气和废气监测分析方法》进行。</w:t>
      </w:r>
    </w:p>
    <w:p>
      <w:pPr>
        <w:ind w:firstLine="480"/>
        <w:rPr>
          <w:rFonts w:ascii="Times New Roman" w:hAnsi="Times New Roman"/>
          <w:szCs w:val="24"/>
        </w:rPr>
      </w:pPr>
      <w:r>
        <w:rPr>
          <w:rFonts w:hint="eastAsia" w:ascii="Times New Roman" w:hAnsi="Times New Roman"/>
          <w:szCs w:val="24"/>
        </w:rPr>
        <w:t>④监测结果统计</w:t>
      </w:r>
    </w:p>
    <w:p>
      <w:pPr>
        <w:ind w:firstLine="480"/>
        <w:rPr>
          <w:rFonts w:ascii="Times New Roman" w:hAnsi="Times New Roman"/>
          <w:szCs w:val="24"/>
        </w:rPr>
      </w:pPr>
      <w:r>
        <w:rPr>
          <w:rFonts w:hint="eastAsia" w:ascii="Times New Roman" w:hAnsi="Times New Roman"/>
          <w:szCs w:val="24"/>
        </w:rPr>
        <w:t>评价区环境空气质量现状监测结果见表4.2-2。</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w:t>
      </w:r>
      <w:r>
        <w:rPr>
          <w:rFonts w:hint="eastAsia" w:ascii="Times New Roman" w:hAnsi="Times New Roman"/>
          <w:b/>
          <w:sz w:val="21"/>
        </w:rPr>
        <w:t xml:space="preserve">.2-2 </w:t>
      </w:r>
      <w:r>
        <w:rPr>
          <w:rFonts w:ascii="Times New Roman" w:hAnsi="Times New Roman"/>
          <w:b/>
          <w:sz w:val="21"/>
        </w:rPr>
        <w:t>环境空气质量现状监测和评价结果</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7" w:type="dxa"/>
          <w:bottom w:w="0" w:type="dxa"/>
          <w:right w:w="57" w:type="dxa"/>
        </w:tblCellMar>
      </w:tblPr>
      <w:tblGrid>
        <w:gridCol w:w="781"/>
        <w:gridCol w:w="1590"/>
        <w:gridCol w:w="1389"/>
        <w:gridCol w:w="1236"/>
        <w:gridCol w:w="960"/>
        <w:gridCol w:w="687"/>
        <w:gridCol w:w="842"/>
        <w:gridCol w:w="93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408" w:type="pct"/>
            <w:gridSpan w:val="2"/>
            <w:vAlign w:val="center"/>
          </w:tcPr>
          <w:p>
            <w:pPr>
              <w:spacing w:line="240" w:lineRule="auto"/>
              <w:ind w:firstLine="0" w:firstLineChars="0"/>
              <w:jc w:val="center"/>
              <w:rPr>
                <w:rFonts w:ascii="Times New Roman" w:hAnsi="Times New Roman"/>
                <w:sz w:val="21"/>
              </w:rPr>
            </w:pPr>
            <w:r>
              <w:rPr>
                <w:rFonts w:ascii="Times New Roman" w:hAnsi="Times New Roman"/>
                <w:sz w:val="21"/>
              </w:rPr>
              <w:t>监测项目</w:t>
            </w:r>
          </w:p>
        </w:tc>
        <w:tc>
          <w:tcPr>
            <w:tcW w:w="825"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监测点位</w:t>
            </w:r>
          </w:p>
        </w:tc>
        <w:tc>
          <w:tcPr>
            <w:tcW w:w="734"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浓度范围</w:t>
            </w:r>
          </w:p>
        </w:tc>
        <w:tc>
          <w:tcPr>
            <w:tcW w:w="57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标准值</w:t>
            </w:r>
          </w:p>
        </w:tc>
        <w:tc>
          <w:tcPr>
            <w:tcW w:w="408"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单位</w:t>
            </w: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超标率(%)</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最大超标倍数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1h平均浓度值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11</w:t>
            </w:r>
            <w:r>
              <w:rPr>
                <w:rFonts w:ascii="Times New Roman" w:hAnsi="Times New Roman"/>
                <w:kern w:val="0"/>
                <w:sz w:val="21"/>
              </w:rPr>
              <w:t>-33</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500</w:t>
            </w:r>
          </w:p>
        </w:tc>
        <w:tc>
          <w:tcPr>
            <w:tcW w:w="408"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µg/m</w:t>
            </w:r>
            <w:r>
              <w:rPr>
                <w:rFonts w:ascii="Times New Roman" w:hAnsi="Times New Roman"/>
                <w:sz w:val="21"/>
                <w:vertAlign w:val="superscript"/>
              </w:rPr>
              <w:t>3</w:t>
            </w: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11-33</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24h平均浓度值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21-28</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150</w:t>
            </w: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21-25</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NO</w:t>
            </w:r>
            <w:r>
              <w:rPr>
                <w:rFonts w:ascii="Times New Roman" w:hAnsi="Times New Roman"/>
                <w:sz w:val="21"/>
                <w:vertAlign w:val="subscript"/>
              </w:rPr>
              <w:t>2</w:t>
            </w: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1h平均浓度值</w:t>
            </w:r>
          </w:p>
        </w:tc>
        <w:tc>
          <w:tcPr>
            <w:tcW w:w="825"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小湾则村</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kern w:val="0"/>
                <w:sz w:val="21"/>
              </w:rPr>
              <w:t>14-37</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200</w:t>
            </w: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张家庄</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12-33</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24h平均浓度值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29-31</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80</w:t>
            </w: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napToGrid w:val="0"/>
              <w:spacing w:line="240" w:lineRule="auto"/>
              <w:ind w:firstLine="0" w:firstLineChars="0"/>
              <w:jc w:val="center"/>
              <w:rPr>
                <w:rFonts w:ascii="Times New Roman" w:hAnsi="Times New Roman" w:eastAsia="黑体"/>
                <w:kern w:val="0"/>
                <w:sz w:val="21"/>
              </w:rPr>
            </w:pPr>
            <w:r>
              <w:rPr>
                <w:rFonts w:ascii="Times New Roman" w:hAnsi="Times New Roman"/>
                <w:sz w:val="21"/>
              </w:rPr>
              <w:t>27-30</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PM</w:t>
            </w:r>
            <w:r>
              <w:rPr>
                <w:rFonts w:ascii="Times New Roman" w:hAnsi="Times New Roman"/>
                <w:sz w:val="21"/>
                <w:vertAlign w:val="subscript"/>
              </w:rPr>
              <w:t>10</w:t>
            </w: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24h平均浓度值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pacing w:line="240" w:lineRule="auto"/>
              <w:ind w:firstLine="0" w:firstLineChars="0"/>
              <w:jc w:val="center"/>
              <w:rPr>
                <w:rFonts w:ascii="Times New Roman" w:hAnsi="Times New Roman"/>
                <w:sz w:val="21"/>
              </w:rPr>
            </w:pPr>
            <w:r>
              <w:rPr>
                <w:rFonts w:ascii="Times New Roman" w:hAnsi="Times New Roman"/>
                <w:spacing w:val="-2"/>
                <w:sz w:val="21"/>
              </w:rPr>
              <w:t>55-86</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150</w:t>
            </w: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pacing w:line="240" w:lineRule="auto"/>
              <w:ind w:firstLine="0" w:firstLineChars="0"/>
              <w:jc w:val="center"/>
              <w:rPr>
                <w:rFonts w:ascii="Times New Roman" w:hAnsi="Times New Roman"/>
                <w:sz w:val="21"/>
              </w:rPr>
            </w:pPr>
            <w:r>
              <w:rPr>
                <w:rFonts w:ascii="Times New Roman" w:hAnsi="Times New Roman"/>
                <w:spacing w:val="-2"/>
                <w:sz w:val="21"/>
              </w:rPr>
              <w:t>53-85</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restart"/>
            <w:vAlign w:val="center"/>
          </w:tcPr>
          <w:p>
            <w:pPr>
              <w:spacing w:line="240" w:lineRule="auto"/>
              <w:ind w:firstLine="0" w:firstLineChars="0"/>
              <w:jc w:val="center"/>
              <w:rPr>
                <w:rFonts w:ascii="Times New Roman" w:hAnsi="Times New Roman"/>
                <w:sz w:val="21"/>
                <w:highlight w:val="yellow"/>
              </w:rPr>
            </w:pPr>
            <w:r>
              <w:rPr>
                <w:rFonts w:ascii="Times New Roman" w:hAnsi="Times New Roman"/>
                <w:sz w:val="21"/>
              </w:rPr>
              <w:t>TSP</w:t>
            </w: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24h平均浓度值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pacing w:line="240" w:lineRule="auto"/>
              <w:ind w:firstLine="0" w:firstLineChars="0"/>
              <w:jc w:val="center"/>
              <w:rPr>
                <w:rFonts w:ascii="Times New Roman" w:hAnsi="Times New Roman"/>
                <w:sz w:val="21"/>
              </w:rPr>
            </w:pPr>
            <w:r>
              <w:rPr>
                <w:rFonts w:ascii="Times New Roman" w:hAnsi="Times New Roman"/>
                <w:spacing w:val="-2"/>
                <w:sz w:val="21"/>
              </w:rPr>
              <w:t>85-129</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300</w:t>
            </w: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pacing w:line="240" w:lineRule="auto"/>
              <w:ind w:firstLine="0" w:firstLineChars="0"/>
              <w:jc w:val="center"/>
              <w:rPr>
                <w:rFonts w:ascii="Times New Roman" w:hAnsi="Times New Roman"/>
                <w:sz w:val="21"/>
              </w:rPr>
            </w:pPr>
            <w:r>
              <w:rPr>
                <w:rFonts w:ascii="Times New Roman" w:hAnsi="Times New Roman"/>
                <w:spacing w:val="-2"/>
                <w:sz w:val="21"/>
              </w:rPr>
              <w:t>82-127</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非甲烷总烃</w:t>
            </w:r>
          </w:p>
        </w:tc>
        <w:tc>
          <w:tcPr>
            <w:tcW w:w="944"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1h平均浓度值</w:t>
            </w: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小湾则村</w:t>
            </w:r>
          </w:p>
        </w:tc>
        <w:tc>
          <w:tcPr>
            <w:tcW w:w="734" w:type="pct"/>
            <w:vAlign w:val="center"/>
          </w:tcPr>
          <w:p>
            <w:pPr>
              <w:spacing w:line="240" w:lineRule="auto"/>
              <w:ind w:firstLine="0" w:firstLineChars="0"/>
              <w:jc w:val="center"/>
              <w:rPr>
                <w:rFonts w:ascii="Times New Roman" w:hAnsi="Times New Roman"/>
                <w:spacing w:val="-2"/>
                <w:kern w:val="0"/>
                <w:sz w:val="21"/>
              </w:rPr>
            </w:pPr>
            <w:r>
              <w:rPr>
                <w:rFonts w:ascii="Times New Roman" w:hAnsi="Times New Roman"/>
                <w:sz w:val="21"/>
              </w:rPr>
              <w:t>0.20-0.36</w:t>
            </w:r>
          </w:p>
        </w:tc>
        <w:tc>
          <w:tcPr>
            <w:tcW w:w="570"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2.0</w:t>
            </w:r>
          </w:p>
        </w:tc>
        <w:tc>
          <w:tcPr>
            <w:tcW w:w="408" w:type="pct"/>
            <w:vMerge w:val="restart"/>
            <w:vAlign w:val="center"/>
          </w:tcPr>
          <w:p>
            <w:pPr>
              <w:spacing w:line="240" w:lineRule="auto"/>
              <w:ind w:firstLine="0" w:firstLineChars="0"/>
              <w:jc w:val="center"/>
              <w:rPr>
                <w:rFonts w:ascii="Times New Roman" w:hAnsi="Times New Roman"/>
                <w:sz w:val="21"/>
              </w:rPr>
            </w:pPr>
            <w:r>
              <w:rPr>
                <w:rFonts w:ascii="Times New Roman" w:hAnsi="Times New Roman"/>
                <w:sz w:val="21"/>
              </w:rPr>
              <w:t>mg/m</w:t>
            </w:r>
            <w:r>
              <w:rPr>
                <w:rFonts w:ascii="Times New Roman" w:hAnsi="Times New Roman"/>
                <w:sz w:val="21"/>
                <w:vertAlign w:val="superscript"/>
              </w:rPr>
              <w:t>3</w:t>
            </w: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4" w:type="pct"/>
            <w:vMerge w:val="continue"/>
            <w:vAlign w:val="center"/>
          </w:tcPr>
          <w:p>
            <w:pPr>
              <w:spacing w:line="240" w:lineRule="auto"/>
              <w:ind w:firstLine="0" w:firstLineChars="0"/>
              <w:jc w:val="center"/>
              <w:rPr>
                <w:rFonts w:ascii="Times New Roman" w:hAnsi="Times New Roman"/>
                <w:sz w:val="21"/>
              </w:rPr>
            </w:pPr>
          </w:p>
        </w:tc>
        <w:tc>
          <w:tcPr>
            <w:tcW w:w="944" w:type="pct"/>
            <w:vMerge w:val="continue"/>
            <w:vAlign w:val="center"/>
          </w:tcPr>
          <w:p>
            <w:pPr>
              <w:spacing w:line="240" w:lineRule="auto"/>
              <w:ind w:firstLine="0" w:firstLineChars="0"/>
              <w:jc w:val="center"/>
              <w:rPr>
                <w:rFonts w:ascii="Times New Roman" w:hAnsi="Times New Roman"/>
                <w:sz w:val="21"/>
              </w:rPr>
            </w:pPr>
          </w:p>
        </w:tc>
        <w:tc>
          <w:tcPr>
            <w:tcW w:w="825" w:type="pct"/>
            <w:vAlign w:val="center"/>
          </w:tcPr>
          <w:p>
            <w:pPr>
              <w:spacing w:line="240" w:lineRule="auto"/>
              <w:ind w:firstLine="0" w:firstLineChars="0"/>
              <w:jc w:val="center"/>
              <w:rPr>
                <w:rFonts w:ascii="Times New Roman" w:hAnsi="Times New Roman"/>
                <w:kern w:val="0"/>
                <w:sz w:val="21"/>
              </w:rPr>
            </w:pPr>
            <w:r>
              <w:rPr>
                <w:rFonts w:ascii="Times New Roman" w:hAnsi="Times New Roman"/>
                <w:sz w:val="21"/>
              </w:rPr>
              <w:t>张家庄</w:t>
            </w:r>
          </w:p>
        </w:tc>
        <w:tc>
          <w:tcPr>
            <w:tcW w:w="734" w:type="pct"/>
            <w:vAlign w:val="center"/>
          </w:tcPr>
          <w:p>
            <w:pPr>
              <w:spacing w:line="240" w:lineRule="auto"/>
              <w:ind w:firstLine="0" w:firstLineChars="0"/>
              <w:jc w:val="center"/>
              <w:rPr>
                <w:rFonts w:ascii="Times New Roman" w:hAnsi="Times New Roman"/>
                <w:spacing w:val="-2"/>
                <w:sz w:val="21"/>
              </w:rPr>
            </w:pPr>
            <w:r>
              <w:rPr>
                <w:rFonts w:ascii="Times New Roman" w:hAnsi="Times New Roman"/>
                <w:sz w:val="21"/>
              </w:rPr>
              <w:t>0.21-0.34</w:t>
            </w:r>
          </w:p>
        </w:tc>
        <w:tc>
          <w:tcPr>
            <w:tcW w:w="570" w:type="pct"/>
            <w:vMerge w:val="continue"/>
            <w:vAlign w:val="center"/>
          </w:tcPr>
          <w:p>
            <w:pPr>
              <w:spacing w:line="240" w:lineRule="auto"/>
              <w:ind w:firstLine="0" w:firstLineChars="0"/>
              <w:jc w:val="center"/>
              <w:rPr>
                <w:rFonts w:ascii="Times New Roman" w:hAnsi="Times New Roman"/>
                <w:sz w:val="21"/>
              </w:rPr>
            </w:pPr>
          </w:p>
        </w:tc>
        <w:tc>
          <w:tcPr>
            <w:tcW w:w="408" w:type="pct"/>
            <w:vMerge w:val="continue"/>
            <w:vAlign w:val="center"/>
          </w:tcPr>
          <w:p>
            <w:pPr>
              <w:spacing w:line="240" w:lineRule="auto"/>
              <w:ind w:firstLine="0" w:firstLineChars="0"/>
              <w:jc w:val="center"/>
              <w:rPr>
                <w:rFonts w:ascii="Times New Roman" w:hAnsi="Times New Roman"/>
                <w:sz w:val="21"/>
              </w:rPr>
            </w:pPr>
          </w:p>
        </w:tc>
        <w:tc>
          <w:tcPr>
            <w:tcW w:w="500"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c>
          <w:tcPr>
            <w:tcW w:w="556"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0</w:t>
            </w:r>
          </w:p>
        </w:tc>
      </w:tr>
    </w:tbl>
    <w:p>
      <w:pPr>
        <w:ind w:firstLine="480"/>
        <w:rPr>
          <w:rFonts w:ascii="Times New Roman" w:hAnsi="Times New Roman"/>
          <w:szCs w:val="24"/>
        </w:rPr>
      </w:pPr>
      <w:r>
        <w:rPr>
          <w:rFonts w:hint="eastAsia" w:ascii="Times New Roman" w:hAnsi="Times New Roman"/>
          <w:szCs w:val="24"/>
        </w:rPr>
        <w:t>（2）现状评价</w:t>
      </w:r>
    </w:p>
    <w:p>
      <w:pPr>
        <w:ind w:firstLine="480"/>
        <w:rPr>
          <w:rFonts w:ascii="Times New Roman" w:hAnsi="Times New Roman"/>
          <w:szCs w:val="24"/>
        </w:rPr>
      </w:pPr>
      <w:r>
        <w:rPr>
          <w:rFonts w:hint="eastAsia" w:ascii="Times New Roman" w:hAnsi="Times New Roman"/>
          <w:szCs w:val="24"/>
        </w:rPr>
        <w:t>①评价方法</w:t>
      </w:r>
    </w:p>
    <w:p>
      <w:pPr>
        <w:ind w:firstLine="480"/>
        <w:rPr>
          <w:rFonts w:ascii="Times New Roman" w:hAnsi="Times New Roman"/>
          <w:szCs w:val="24"/>
        </w:rPr>
      </w:pPr>
      <w:r>
        <w:rPr>
          <w:rFonts w:hint="eastAsia" w:ascii="Times New Roman" w:hAnsi="Times New Roman"/>
          <w:szCs w:val="24"/>
        </w:rPr>
        <w:t>环境空气质量现状评价采用单因子指数法进行。评价标准按《环境空气质量标准》（GB3095–2012）中二级标准执行。单因子指数计算公式为：</w:t>
      </w:r>
    </w:p>
    <w:p>
      <w:pPr>
        <w:ind w:firstLine="480"/>
        <w:jc w:val="center"/>
        <w:rPr>
          <w:rFonts w:ascii="Times New Roman" w:hAnsi="Times New Roman"/>
          <w:szCs w:val="24"/>
        </w:rPr>
      </w:pPr>
      <w:r>
        <w:rPr>
          <w:position w:val="-30"/>
          <w:szCs w:val="20"/>
        </w:rPr>
        <w:drawing>
          <wp:inline distT="0" distB="0" distL="0" distR="0">
            <wp:extent cx="542925" cy="4476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42925" cy="447675"/>
                    </a:xfrm>
                    <a:prstGeom prst="rect">
                      <a:avLst/>
                    </a:prstGeom>
                    <a:noFill/>
                    <a:ln>
                      <a:noFill/>
                    </a:ln>
                  </pic:spPr>
                </pic:pic>
              </a:graphicData>
            </a:graphic>
          </wp:inline>
        </w:drawing>
      </w:r>
    </w:p>
    <w:p>
      <w:pPr>
        <w:ind w:firstLine="480"/>
        <w:rPr>
          <w:rFonts w:ascii="Times New Roman" w:hAnsi="Times New Roman"/>
          <w:szCs w:val="24"/>
        </w:rPr>
      </w:pPr>
      <w:r>
        <w:rPr>
          <w:rFonts w:hint="eastAsia" w:ascii="Times New Roman" w:hAnsi="Times New Roman"/>
          <w:szCs w:val="24"/>
        </w:rPr>
        <w:t>式中：——第i种污染物的单因子污染指数；</w:t>
      </w:r>
    </w:p>
    <w:p>
      <w:pPr>
        <w:ind w:firstLine="480"/>
        <w:rPr>
          <w:rFonts w:ascii="Times New Roman" w:hAnsi="Times New Roman"/>
          <w:szCs w:val="24"/>
        </w:rPr>
      </w:pPr>
      <w:r>
        <w:rPr>
          <w:rFonts w:hint="eastAsia" w:ascii="Times New Roman" w:hAnsi="Times New Roman"/>
          <w:szCs w:val="24"/>
        </w:rPr>
        <w:t>——第i种污染物的实测浓度（mg/m3）；</w:t>
      </w:r>
    </w:p>
    <w:p>
      <w:pPr>
        <w:ind w:firstLine="480"/>
        <w:rPr>
          <w:rFonts w:ascii="Times New Roman" w:hAnsi="Times New Roman"/>
          <w:szCs w:val="24"/>
        </w:rPr>
      </w:pPr>
      <w:r>
        <w:rPr>
          <w:rFonts w:hint="eastAsia" w:ascii="Times New Roman" w:hAnsi="Times New Roman"/>
          <w:szCs w:val="24"/>
        </w:rPr>
        <w:t>——第i种污染物的评价标准（mg/m3）。</w:t>
      </w:r>
    </w:p>
    <w:p>
      <w:pPr>
        <w:ind w:firstLine="480"/>
        <w:rPr>
          <w:rFonts w:ascii="Times New Roman" w:hAnsi="Times New Roman"/>
          <w:szCs w:val="24"/>
        </w:rPr>
      </w:pPr>
      <w:r>
        <w:rPr>
          <w:rFonts w:hint="eastAsia" w:ascii="Times New Roman" w:hAnsi="Times New Roman"/>
          <w:szCs w:val="24"/>
        </w:rPr>
        <w:t>当为超标，为未超标。</w:t>
      </w:r>
    </w:p>
    <w:p>
      <w:pPr>
        <w:ind w:firstLine="480"/>
        <w:rPr>
          <w:rFonts w:ascii="Times New Roman" w:hAnsi="Times New Roman"/>
          <w:szCs w:val="24"/>
        </w:rPr>
      </w:pPr>
      <w:r>
        <w:rPr>
          <w:rFonts w:hint="eastAsia" w:ascii="Times New Roman" w:hAnsi="Times New Roman"/>
          <w:szCs w:val="24"/>
        </w:rPr>
        <w:t>②评价标准</w:t>
      </w:r>
    </w:p>
    <w:p>
      <w:pPr>
        <w:ind w:firstLine="480"/>
        <w:rPr>
          <w:rFonts w:ascii="Times New Roman" w:hAnsi="Times New Roman"/>
          <w:szCs w:val="24"/>
        </w:rPr>
      </w:pPr>
      <w:r>
        <w:rPr>
          <w:rFonts w:hint="eastAsia" w:ascii="Times New Roman" w:hAnsi="Times New Roman"/>
          <w:szCs w:val="24"/>
        </w:rPr>
        <w:t>环境空气质量标准采用《环境空气质量标准》（GB3095-2012）中二级标准。</w:t>
      </w:r>
    </w:p>
    <w:p>
      <w:pPr>
        <w:ind w:firstLine="480"/>
        <w:rPr>
          <w:rFonts w:ascii="Times New Roman" w:hAnsi="Times New Roman"/>
          <w:szCs w:val="24"/>
        </w:rPr>
      </w:pPr>
      <w:r>
        <w:rPr>
          <w:rFonts w:hint="eastAsia" w:ascii="Times New Roman" w:hAnsi="Times New Roman"/>
          <w:szCs w:val="24"/>
        </w:rPr>
        <w:t>③评价结果</w:t>
      </w:r>
    </w:p>
    <w:p>
      <w:pPr>
        <w:ind w:firstLine="480"/>
        <w:rPr>
          <w:rFonts w:ascii="Times New Roman" w:hAnsi="Times New Roman"/>
          <w:szCs w:val="24"/>
        </w:rPr>
      </w:pPr>
      <w:r>
        <w:rPr>
          <w:rFonts w:hint="eastAsia" w:ascii="Times New Roman" w:hAnsi="Times New Roman"/>
          <w:szCs w:val="24"/>
        </w:rPr>
        <w:t>各种污染物的评价指数以最大浓度值为代表，评价区域监测结果的评价指数见表4.2-2。由评价指数可知，监测点各监测项目均满足《环境空气质量标准》（GB3095-2012）和《环境空气质量非甲烷总烃限值》（DB13/1577-2012）中二级标准。</w:t>
      </w:r>
    </w:p>
    <w:p>
      <w:pPr>
        <w:ind w:firstLine="0" w:firstLineChars="0"/>
        <w:outlineLvl w:val="2"/>
        <w:rPr>
          <w:rFonts w:ascii="Times New Roman" w:hAnsi="Times New Roman"/>
          <w:b/>
          <w:sz w:val="28"/>
          <w:szCs w:val="28"/>
        </w:rPr>
      </w:pPr>
      <w:bookmarkStart w:id="71" w:name="_Toc524624603"/>
      <w:r>
        <w:rPr>
          <w:rFonts w:hint="eastAsia" w:ascii="Times New Roman" w:hAnsi="Times New Roman"/>
          <w:b/>
          <w:sz w:val="28"/>
          <w:szCs w:val="28"/>
        </w:rPr>
        <w:t>4.2.2 地表水质量现状与评价</w:t>
      </w:r>
      <w:bookmarkEnd w:id="71"/>
    </w:p>
    <w:p>
      <w:pPr>
        <w:ind w:firstLine="480"/>
        <w:rPr>
          <w:rFonts w:ascii="Times New Roman" w:hAnsi="Times New Roman"/>
          <w:szCs w:val="24"/>
        </w:rPr>
      </w:pPr>
      <w:r>
        <w:rPr>
          <w:rFonts w:hint="eastAsia" w:ascii="Times New Roman" w:hAnsi="Times New Roman"/>
          <w:szCs w:val="24"/>
        </w:rPr>
        <w:t>（1）现状监测</w:t>
      </w:r>
    </w:p>
    <w:p>
      <w:pPr>
        <w:ind w:firstLine="480"/>
        <w:rPr>
          <w:rFonts w:ascii="Times New Roman" w:hAnsi="Times New Roman"/>
          <w:szCs w:val="24"/>
        </w:rPr>
      </w:pPr>
      <w:r>
        <w:rPr>
          <w:rFonts w:hint="eastAsia" w:ascii="Times New Roman" w:hAnsi="Times New Roman"/>
          <w:szCs w:val="24"/>
        </w:rPr>
        <w:t>①监测点位</w:t>
      </w:r>
    </w:p>
    <w:p>
      <w:pPr>
        <w:ind w:firstLine="480"/>
        <w:rPr>
          <w:rFonts w:ascii="Times New Roman" w:hAnsi="Times New Roman"/>
          <w:szCs w:val="24"/>
        </w:rPr>
      </w:pPr>
      <w:r>
        <w:rPr>
          <w:rFonts w:ascii="Times New Roman" w:hAnsi="Times New Roman"/>
          <w:szCs w:val="24"/>
        </w:rPr>
        <w:t>本次评价共在评价区内布设4个地表水监测断面，各监测布点见</w:t>
      </w:r>
      <w:r>
        <w:rPr>
          <w:rFonts w:hint="eastAsia" w:ascii="Times New Roman" w:hAnsi="Times New Roman"/>
          <w:szCs w:val="24"/>
        </w:rPr>
        <w:t>表4.2-3</w:t>
      </w:r>
      <w:r>
        <w:rPr>
          <w:rFonts w:ascii="Times New Roman" w:hAnsi="Times New Roman"/>
          <w:szCs w:val="24"/>
        </w:rPr>
        <w:t>。</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w:t>
      </w:r>
      <w:r>
        <w:rPr>
          <w:rFonts w:hint="eastAsia" w:ascii="Times New Roman" w:hAnsi="Times New Roman"/>
          <w:b/>
          <w:sz w:val="21"/>
        </w:rPr>
        <w:t>4.2-3</w:t>
      </w:r>
      <w:r>
        <w:rPr>
          <w:rFonts w:ascii="Times New Roman" w:hAnsi="Times New Roman"/>
          <w:b/>
          <w:sz w:val="21"/>
        </w:rPr>
        <w:t>地表水监测布点</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40"/>
        <w:gridCol w:w="1687"/>
        <w:gridCol w:w="4442"/>
        <w:gridCol w:w="145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51"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编号</w:t>
            </w:r>
          </w:p>
        </w:tc>
        <w:tc>
          <w:tcPr>
            <w:tcW w:w="990"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监测河流</w:t>
            </w:r>
          </w:p>
        </w:tc>
        <w:tc>
          <w:tcPr>
            <w:tcW w:w="260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监测断面</w:t>
            </w:r>
          </w:p>
        </w:tc>
        <w:tc>
          <w:tcPr>
            <w:tcW w:w="8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设置原有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51"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W1</w:t>
            </w:r>
          </w:p>
        </w:tc>
        <w:tc>
          <w:tcPr>
            <w:tcW w:w="990"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赵家坪沟支流</w:t>
            </w:r>
          </w:p>
        </w:tc>
        <w:tc>
          <w:tcPr>
            <w:tcW w:w="260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集气站可能排污口上游200m</w:t>
            </w:r>
          </w:p>
        </w:tc>
        <w:tc>
          <w:tcPr>
            <w:tcW w:w="8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对照断面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51"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W2</w:t>
            </w:r>
          </w:p>
        </w:tc>
        <w:tc>
          <w:tcPr>
            <w:tcW w:w="990"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260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集气站可能排污口下游200m</w:t>
            </w:r>
          </w:p>
        </w:tc>
        <w:tc>
          <w:tcPr>
            <w:tcW w:w="8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控制断面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51"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W3</w:t>
            </w:r>
          </w:p>
        </w:tc>
        <w:tc>
          <w:tcPr>
            <w:tcW w:w="990"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260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集气站可能排污口下游3km汇入赵家坪沟，汇入口上游200m</w:t>
            </w:r>
          </w:p>
        </w:tc>
        <w:tc>
          <w:tcPr>
            <w:tcW w:w="8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对照断面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51"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W4</w:t>
            </w:r>
          </w:p>
        </w:tc>
        <w:tc>
          <w:tcPr>
            <w:tcW w:w="990"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赵家坪沟</w:t>
            </w:r>
          </w:p>
        </w:tc>
        <w:tc>
          <w:tcPr>
            <w:tcW w:w="260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集气站可能排污口下游5km</w:t>
            </w:r>
          </w:p>
        </w:tc>
        <w:tc>
          <w:tcPr>
            <w:tcW w:w="8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控制断面</w:t>
            </w:r>
          </w:p>
        </w:tc>
      </w:tr>
    </w:tbl>
    <w:p>
      <w:pPr>
        <w:ind w:firstLine="480"/>
        <w:rPr>
          <w:rFonts w:ascii="Times New Roman" w:hAnsi="Times New Roman"/>
          <w:szCs w:val="24"/>
        </w:rPr>
      </w:pPr>
      <w:r>
        <w:rPr>
          <w:rFonts w:hint="eastAsia" w:ascii="Times New Roman" w:hAnsi="Times New Roman"/>
          <w:szCs w:val="24"/>
        </w:rPr>
        <w:t>②</w:t>
      </w:r>
      <w:r>
        <w:rPr>
          <w:rFonts w:ascii="Times New Roman" w:hAnsi="Times New Roman"/>
          <w:szCs w:val="24"/>
        </w:rPr>
        <w:t>监测时间和频次</w:t>
      </w:r>
    </w:p>
    <w:p>
      <w:pPr>
        <w:ind w:firstLine="480"/>
        <w:rPr>
          <w:rFonts w:ascii="Times New Roman" w:hAnsi="Times New Roman"/>
          <w:szCs w:val="24"/>
        </w:rPr>
      </w:pPr>
      <w:r>
        <w:rPr>
          <w:rFonts w:ascii="Times New Roman" w:hAnsi="Times New Roman"/>
          <w:szCs w:val="24"/>
        </w:rPr>
        <w:t>监测时间为2015年11月13日~2015年11月15日，连续3天，每天1次。</w:t>
      </w:r>
    </w:p>
    <w:p>
      <w:pPr>
        <w:ind w:firstLine="480"/>
        <w:rPr>
          <w:rFonts w:ascii="Times New Roman" w:hAnsi="Times New Roman"/>
          <w:szCs w:val="24"/>
        </w:rPr>
      </w:pPr>
      <w:r>
        <w:rPr>
          <w:rFonts w:hint="eastAsia" w:ascii="Times New Roman" w:hAnsi="Times New Roman"/>
          <w:szCs w:val="24"/>
        </w:rPr>
        <w:t>③</w:t>
      </w:r>
      <w:r>
        <w:rPr>
          <w:rFonts w:ascii="Times New Roman" w:hAnsi="Times New Roman"/>
          <w:szCs w:val="24"/>
        </w:rPr>
        <w:t>分析方法</w:t>
      </w:r>
    </w:p>
    <w:p>
      <w:pPr>
        <w:ind w:firstLine="480"/>
        <w:rPr>
          <w:rFonts w:ascii="Times New Roman" w:hAnsi="Times New Roman"/>
          <w:szCs w:val="24"/>
        </w:rPr>
      </w:pPr>
      <w:r>
        <w:rPr>
          <w:rFonts w:ascii="Times New Roman" w:hAnsi="Times New Roman"/>
          <w:szCs w:val="24"/>
        </w:rPr>
        <w:t>采样及分析方法按照《地表水环境质量标准》（GB3838-2002）规定及《环境监测技术规范》进行。</w:t>
      </w:r>
    </w:p>
    <w:p>
      <w:pPr>
        <w:ind w:firstLine="480"/>
        <w:rPr>
          <w:rFonts w:ascii="Times New Roman" w:hAnsi="Times New Roman"/>
          <w:szCs w:val="24"/>
        </w:rPr>
      </w:pPr>
      <w:r>
        <w:rPr>
          <w:rFonts w:hint="eastAsia" w:ascii="Times New Roman" w:hAnsi="Times New Roman"/>
          <w:szCs w:val="24"/>
        </w:rPr>
        <w:t>④</w:t>
      </w:r>
      <w:r>
        <w:rPr>
          <w:rFonts w:ascii="Times New Roman" w:hAnsi="Times New Roman"/>
          <w:szCs w:val="24"/>
        </w:rPr>
        <w:t>监测结果统计</w:t>
      </w:r>
    </w:p>
    <w:p>
      <w:pPr>
        <w:ind w:firstLine="480"/>
        <w:rPr>
          <w:rFonts w:ascii="Times New Roman" w:hAnsi="Times New Roman"/>
          <w:szCs w:val="24"/>
        </w:rPr>
      </w:pPr>
      <w:r>
        <w:rPr>
          <w:rFonts w:ascii="Times New Roman" w:hAnsi="Times New Roman"/>
          <w:szCs w:val="24"/>
        </w:rPr>
        <w:t>评价区地表水环境质量现状监测结果见表</w:t>
      </w:r>
      <w:r>
        <w:rPr>
          <w:rFonts w:hint="eastAsia" w:ascii="Times New Roman" w:hAnsi="Times New Roman"/>
          <w:szCs w:val="24"/>
        </w:rPr>
        <w:t>4.2-4</w:t>
      </w:r>
      <w:r>
        <w:rPr>
          <w:rFonts w:ascii="Times New Roman" w:hAnsi="Times New Roman"/>
          <w:szCs w:val="24"/>
        </w:rPr>
        <w:t>。</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w:t>
      </w:r>
      <w:r>
        <w:rPr>
          <w:rFonts w:hint="eastAsia" w:ascii="Times New Roman" w:hAnsi="Times New Roman"/>
          <w:b/>
          <w:sz w:val="21"/>
        </w:rPr>
        <w:t>.2-4</w:t>
      </w:r>
      <w:r>
        <w:rPr>
          <w:rFonts w:ascii="Times New Roman" w:hAnsi="Times New Roman"/>
          <w:b/>
          <w:sz w:val="21"/>
        </w:rPr>
        <w:t>地表水环境质量监测结果单位：mg/L</w:t>
      </w:r>
    </w:p>
    <w:tbl>
      <w:tblPr>
        <w:tblStyle w:val="18"/>
        <w:tblW w:w="5000" w:type="pct"/>
        <w:tblInd w:w="0" w:type="dxa"/>
        <w:tblLayout w:type="autofit"/>
        <w:tblCellMar>
          <w:top w:w="0" w:type="dxa"/>
          <w:left w:w="108" w:type="dxa"/>
          <w:bottom w:w="0" w:type="dxa"/>
          <w:right w:w="108" w:type="dxa"/>
        </w:tblCellMar>
      </w:tblPr>
      <w:tblGrid>
        <w:gridCol w:w="1883"/>
        <w:gridCol w:w="1604"/>
        <w:gridCol w:w="1289"/>
        <w:gridCol w:w="1871"/>
        <w:gridCol w:w="1875"/>
      </w:tblGrid>
      <w:tr>
        <w:tblPrEx>
          <w:tblCellMar>
            <w:top w:w="0" w:type="dxa"/>
            <w:left w:w="108" w:type="dxa"/>
            <w:bottom w:w="0" w:type="dxa"/>
            <w:right w:w="108" w:type="dxa"/>
          </w:tblCellMar>
        </w:tblPrEx>
        <w:tc>
          <w:tcPr>
            <w:tcW w:w="5000" w:type="pct"/>
            <w:gridSpan w:val="5"/>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监测结果</w:t>
            </w:r>
          </w:p>
        </w:tc>
      </w:tr>
      <w:tr>
        <w:tblPrEx>
          <w:tblCellMar>
            <w:top w:w="0" w:type="dxa"/>
            <w:left w:w="108" w:type="dxa"/>
            <w:bottom w:w="0" w:type="dxa"/>
            <w:right w:w="108" w:type="dxa"/>
          </w:tblCellMar>
        </w:tblPrEx>
        <w:tc>
          <w:tcPr>
            <w:tcW w:w="1105" w:type="pct"/>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监测项目</w:t>
            </w:r>
          </w:p>
        </w:tc>
        <w:tc>
          <w:tcPr>
            <w:tcW w:w="3895" w:type="pct"/>
            <w:gridSpan w:val="4"/>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2018年12月7-9日</w:t>
            </w:r>
          </w:p>
        </w:tc>
      </w:tr>
      <w:tr>
        <w:tblPrEx>
          <w:tblCellMar>
            <w:top w:w="0" w:type="dxa"/>
            <w:left w:w="108" w:type="dxa"/>
            <w:bottom w:w="0" w:type="dxa"/>
            <w:right w:w="108" w:type="dxa"/>
          </w:tblCellMar>
        </w:tblPrEx>
        <w:tc>
          <w:tcPr>
            <w:tcW w:w="110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ascii="Times New Roman" w:hAnsi="Times New Roman"/>
                <w:kern w:val="0"/>
                <w:sz w:val="21"/>
              </w:rPr>
            </w:pP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W1</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W2</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W3</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W3</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pH值（无量纲）</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7.86-7.89</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8.41-8.43</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8.43-8.45</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8.48-8.52</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悬浮物（mg/L）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52-57</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70-74</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28-31</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23-27</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化学需氧量（mg/L）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24-27</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25-28</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16-22</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19-21</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0.8-0.9</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0.83-0.93</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0.53-0.73</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0.63-0.7</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五日生化需氧量（mg/L）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4.1-4.6</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4.2-4.7</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3.5-4.0</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3.0-3.2</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0.68-0.77</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0.7-0.78</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0.58-0.67</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0.5-0.53</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氨氮（mg/L）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0.509-0.536</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0.492-0.514</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0.411-0.429</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0.426-0.442</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0.34-0.36</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0.33-0.34</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0.27-0.29</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0.28-0.29</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总磷（mg/L）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0.13-0.15</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0.10-0.13</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0.08-0.09</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0.10-0.12</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0.43-0.5</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0.33-0.43</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0.27-0.3</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0.33-0.4</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总砷（mg/L）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&lt;3×10</w:t>
            </w:r>
            <w:r>
              <w:rPr>
                <w:rFonts w:ascii="Times New Roman" w:hAnsi="Times New Roman"/>
                <w:kern w:val="0"/>
                <w:sz w:val="21"/>
                <w:vertAlign w:val="superscript"/>
              </w:rPr>
              <w:t>-3</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&lt;3×10</w:t>
            </w:r>
            <w:r>
              <w:rPr>
                <w:rFonts w:ascii="Times New Roman" w:hAnsi="Times New Roman"/>
                <w:kern w:val="0"/>
                <w:sz w:val="21"/>
                <w:vertAlign w:val="superscript"/>
              </w:rPr>
              <w:t>-3</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&lt;3×10</w:t>
            </w:r>
            <w:r>
              <w:rPr>
                <w:rFonts w:ascii="Times New Roman" w:hAnsi="Times New Roman"/>
                <w:kern w:val="0"/>
                <w:sz w:val="21"/>
                <w:vertAlign w:val="superscript"/>
              </w:rPr>
              <w:t>-3</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&lt;3×10</w:t>
            </w:r>
            <w:r>
              <w:rPr>
                <w:rFonts w:ascii="Times New Roman" w:hAnsi="Times New Roman"/>
                <w:kern w:val="0"/>
                <w:sz w:val="21"/>
                <w:vertAlign w:val="superscript"/>
              </w:rPr>
              <w:t>-3</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&lt;0.06</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&lt;0.06</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&lt;0.06</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&lt;0.06</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氟化物（mg/L）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0.90-0.93</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0.97-0.99</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0.91-0.94</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0.91-0.93</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0.90-0.93</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0.97-0.99</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0.91-0.94</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0.91-0.93</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硫化物（mg/L）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0.013-0.015</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0.008-0.010</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&lt;0.005</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&lt;0.005</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0.026-0.03</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0.016-0.02</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&lt;0.01</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&lt;0.01</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石油类（mg/L）</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0.14-0.18</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0.17-0.21</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0.11-0.13</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0.12-0.14</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0.28-0.36</w:t>
            </w:r>
          </w:p>
        </w:tc>
        <w:tc>
          <w:tcPr>
            <w:tcW w:w="75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0.34-0.42</w:t>
            </w:r>
          </w:p>
        </w:tc>
        <w:tc>
          <w:tcPr>
            <w:tcW w:w="1098"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0.22-0.26</w:t>
            </w:r>
          </w:p>
        </w:tc>
        <w:tc>
          <w:tcPr>
            <w:tcW w:w="10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0.24-0.28</w:t>
            </w:r>
          </w:p>
        </w:tc>
      </w:tr>
      <w:tr>
        <w:tblPrEx>
          <w:tblCellMar>
            <w:top w:w="0" w:type="dxa"/>
            <w:left w:w="108" w:type="dxa"/>
            <w:bottom w:w="0" w:type="dxa"/>
            <w:right w:w="108" w:type="dxa"/>
          </w:tblCellMar>
        </w:tblPrEx>
        <w:tc>
          <w:tcPr>
            <w:tcW w:w="1105" w:type="pct"/>
            <w:tcBorders>
              <w:top w:val="nil"/>
              <w:left w:val="single" w:color="auto" w:sz="8" w:space="0"/>
              <w:bottom w:val="nil"/>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水温（</w:t>
            </w:r>
            <w:r>
              <w:rPr>
                <w:rFonts w:hint="eastAsia" w:ascii="宋体" w:hAnsi="宋体" w:cs="宋体"/>
                <w:kern w:val="0"/>
                <w:sz w:val="21"/>
              </w:rPr>
              <w:t>℃</w:t>
            </w:r>
            <w:r>
              <w:rPr>
                <w:rFonts w:ascii="Times New Roman" w:hAnsi="Times New Roman"/>
                <w:kern w:val="0"/>
                <w:sz w:val="21"/>
              </w:rPr>
              <w:t>）</w:t>
            </w:r>
          </w:p>
        </w:tc>
        <w:tc>
          <w:tcPr>
            <w:tcW w:w="941" w:type="pct"/>
            <w:tcBorders>
              <w:top w:val="nil"/>
              <w:left w:val="nil"/>
              <w:bottom w:val="nil"/>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3.2-4.1</w:t>
            </w:r>
          </w:p>
        </w:tc>
        <w:tc>
          <w:tcPr>
            <w:tcW w:w="756" w:type="pct"/>
            <w:tcBorders>
              <w:top w:val="nil"/>
              <w:left w:val="nil"/>
              <w:bottom w:val="nil"/>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3.9-4.8</w:t>
            </w:r>
          </w:p>
        </w:tc>
        <w:tc>
          <w:tcPr>
            <w:tcW w:w="1098" w:type="pct"/>
            <w:tcBorders>
              <w:top w:val="nil"/>
              <w:left w:val="nil"/>
              <w:bottom w:val="nil"/>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3.7-3.8</w:t>
            </w:r>
          </w:p>
        </w:tc>
        <w:tc>
          <w:tcPr>
            <w:tcW w:w="1099" w:type="pct"/>
            <w:tcBorders>
              <w:top w:val="nil"/>
              <w:left w:val="nil"/>
              <w:bottom w:val="nil"/>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4.1-5.2</w:t>
            </w:r>
          </w:p>
        </w:tc>
      </w:tr>
      <w:tr>
        <w:tblPrEx>
          <w:tblCellMar>
            <w:top w:w="0" w:type="dxa"/>
            <w:left w:w="108" w:type="dxa"/>
            <w:bottom w:w="0" w:type="dxa"/>
            <w:right w:w="108" w:type="dxa"/>
          </w:tblCellMar>
        </w:tblPrEx>
        <w:tc>
          <w:tcPr>
            <w:tcW w:w="1105"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占标率</w:t>
            </w:r>
          </w:p>
        </w:tc>
        <w:tc>
          <w:tcPr>
            <w:tcW w:w="941" w:type="pct"/>
            <w:tcBorders>
              <w:top w:val="single" w:color="auto" w:sz="8" w:space="0"/>
              <w:left w:val="single" w:color="auto" w:sz="4" w:space="0"/>
              <w:bottom w:val="single" w:color="auto" w:sz="8"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756" w:type="pct"/>
            <w:tcBorders>
              <w:top w:val="single" w:color="auto" w:sz="8" w:space="0"/>
              <w:left w:val="nil"/>
              <w:bottom w:val="single" w:color="auto" w:sz="8"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8" w:type="pct"/>
            <w:tcBorders>
              <w:top w:val="single" w:color="auto" w:sz="8" w:space="0"/>
              <w:left w:val="nil"/>
              <w:bottom w:val="single" w:color="auto" w:sz="8"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c>
          <w:tcPr>
            <w:tcW w:w="1099" w:type="pct"/>
            <w:tcBorders>
              <w:top w:val="single" w:color="auto" w:sz="8" w:space="0"/>
              <w:left w:val="nil"/>
              <w:bottom w:val="single" w:color="auto" w:sz="8"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rPr>
            </w:pPr>
            <w:r>
              <w:rPr>
                <w:rFonts w:ascii="Times New Roman" w:hAnsi="Times New Roman"/>
                <w:kern w:val="0"/>
                <w:sz w:val="21"/>
              </w:rPr>
              <w:t>/</w:t>
            </w:r>
          </w:p>
        </w:tc>
      </w:tr>
    </w:tbl>
    <w:p>
      <w:pPr>
        <w:spacing w:before="156" w:beforeLines="50"/>
        <w:ind w:firstLine="480"/>
        <w:rPr>
          <w:rFonts w:ascii="Times New Roman" w:hAnsi="Times New Roman"/>
          <w:szCs w:val="24"/>
        </w:rPr>
      </w:pPr>
      <w:r>
        <w:rPr>
          <w:rFonts w:hint="eastAsia" w:ascii="Times New Roman" w:hAnsi="Times New Roman"/>
          <w:szCs w:val="24"/>
        </w:rPr>
        <w:t>（2）现状评价</w:t>
      </w:r>
    </w:p>
    <w:p>
      <w:pPr>
        <w:ind w:firstLine="480"/>
        <w:rPr>
          <w:rFonts w:ascii="Times New Roman" w:hAnsi="Times New Roman"/>
          <w:szCs w:val="24"/>
        </w:rPr>
      </w:pPr>
      <w:r>
        <w:rPr>
          <w:rFonts w:hint="eastAsia" w:ascii="Times New Roman" w:hAnsi="Times New Roman"/>
          <w:szCs w:val="24"/>
        </w:rPr>
        <w:t>①</w:t>
      </w:r>
      <w:r>
        <w:rPr>
          <w:rFonts w:ascii="Times New Roman" w:hAnsi="Times New Roman"/>
          <w:szCs w:val="24"/>
        </w:rPr>
        <w:t>评价方法</w:t>
      </w:r>
    </w:p>
    <w:p>
      <w:pPr>
        <w:ind w:firstLine="480"/>
        <w:rPr>
          <w:rFonts w:ascii="Times New Roman" w:hAnsi="Times New Roman"/>
          <w:szCs w:val="24"/>
        </w:rPr>
      </w:pPr>
      <w:r>
        <w:rPr>
          <w:rFonts w:ascii="Times New Roman" w:hAnsi="Times New Roman"/>
          <w:szCs w:val="24"/>
        </w:rPr>
        <w:t>采用标准指数进行单项水质参数评价。</w:t>
      </w:r>
    </w:p>
    <w:p>
      <w:pPr>
        <w:ind w:firstLine="480"/>
        <w:rPr>
          <w:rFonts w:ascii="Times New Roman" w:hAnsi="Times New Roman"/>
          <w:szCs w:val="24"/>
        </w:rPr>
      </w:pPr>
      <w:r>
        <w:rPr>
          <w:rFonts w:ascii="Times New Roman" w:hAnsi="Times New Roman"/>
          <w:szCs w:val="24"/>
        </w:rPr>
        <w:t>pH值的标准指数：</w:t>
      </w:r>
    </w:p>
    <w:p>
      <w:pPr>
        <w:adjustRightInd w:val="0"/>
        <w:ind w:firstLine="480"/>
        <w:textAlignment w:val="baseline"/>
        <w:rPr>
          <w:rFonts w:ascii="Times New Roman" w:hAnsi="Times New Roman"/>
          <w:szCs w:val="20"/>
        </w:rPr>
      </w:pPr>
      <w:r>
        <w:rPr>
          <w:rFonts w:ascii="Times New Roman" w:hAnsi="Times New Roman"/>
          <w:szCs w:val="20"/>
        </w:rPr>
        <w:t>当pH≤7.0时，</w:t>
      </w:r>
      <w:r>
        <w:rPr>
          <w:rFonts w:ascii="Times New Roman" w:hAnsi="Times New Roman"/>
          <w:position w:val="-28"/>
          <w:szCs w:val="20"/>
        </w:rPr>
        <w:drawing>
          <wp:inline distT="0" distB="0" distL="0" distR="0">
            <wp:extent cx="1791970" cy="4241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791970" cy="424180"/>
                    </a:xfrm>
                    <a:prstGeom prst="rect">
                      <a:avLst/>
                    </a:prstGeom>
                    <a:noFill/>
                    <a:ln>
                      <a:noFill/>
                    </a:ln>
                  </pic:spPr>
                </pic:pic>
              </a:graphicData>
            </a:graphic>
          </wp:inline>
        </w:drawing>
      </w:r>
    </w:p>
    <w:p>
      <w:pPr>
        <w:adjustRightInd w:val="0"/>
        <w:ind w:firstLine="480"/>
        <w:textAlignment w:val="baseline"/>
        <w:rPr>
          <w:rFonts w:ascii="Times New Roman" w:hAnsi="Times New Roman"/>
          <w:szCs w:val="20"/>
        </w:rPr>
      </w:pPr>
      <w:r>
        <w:rPr>
          <w:rFonts w:ascii="Times New Roman" w:hAnsi="Times New Roman"/>
          <w:szCs w:val="20"/>
        </w:rPr>
        <w:t>当pH&gt;7.0时，</w:t>
      </w:r>
      <w:r>
        <w:rPr>
          <w:rFonts w:ascii="Times New Roman" w:hAnsi="Times New Roman"/>
          <w:position w:val="-28"/>
          <w:szCs w:val="20"/>
        </w:rPr>
        <w:drawing>
          <wp:inline distT="0" distB="0" distL="0" distR="0">
            <wp:extent cx="1791970" cy="4241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791970" cy="424180"/>
                    </a:xfrm>
                    <a:prstGeom prst="rect">
                      <a:avLst/>
                    </a:prstGeom>
                    <a:noFill/>
                    <a:ln>
                      <a:noFill/>
                    </a:ln>
                  </pic:spPr>
                </pic:pic>
              </a:graphicData>
            </a:graphic>
          </wp:inline>
        </w:drawing>
      </w:r>
      <w:r>
        <w:rPr>
          <w:rFonts w:ascii="Times New Roman" w:hAnsi="Times New Roman"/>
          <w:szCs w:val="20"/>
        </w:rPr>
        <w:t>。</w:t>
      </w:r>
    </w:p>
    <w:p>
      <w:pPr>
        <w:adjustRightInd w:val="0"/>
        <w:ind w:firstLine="480"/>
        <w:textAlignment w:val="baseline"/>
        <w:rPr>
          <w:rFonts w:ascii="Times New Roman" w:hAnsi="Times New Roman"/>
          <w:szCs w:val="20"/>
        </w:rPr>
      </w:pPr>
      <w:r>
        <w:rPr>
          <w:rFonts w:ascii="Times New Roman" w:hAnsi="Times New Roman"/>
          <w:szCs w:val="20"/>
        </w:rPr>
        <w:t>地表水其它项目的标准指数：</w:t>
      </w:r>
    </w:p>
    <w:p>
      <w:pPr>
        <w:adjustRightInd w:val="0"/>
        <w:ind w:firstLine="480"/>
        <w:jc w:val="center"/>
        <w:textAlignment w:val="baseline"/>
        <w:rPr>
          <w:rFonts w:ascii="Times New Roman" w:hAnsi="Times New Roman"/>
          <w:szCs w:val="20"/>
        </w:rPr>
      </w:pPr>
      <w:r>
        <w:rPr>
          <w:rFonts w:ascii="Times New Roman" w:hAnsi="Times New Roman"/>
          <w:position w:val="-24"/>
          <w:szCs w:val="20"/>
        </w:rPr>
        <w:drawing>
          <wp:inline distT="0" distB="0" distL="0" distR="0">
            <wp:extent cx="534035" cy="38798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34035" cy="387985"/>
                    </a:xfrm>
                    <a:prstGeom prst="rect">
                      <a:avLst/>
                    </a:prstGeom>
                    <a:noFill/>
                    <a:ln>
                      <a:noFill/>
                    </a:ln>
                  </pic:spPr>
                </pic:pic>
              </a:graphicData>
            </a:graphic>
          </wp:inline>
        </w:drawing>
      </w:r>
    </w:p>
    <w:p>
      <w:pPr>
        <w:adjustRightInd w:val="0"/>
        <w:ind w:firstLine="480"/>
        <w:textAlignment w:val="baseline"/>
        <w:rPr>
          <w:rFonts w:ascii="Times New Roman" w:hAnsi="Times New Roman"/>
          <w:szCs w:val="20"/>
        </w:rPr>
      </w:pPr>
      <w:r>
        <w:rPr>
          <w:rFonts w:ascii="Times New Roman" w:hAnsi="Times New Roman"/>
          <w:szCs w:val="20"/>
        </w:rPr>
        <w:t>式中：S</w:t>
      </w:r>
      <w:r>
        <w:rPr>
          <w:rFonts w:ascii="Times New Roman" w:hAnsi="Times New Roman"/>
          <w:szCs w:val="20"/>
          <w:vertAlign w:val="subscript"/>
        </w:rPr>
        <w:t>i</w:t>
      </w:r>
      <w:r>
        <w:rPr>
          <w:rFonts w:ascii="Times New Roman" w:hAnsi="Times New Roman"/>
          <w:szCs w:val="20"/>
        </w:rPr>
        <w:t>—i污染物的标准指数；</w:t>
      </w:r>
    </w:p>
    <w:p>
      <w:pPr>
        <w:adjustRightInd w:val="0"/>
        <w:ind w:firstLine="480"/>
        <w:textAlignment w:val="baseline"/>
        <w:rPr>
          <w:rFonts w:ascii="Times New Roman" w:hAnsi="Times New Roman"/>
          <w:szCs w:val="20"/>
        </w:rPr>
      </w:pPr>
      <w:r>
        <w:rPr>
          <w:rFonts w:ascii="Times New Roman" w:hAnsi="Times New Roman"/>
          <w:szCs w:val="20"/>
        </w:rPr>
        <w:t xml:space="preserve">      C</w:t>
      </w:r>
      <w:r>
        <w:rPr>
          <w:rFonts w:ascii="Times New Roman" w:hAnsi="Times New Roman"/>
          <w:szCs w:val="20"/>
          <w:vertAlign w:val="subscript"/>
        </w:rPr>
        <w:t>i</w:t>
      </w:r>
      <w:r>
        <w:rPr>
          <w:rFonts w:ascii="Times New Roman" w:hAnsi="Times New Roman"/>
          <w:szCs w:val="20"/>
        </w:rPr>
        <w:t>—污染物的实测浓度平均值（mg/L）；</w:t>
      </w:r>
    </w:p>
    <w:p>
      <w:pPr>
        <w:adjustRightInd w:val="0"/>
        <w:ind w:firstLine="480"/>
        <w:textAlignment w:val="baseline"/>
        <w:rPr>
          <w:rFonts w:ascii="Times New Roman" w:hAnsi="Times New Roman"/>
          <w:szCs w:val="20"/>
        </w:rPr>
      </w:pPr>
      <w:r>
        <w:rPr>
          <w:rFonts w:ascii="Times New Roman" w:hAnsi="Times New Roman"/>
          <w:szCs w:val="20"/>
        </w:rPr>
        <w:t xml:space="preserve">      C</w:t>
      </w:r>
      <w:r>
        <w:rPr>
          <w:rFonts w:ascii="Times New Roman" w:hAnsi="Times New Roman"/>
          <w:szCs w:val="20"/>
          <w:vertAlign w:val="subscript"/>
        </w:rPr>
        <w:t>0i</w:t>
      </w:r>
      <w:r>
        <w:rPr>
          <w:rFonts w:ascii="Times New Roman" w:hAnsi="Times New Roman"/>
          <w:szCs w:val="20"/>
        </w:rPr>
        <w:t>—污染物的评价标准值（mg/L）。</w:t>
      </w:r>
    </w:p>
    <w:p>
      <w:pPr>
        <w:adjustRightInd w:val="0"/>
        <w:ind w:firstLine="480"/>
        <w:textAlignment w:val="baseline"/>
        <w:rPr>
          <w:rFonts w:ascii="Times New Roman" w:hAnsi="Times New Roman"/>
          <w:szCs w:val="20"/>
        </w:rPr>
      </w:pPr>
      <w:r>
        <w:rPr>
          <w:rFonts w:hint="eastAsia" w:ascii="Times New Roman" w:hAnsi="Times New Roman"/>
          <w:szCs w:val="20"/>
        </w:rPr>
        <w:t>②</w:t>
      </w:r>
      <w:r>
        <w:rPr>
          <w:rFonts w:ascii="Times New Roman" w:hAnsi="Times New Roman"/>
          <w:szCs w:val="20"/>
        </w:rPr>
        <w:t>评价标准</w:t>
      </w:r>
    </w:p>
    <w:p>
      <w:pPr>
        <w:adjustRightInd w:val="0"/>
        <w:ind w:firstLine="480"/>
        <w:textAlignment w:val="baseline"/>
        <w:rPr>
          <w:rFonts w:ascii="Times New Roman" w:hAnsi="Times New Roman"/>
          <w:szCs w:val="20"/>
        </w:rPr>
      </w:pPr>
      <w:r>
        <w:rPr>
          <w:rFonts w:ascii="Times New Roman" w:hAnsi="Times New Roman"/>
          <w:szCs w:val="20"/>
        </w:rPr>
        <w:t>《地表水环境质量标准》（GB3838-2002）</w:t>
      </w:r>
      <w:r>
        <w:rPr>
          <w:rFonts w:hint="eastAsia" w:ascii="宋体" w:hAnsi="宋体" w:cs="宋体"/>
          <w:szCs w:val="20"/>
        </w:rPr>
        <w:t>Ⅳ</w:t>
      </w:r>
      <w:r>
        <w:rPr>
          <w:rFonts w:ascii="Times New Roman" w:hAnsi="Times New Roman"/>
          <w:szCs w:val="20"/>
        </w:rPr>
        <w:t>类标准。</w:t>
      </w:r>
    </w:p>
    <w:p>
      <w:pPr>
        <w:adjustRightInd w:val="0"/>
        <w:ind w:firstLine="480"/>
        <w:textAlignment w:val="baseline"/>
        <w:rPr>
          <w:rFonts w:ascii="Times New Roman" w:hAnsi="Times New Roman"/>
          <w:szCs w:val="20"/>
        </w:rPr>
      </w:pPr>
      <w:r>
        <w:rPr>
          <w:rFonts w:hint="eastAsia" w:ascii="Times New Roman" w:hAnsi="Times New Roman"/>
          <w:szCs w:val="20"/>
        </w:rPr>
        <w:t>③</w:t>
      </w:r>
      <w:r>
        <w:rPr>
          <w:rFonts w:ascii="Times New Roman" w:hAnsi="Times New Roman"/>
          <w:szCs w:val="20"/>
        </w:rPr>
        <w:t>评价结果</w:t>
      </w:r>
    </w:p>
    <w:p>
      <w:pPr>
        <w:adjustRightInd w:val="0"/>
        <w:ind w:firstLine="480"/>
        <w:textAlignment w:val="baseline"/>
        <w:rPr>
          <w:rFonts w:ascii="Times New Roman" w:hAnsi="Times New Roman"/>
          <w:szCs w:val="20"/>
        </w:rPr>
      </w:pPr>
      <w:r>
        <w:rPr>
          <w:rFonts w:ascii="Times New Roman" w:hAnsi="Times New Roman"/>
          <w:szCs w:val="20"/>
        </w:rPr>
        <w:t>地表水环境质量现状评价结果见表</w:t>
      </w:r>
      <w:r>
        <w:rPr>
          <w:rFonts w:hint="eastAsia" w:ascii="Times New Roman" w:hAnsi="Times New Roman"/>
          <w:szCs w:val="20"/>
        </w:rPr>
        <w:t>4.2-</w:t>
      </w:r>
      <w:r>
        <w:rPr>
          <w:rFonts w:ascii="Times New Roman" w:hAnsi="Times New Roman"/>
          <w:szCs w:val="20"/>
        </w:rPr>
        <w:t>4。</w:t>
      </w:r>
    </w:p>
    <w:p>
      <w:pPr>
        <w:adjustRightInd w:val="0"/>
        <w:ind w:firstLine="480"/>
        <w:textAlignment w:val="baseline"/>
        <w:rPr>
          <w:rFonts w:ascii="Times New Roman" w:hAnsi="Times New Roman"/>
          <w:szCs w:val="20"/>
        </w:rPr>
      </w:pPr>
      <w:r>
        <w:rPr>
          <w:rFonts w:ascii="Times New Roman" w:hAnsi="Times New Roman"/>
          <w:szCs w:val="20"/>
        </w:rPr>
        <w:t>赵家坪沟和曲峪沟水质监测项目中均未出现超标，能满足《地表水环境质量标准》（GB3838-2002）Ⅳ类标准，水质达标。</w:t>
      </w:r>
    </w:p>
    <w:p>
      <w:pPr>
        <w:ind w:firstLine="0" w:firstLineChars="0"/>
        <w:outlineLvl w:val="2"/>
        <w:rPr>
          <w:rFonts w:ascii="Times New Roman" w:hAnsi="Times New Roman"/>
          <w:b/>
          <w:sz w:val="28"/>
          <w:szCs w:val="28"/>
        </w:rPr>
      </w:pPr>
      <w:bookmarkStart w:id="72" w:name="_Toc524624604"/>
      <w:r>
        <w:rPr>
          <w:rFonts w:hint="eastAsia" w:ascii="Times New Roman" w:hAnsi="Times New Roman"/>
          <w:b/>
          <w:sz w:val="28"/>
          <w:szCs w:val="28"/>
        </w:rPr>
        <w:t>4.2.3 地下水质量现状与评价</w:t>
      </w:r>
      <w:bookmarkEnd w:id="72"/>
    </w:p>
    <w:p>
      <w:pPr>
        <w:ind w:firstLine="480"/>
        <w:rPr>
          <w:rFonts w:ascii="Times New Roman" w:hAnsi="Times New Roman"/>
          <w:szCs w:val="24"/>
        </w:rPr>
      </w:pPr>
      <w:r>
        <w:rPr>
          <w:rFonts w:hint="eastAsia" w:ascii="Times New Roman" w:hAnsi="Times New Roman"/>
          <w:szCs w:val="24"/>
        </w:rPr>
        <w:t>（1）地下水污染物有现状调查</w:t>
      </w:r>
    </w:p>
    <w:p>
      <w:pPr>
        <w:ind w:firstLine="480"/>
        <w:rPr>
          <w:rFonts w:ascii="Times New Roman" w:hAnsi="Times New Roman"/>
          <w:szCs w:val="24"/>
        </w:rPr>
      </w:pPr>
      <w:r>
        <w:rPr>
          <w:rFonts w:hint="eastAsia" w:ascii="Times New Roman" w:hAnsi="Times New Roman"/>
          <w:szCs w:val="24"/>
        </w:rPr>
        <w:t>①工业污染源调查</w:t>
      </w:r>
    </w:p>
    <w:p>
      <w:pPr>
        <w:ind w:firstLine="480"/>
        <w:rPr>
          <w:rFonts w:ascii="Times New Roman" w:hAnsi="Times New Roman"/>
          <w:szCs w:val="24"/>
        </w:rPr>
      </w:pPr>
      <w:r>
        <w:rPr>
          <w:rFonts w:hint="eastAsia" w:ascii="Times New Roman" w:hAnsi="Times New Roman"/>
          <w:szCs w:val="24"/>
        </w:rPr>
        <w:t>根据野外实际调查结果，评价区内现阶段没有运行的工业企业，项目评价范围内不存在工业污染源。</w:t>
      </w:r>
    </w:p>
    <w:p>
      <w:pPr>
        <w:ind w:firstLine="480"/>
        <w:rPr>
          <w:rFonts w:ascii="Times New Roman" w:hAnsi="Times New Roman"/>
          <w:szCs w:val="24"/>
        </w:rPr>
      </w:pPr>
      <w:r>
        <w:rPr>
          <w:rFonts w:hint="eastAsia" w:ascii="Times New Roman" w:hAnsi="Times New Roman"/>
          <w:szCs w:val="24"/>
        </w:rPr>
        <w:t>②农业污染源调查</w:t>
      </w:r>
    </w:p>
    <w:p>
      <w:pPr>
        <w:ind w:firstLine="480"/>
        <w:rPr>
          <w:rFonts w:ascii="Times New Roman" w:hAnsi="Times New Roman"/>
          <w:szCs w:val="24"/>
        </w:rPr>
      </w:pPr>
      <w:r>
        <w:rPr>
          <w:rFonts w:hint="eastAsia" w:ascii="Times New Roman" w:hAnsi="Times New Roman"/>
          <w:szCs w:val="24"/>
        </w:rPr>
        <w:t>根据野外实际调查结果，项目评价区主要农作物为玉米、谷物、大豆以及小杂粮品种等。根据作物特征，评价区农业污染源主要为各村村民使用化肥（如氮肥、磷肥、钾肥）。评价区内现有耕地约1.2万亩（各村庄耕地面积见表4.2-6），施用氮肥约25kg/亩，磷肥约26 kg/亩，钾肥约17 kg/亩。</w:t>
      </w: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r>
        <w:rPr>
          <w:rFonts w:hint="eastAsia" w:ascii="Times New Roman" w:hAnsi="Times New Roman"/>
          <w:b/>
          <w:sz w:val="21"/>
        </w:rPr>
        <w:t>表4.2-6各村庄耕地面积统计一览表</w:t>
      </w:r>
    </w:p>
    <w:tbl>
      <w:tblPr>
        <w:tblStyle w:val="18"/>
        <w:tblW w:w="5000" w:type="pct"/>
        <w:tblInd w:w="0" w:type="dxa"/>
        <w:tblLayout w:type="fixed"/>
        <w:tblCellMar>
          <w:top w:w="0" w:type="dxa"/>
          <w:left w:w="108" w:type="dxa"/>
          <w:bottom w:w="0" w:type="dxa"/>
          <w:right w:w="108" w:type="dxa"/>
        </w:tblCellMar>
      </w:tblPr>
      <w:tblGrid>
        <w:gridCol w:w="1444"/>
        <w:gridCol w:w="1208"/>
        <w:gridCol w:w="1342"/>
        <w:gridCol w:w="2280"/>
        <w:gridCol w:w="2248"/>
      </w:tblGrid>
      <w:tr>
        <w:tblPrEx>
          <w:tblCellMar>
            <w:top w:w="0" w:type="dxa"/>
            <w:left w:w="108" w:type="dxa"/>
            <w:bottom w:w="0" w:type="dxa"/>
            <w:right w:w="108" w:type="dxa"/>
          </w:tblCellMar>
        </w:tblPrEx>
        <w:trPr>
          <w:trHeight w:val="312" w:hRule="atLeast"/>
        </w:trPr>
        <w:tc>
          <w:tcPr>
            <w:tcW w:w="84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序号</w:t>
            </w:r>
          </w:p>
        </w:tc>
        <w:tc>
          <w:tcPr>
            <w:tcW w:w="1496" w:type="pct"/>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村庄</w:t>
            </w:r>
          </w:p>
        </w:tc>
        <w:tc>
          <w:tcPr>
            <w:tcW w:w="133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人口（口）</w:t>
            </w:r>
          </w:p>
        </w:tc>
        <w:tc>
          <w:tcPr>
            <w:tcW w:w="131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耕地面积（亩）</w:t>
            </w:r>
          </w:p>
        </w:tc>
      </w:tr>
      <w:tr>
        <w:tblPrEx>
          <w:tblCellMar>
            <w:top w:w="0" w:type="dxa"/>
            <w:left w:w="108" w:type="dxa"/>
            <w:bottom w:w="0" w:type="dxa"/>
            <w:right w:w="108" w:type="dxa"/>
          </w:tblCellMar>
        </w:tblPrEx>
        <w:trPr>
          <w:trHeight w:val="312" w:hRule="atLeast"/>
        </w:trPr>
        <w:tc>
          <w:tcPr>
            <w:tcW w:w="847" w:type="pct"/>
            <w:vMerge w:val="continue"/>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496" w:type="pct"/>
            <w:gridSpan w:val="2"/>
            <w:vMerge w:val="continue"/>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38" w:type="pct"/>
            <w:vMerge w:val="continue"/>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w:t>
            </w:r>
          </w:p>
        </w:tc>
        <w:tc>
          <w:tcPr>
            <w:tcW w:w="709" w:type="pct"/>
            <w:vMerge w:val="restart"/>
            <w:tcBorders>
              <w:top w:val="nil"/>
              <w:left w:val="single" w:color="auto" w:sz="4" w:space="0"/>
              <w:bottom w:val="single" w:color="auto" w:sz="4"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赵家坪乡</w:t>
            </w: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后</w:t>
            </w:r>
            <w:r>
              <w:rPr>
                <w:rFonts w:ascii="Times New Roman" w:hAnsi="Times New Roman"/>
                <w:sz w:val="21"/>
                <w:szCs w:val="20"/>
              </w:rPr>
              <w:t>赵家坪</w:t>
            </w:r>
          </w:p>
        </w:tc>
        <w:tc>
          <w:tcPr>
            <w:tcW w:w="133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672</w:t>
            </w:r>
          </w:p>
        </w:tc>
        <w:tc>
          <w:tcPr>
            <w:tcW w:w="1319"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4082</w:t>
            </w: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前</w:t>
            </w:r>
            <w:r>
              <w:rPr>
                <w:rFonts w:ascii="Times New Roman" w:hAnsi="Times New Roman"/>
                <w:sz w:val="21"/>
                <w:szCs w:val="20"/>
              </w:rPr>
              <w:t>赵家坪</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佐子坪</w:t>
            </w:r>
          </w:p>
        </w:tc>
        <w:tc>
          <w:tcPr>
            <w:tcW w:w="133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627</w:t>
            </w:r>
          </w:p>
        </w:tc>
        <w:tc>
          <w:tcPr>
            <w:tcW w:w="1319"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3774</w:t>
            </w: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上代店</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下代店</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6</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小湾则</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7</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张家庄</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8</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王家峁</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9</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王家塔</w:t>
            </w:r>
          </w:p>
        </w:tc>
        <w:tc>
          <w:tcPr>
            <w:tcW w:w="133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743</w:t>
            </w:r>
          </w:p>
        </w:tc>
        <w:tc>
          <w:tcPr>
            <w:tcW w:w="1319"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4147</w:t>
            </w: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10</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宋家塔</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11</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官道峁</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847" w:type="pct"/>
            <w:tcBorders>
              <w:top w:val="nil"/>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12</w:t>
            </w:r>
          </w:p>
        </w:tc>
        <w:tc>
          <w:tcPr>
            <w:tcW w:w="709" w:type="pct"/>
            <w:vMerge w:val="continue"/>
            <w:tcBorders>
              <w:top w:val="nil"/>
              <w:left w:val="single" w:color="auto" w:sz="4" w:space="0"/>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787" w:type="pct"/>
            <w:tcBorders>
              <w:top w:val="nil"/>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前塔上</w:t>
            </w:r>
          </w:p>
        </w:tc>
        <w:tc>
          <w:tcPr>
            <w:tcW w:w="1338"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1319" w:type="pct"/>
            <w:vMerge w:val="continue"/>
            <w:tcBorders>
              <w:top w:val="nil"/>
              <w:left w:val="nil"/>
              <w:bottom w:val="single" w:color="auto" w:sz="4" w:space="0"/>
              <w:right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p>
        </w:tc>
      </w:tr>
      <w:tr>
        <w:tblPrEx>
          <w:tblCellMar>
            <w:top w:w="0" w:type="dxa"/>
            <w:left w:w="108" w:type="dxa"/>
            <w:bottom w:w="0" w:type="dxa"/>
            <w:right w:w="108" w:type="dxa"/>
          </w:tblCellMar>
        </w:tblPrEx>
        <w:tc>
          <w:tcPr>
            <w:tcW w:w="2343"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合计</w:t>
            </w:r>
          </w:p>
        </w:tc>
        <w:tc>
          <w:tcPr>
            <w:tcW w:w="1338" w:type="pct"/>
            <w:tcBorders>
              <w:top w:val="single" w:color="auto" w:sz="4" w:space="0"/>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2042</w:t>
            </w:r>
          </w:p>
        </w:tc>
        <w:tc>
          <w:tcPr>
            <w:tcW w:w="1319" w:type="pct"/>
            <w:tcBorders>
              <w:top w:val="single" w:color="auto" w:sz="4" w:space="0"/>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12003</w:t>
            </w:r>
          </w:p>
        </w:tc>
      </w:tr>
      <w:tr>
        <w:tblPrEx>
          <w:tblCellMar>
            <w:top w:w="0" w:type="dxa"/>
            <w:left w:w="108" w:type="dxa"/>
            <w:bottom w:w="0" w:type="dxa"/>
            <w:right w:w="108" w:type="dxa"/>
          </w:tblCellMar>
        </w:tblPrEx>
        <w:tc>
          <w:tcPr>
            <w:tcW w:w="2343"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备注</w:t>
            </w:r>
          </w:p>
        </w:tc>
        <w:tc>
          <w:tcPr>
            <w:tcW w:w="2657" w:type="pct"/>
            <w:gridSpan w:val="2"/>
            <w:tcBorders>
              <w:top w:val="single" w:color="auto" w:sz="4" w:space="0"/>
              <w:left w:val="nil"/>
              <w:bottom w:val="single" w:color="auto" w:sz="4"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字体加粗的为行政村，其余为自然村。</w:t>
            </w:r>
          </w:p>
        </w:tc>
      </w:tr>
    </w:tbl>
    <w:p>
      <w:pPr>
        <w:ind w:firstLine="480"/>
        <w:rPr>
          <w:rFonts w:ascii="Times New Roman" w:hAnsi="Times New Roman"/>
          <w:szCs w:val="24"/>
        </w:rPr>
      </w:pPr>
      <w:r>
        <w:rPr>
          <w:rFonts w:hint="eastAsia" w:ascii="Times New Roman" w:hAnsi="Times New Roman"/>
          <w:szCs w:val="24"/>
        </w:rPr>
        <w:t>③生活污染源调查</w:t>
      </w:r>
    </w:p>
    <w:p>
      <w:pPr>
        <w:ind w:firstLine="480"/>
        <w:rPr>
          <w:rFonts w:ascii="Times New Roman" w:hAnsi="Times New Roman"/>
          <w:szCs w:val="24"/>
        </w:rPr>
      </w:pPr>
      <w:r>
        <w:rPr>
          <w:rFonts w:hint="eastAsia" w:ascii="Times New Roman" w:hAnsi="Times New Roman"/>
          <w:szCs w:val="24"/>
        </w:rPr>
        <w:t>根据野外实际调查结果，评价区内生活污染源主要来自各村庄居民生活废水以及垃圾堆的渗滤液。生活污水就地排放，若按每人每天0.1m</w:t>
      </w:r>
      <w:r>
        <w:rPr>
          <w:rFonts w:hint="eastAsia" w:ascii="Times New Roman" w:hAnsi="Times New Roman"/>
          <w:szCs w:val="24"/>
          <w:vertAlign w:val="superscript"/>
        </w:rPr>
        <w:t>3</w:t>
      </w:r>
      <w:r>
        <w:rPr>
          <w:rFonts w:hint="eastAsia" w:ascii="Times New Roman" w:hAnsi="Times New Roman"/>
          <w:szCs w:val="24"/>
        </w:rPr>
        <w:t>的污水量，常驻人口按总人口的20%计算，则评价区每年共排放生活污水0.15万m</w:t>
      </w:r>
      <w:r>
        <w:rPr>
          <w:rFonts w:hint="eastAsia" w:ascii="Times New Roman" w:hAnsi="Times New Roman"/>
          <w:szCs w:val="24"/>
          <w:vertAlign w:val="superscript"/>
        </w:rPr>
        <w:t>3</w:t>
      </w:r>
      <w:r>
        <w:rPr>
          <w:rFonts w:hint="eastAsia" w:ascii="Times New Roman" w:hAnsi="Times New Roman"/>
          <w:szCs w:val="24"/>
        </w:rPr>
        <w:t>/a。</w:t>
      </w:r>
    </w:p>
    <w:p>
      <w:pPr>
        <w:ind w:firstLine="480"/>
        <w:rPr>
          <w:rFonts w:ascii="Times New Roman" w:hAnsi="Times New Roman"/>
          <w:szCs w:val="24"/>
        </w:rPr>
      </w:pPr>
      <w:r>
        <w:rPr>
          <w:rFonts w:hint="eastAsia" w:ascii="Times New Roman" w:hAnsi="Times New Roman"/>
          <w:szCs w:val="24"/>
        </w:rPr>
        <w:t>据调查，评价区内垃圾堆任意堆放的现象比较突出，主要分布在村庄附近的沟谷、沟坡中，降雨淋溶垃圾堆产生的垃圾渗滤液将直接流到地表水以及下渗到松散潜层地下水。</w:t>
      </w:r>
    </w:p>
    <w:p>
      <w:pPr>
        <w:ind w:firstLine="480"/>
        <w:rPr>
          <w:rFonts w:ascii="Times New Roman" w:hAnsi="Times New Roman"/>
          <w:szCs w:val="24"/>
        </w:rPr>
      </w:pPr>
      <w:r>
        <w:rPr>
          <w:rFonts w:hint="eastAsia" w:ascii="Times New Roman" w:hAnsi="Times New Roman"/>
          <w:szCs w:val="24"/>
        </w:rPr>
        <w:t>（2）现状监测</w:t>
      </w:r>
    </w:p>
    <w:p>
      <w:pPr>
        <w:ind w:firstLine="480"/>
        <w:rPr>
          <w:rFonts w:ascii="Times New Roman" w:hAnsi="Times New Roman"/>
          <w:szCs w:val="24"/>
        </w:rPr>
      </w:pPr>
      <w:r>
        <w:rPr>
          <w:rFonts w:hint="eastAsia" w:ascii="Times New Roman" w:hAnsi="Times New Roman"/>
          <w:szCs w:val="24"/>
        </w:rPr>
        <w:t>本项目委托山西华晋监测技术有限公司对临兴先导区煤成气试验项目调查评价范围内监测井（泉）的水位（泉水监测流量）、水质进行监测。</w:t>
      </w:r>
    </w:p>
    <w:p>
      <w:pPr>
        <w:ind w:firstLine="480"/>
        <w:rPr>
          <w:rFonts w:ascii="Times New Roman" w:hAnsi="Times New Roman"/>
          <w:szCs w:val="24"/>
        </w:rPr>
      </w:pPr>
      <w:r>
        <w:rPr>
          <w:rFonts w:hint="eastAsia" w:ascii="Times New Roman" w:hAnsi="Times New Roman"/>
          <w:szCs w:val="24"/>
        </w:rPr>
        <w:t>①监测点布置</w:t>
      </w:r>
    </w:p>
    <w:p>
      <w:pPr>
        <w:ind w:firstLine="480"/>
        <w:rPr>
          <w:rFonts w:ascii="Times New Roman" w:hAnsi="Times New Roman"/>
          <w:szCs w:val="24"/>
        </w:rPr>
      </w:pPr>
      <w:r>
        <w:rPr>
          <w:rFonts w:ascii="Times New Roman" w:hAnsi="Times New Roman"/>
          <w:szCs w:val="24"/>
        </w:rPr>
        <w:t>在对项目区及周边区域范围内</w:t>
      </w:r>
      <w:r>
        <w:rPr>
          <w:rFonts w:hint="eastAsia" w:ascii="Times New Roman" w:hAnsi="Times New Roman"/>
          <w:szCs w:val="24"/>
        </w:rPr>
        <w:t>泉水</w:t>
      </w:r>
      <w:r>
        <w:rPr>
          <w:rFonts w:ascii="Times New Roman" w:hAnsi="Times New Roman"/>
          <w:szCs w:val="24"/>
        </w:rPr>
        <w:t>、</w:t>
      </w:r>
      <w:r>
        <w:rPr>
          <w:rFonts w:hint="eastAsia" w:ascii="Times New Roman" w:hAnsi="Times New Roman"/>
          <w:szCs w:val="24"/>
        </w:rPr>
        <w:t>浅井</w:t>
      </w:r>
      <w:r>
        <w:rPr>
          <w:rFonts w:ascii="Times New Roman" w:hAnsi="Times New Roman"/>
          <w:szCs w:val="24"/>
        </w:rPr>
        <w:t>及深井调查的基础上</w:t>
      </w:r>
      <w:r>
        <w:rPr>
          <w:rFonts w:hint="eastAsia" w:ascii="Times New Roman" w:hAnsi="Times New Roman"/>
          <w:szCs w:val="24"/>
        </w:rPr>
        <w:t>，围绕建设项目场地、周围环境敏感点、地下水污染源以及确定边界条件有控制意义的地点</w:t>
      </w:r>
      <w:r>
        <w:rPr>
          <w:rFonts w:ascii="Times New Roman" w:hAnsi="Times New Roman"/>
          <w:szCs w:val="24"/>
        </w:rPr>
        <w:t>布设地下水水质、水位（流量）监测点。</w:t>
      </w:r>
      <w:r>
        <w:rPr>
          <w:rFonts w:hint="eastAsia" w:ascii="Times New Roman" w:hAnsi="Times New Roman"/>
          <w:szCs w:val="24"/>
        </w:rPr>
        <w:t>本项目共计水质监测点10个，水位（流量）监测点17个，具体监测点布置见表</w:t>
      </w:r>
      <w:r>
        <w:rPr>
          <w:rFonts w:ascii="Times New Roman" w:hAnsi="Times New Roman"/>
          <w:szCs w:val="24"/>
        </w:rPr>
        <w:t>4</w:t>
      </w:r>
      <w:r>
        <w:rPr>
          <w:rFonts w:hint="eastAsia" w:ascii="Times New Roman" w:hAnsi="Times New Roman"/>
          <w:szCs w:val="24"/>
        </w:rPr>
        <w:t>.2</w:t>
      </w:r>
      <w:r>
        <w:rPr>
          <w:rFonts w:ascii="Times New Roman" w:hAnsi="Times New Roman"/>
          <w:szCs w:val="24"/>
        </w:rPr>
        <w:t>-</w:t>
      </w:r>
      <w:r>
        <w:rPr>
          <w:rFonts w:hint="eastAsia" w:ascii="Times New Roman" w:hAnsi="Times New Roman"/>
          <w:szCs w:val="24"/>
        </w:rPr>
        <w:t>7。地下水环境</w:t>
      </w:r>
      <w:r>
        <w:rPr>
          <w:rFonts w:ascii="Times New Roman" w:hAnsi="Times New Roman"/>
          <w:szCs w:val="24"/>
        </w:rPr>
        <w:t>监测点</w:t>
      </w:r>
      <w:r>
        <w:rPr>
          <w:rFonts w:hint="eastAsia" w:ascii="Times New Roman" w:hAnsi="Times New Roman"/>
          <w:szCs w:val="24"/>
        </w:rPr>
        <w:t>布置</w:t>
      </w:r>
      <w:r>
        <w:rPr>
          <w:rFonts w:ascii="Times New Roman" w:hAnsi="Times New Roman"/>
          <w:szCs w:val="24"/>
        </w:rPr>
        <w:t>图</w:t>
      </w:r>
      <w:r>
        <w:rPr>
          <w:rFonts w:hint="eastAsia" w:ascii="Times New Roman" w:hAnsi="Times New Roman"/>
          <w:szCs w:val="24"/>
        </w:rPr>
        <w:t>见图4.2-2。</w:t>
      </w: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w:t>
      </w:r>
      <w:r>
        <w:rPr>
          <w:rFonts w:hint="eastAsia" w:ascii="Times New Roman" w:hAnsi="Times New Roman"/>
          <w:b/>
          <w:sz w:val="21"/>
        </w:rPr>
        <w:t>.2</w:t>
      </w:r>
      <w:r>
        <w:rPr>
          <w:rFonts w:ascii="Times New Roman" w:hAnsi="Times New Roman"/>
          <w:b/>
          <w:sz w:val="21"/>
        </w:rPr>
        <w:t>-</w:t>
      </w:r>
      <w:r>
        <w:rPr>
          <w:rFonts w:hint="eastAsia" w:ascii="Times New Roman" w:hAnsi="Times New Roman"/>
          <w:b/>
          <w:sz w:val="21"/>
        </w:rPr>
        <w:t>7地下水</w:t>
      </w:r>
      <w:r>
        <w:rPr>
          <w:rFonts w:ascii="Times New Roman" w:hAnsi="Times New Roman"/>
          <w:b/>
          <w:sz w:val="21"/>
        </w:rPr>
        <w:t>监测点</w:t>
      </w:r>
      <w:r>
        <w:rPr>
          <w:rFonts w:hint="eastAsia" w:ascii="Times New Roman" w:hAnsi="Times New Roman"/>
          <w:b/>
          <w:sz w:val="21"/>
        </w:rPr>
        <w:t>一览</w:t>
      </w:r>
      <w:r>
        <w:rPr>
          <w:rFonts w:ascii="Times New Roman" w:hAnsi="Times New Roman"/>
          <w:b/>
          <w:sz w:val="21"/>
        </w:rPr>
        <w:t>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86"/>
        <w:gridCol w:w="2693"/>
        <w:gridCol w:w="2165"/>
        <w:gridCol w:w="1300"/>
        <w:gridCol w:w="127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水井编号</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位置</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监测内容</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监测点类型</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含水层类型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#1</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佐子坪村西北（LX-SY1）</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井</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承压含水层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#2</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前赵家坪村村西南沟谷中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井</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#3</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后赵家坪村村南河谷中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井</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#4</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王家塔村村东南河谷中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井</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Q9</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沟代店村东沟谷中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Q10</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佐子坪村北沟谷中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Q19</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石家墕村东北</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Q21</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王家峁村东南沟谷中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Q22</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宋家塔村南沟谷中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Q29</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后赵家坪村村东沟谷中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水位（流量）、水质</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#5</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官道峁村南河谷中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井</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Q7</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后赵家坪村东北沟谷中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Q8</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梁代店村南沟谷中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Q20</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张家庄村西南沟谷中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Q23</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前塔上村东南沟谷中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Q24</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东吴家沟村西南沟谷中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7" w:type="pct"/>
            <w:tcBorders>
              <w:top w:val="single" w:color="auto" w:sz="6" w:space="0"/>
              <w:left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Q25</w:t>
            </w:r>
          </w:p>
        </w:tc>
        <w:tc>
          <w:tcPr>
            <w:tcW w:w="158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唐家庄村东沟谷中</w:t>
            </w:r>
          </w:p>
        </w:tc>
        <w:tc>
          <w:tcPr>
            <w:tcW w:w="1270" w:type="pct"/>
            <w:tcBorders>
              <w:top w:val="single" w:color="auto" w:sz="6" w:space="0"/>
              <w:bottom w:val="single" w:color="auto" w:sz="6"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水位（流量）</w:t>
            </w:r>
          </w:p>
        </w:tc>
        <w:tc>
          <w:tcPr>
            <w:tcW w:w="763" w:type="pct"/>
            <w:tcBorders>
              <w:top w:val="single" w:color="auto" w:sz="6" w:space="0"/>
              <w:bottom w:val="single" w:color="auto" w:sz="6" w:space="0"/>
              <w:right w:val="single" w:color="auto" w:sz="4" w:space="0"/>
            </w:tcBorders>
            <w:shd w:val="clear" w:color="auto" w:fill="auto"/>
            <w:noWrap/>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泉</w:t>
            </w:r>
          </w:p>
        </w:tc>
        <w:tc>
          <w:tcPr>
            <w:tcW w:w="750" w:type="pct"/>
            <w:tcBorders>
              <w:top w:val="single" w:color="auto" w:sz="6" w:space="0"/>
              <w:left w:val="single" w:color="auto" w:sz="4" w:space="0"/>
              <w:bottom w:val="single" w:color="auto" w:sz="6" w:space="0"/>
              <w:right w:val="single" w:color="auto" w:sz="4" w:space="0"/>
            </w:tcBorders>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hint="eastAsia" w:ascii="Times New Roman" w:hAnsi="Times New Roman"/>
                <w:sz w:val="21"/>
                <w:szCs w:val="20"/>
              </w:rPr>
              <w:t>潜水含水层</w:t>
            </w:r>
          </w:p>
        </w:tc>
      </w:tr>
    </w:tbl>
    <w:p>
      <w:pPr>
        <w:ind w:firstLine="480"/>
        <w:rPr>
          <w:rFonts w:ascii="Times New Roman" w:hAnsi="Times New Roman"/>
          <w:szCs w:val="24"/>
        </w:rPr>
      </w:pPr>
      <w:r>
        <w:rPr>
          <w:rFonts w:hint="eastAsia"/>
        </w:rPr>
        <w:drawing>
          <wp:inline distT="0" distB="0" distL="0" distR="0">
            <wp:extent cx="4810125" cy="5476875"/>
            <wp:effectExtent l="19050" t="19050" r="9525" b="9525"/>
            <wp:docPr id="37" name="图片 37" descr="监测点布置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监测点布置图（修改）"/>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4810125" cy="5476875"/>
                    </a:xfrm>
                    <a:prstGeom prst="rect">
                      <a:avLst/>
                    </a:prstGeom>
                    <a:noFill/>
                    <a:ln>
                      <a:solidFill>
                        <a:schemeClr val="tx1"/>
                      </a:solid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ascii="Times New Roman" w:hAnsi="Times New Roman"/>
          <w:b/>
          <w:sz w:val="21"/>
        </w:rPr>
        <w:t>图4.2-2 地下水监测布点图</w:t>
      </w:r>
    </w:p>
    <w:p>
      <w:pPr>
        <w:ind w:firstLine="480"/>
        <w:rPr>
          <w:rFonts w:ascii="Times New Roman" w:hAnsi="Times New Roman"/>
          <w:szCs w:val="24"/>
        </w:rPr>
      </w:pPr>
      <w:r>
        <w:rPr>
          <w:rFonts w:hint="eastAsia" w:ascii="Times New Roman" w:hAnsi="Times New Roman"/>
          <w:szCs w:val="24"/>
        </w:rPr>
        <w:t>②监测项目</w:t>
      </w:r>
    </w:p>
    <w:p>
      <w:pPr>
        <w:ind w:firstLine="480"/>
        <w:rPr>
          <w:rFonts w:ascii="Times New Roman" w:hAnsi="Times New Roman"/>
          <w:szCs w:val="24"/>
        </w:rPr>
      </w:pPr>
      <w:r>
        <w:rPr>
          <w:rFonts w:hint="eastAsia" w:ascii="Times New Roman" w:hAnsi="Times New Roman"/>
          <w:szCs w:val="24"/>
        </w:rPr>
        <w:t>a.水井（泉）水质监测项目</w:t>
      </w:r>
    </w:p>
    <w:p>
      <w:pPr>
        <w:ind w:firstLine="480"/>
        <w:rPr>
          <w:rFonts w:ascii="Times New Roman" w:hAnsi="Times New Roman"/>
          <w:szCs w:val="24"/>
        </w:rPr>
      </w:pPr>
      <w:r>
        <w:rPr>
          <w:rFonts w:hint="eastAsia" w:ascii="Times New Roman" w:hAnsi="Times New Roman"/>
          <w:szCs w:val="24"/>
        </w:rPr>
        <w:t>监测项目包括基本水质因子和特征因子。基本水质因子包括：pH值、氨氮、硝酸盐、亚硝酸盐、挥发性酚类、氰化物、砷、汞、镉、铬（六价）、总硬度、铅、氟化物、铁、锰、溶解性总固体、高锰酸盐指数、硫酸盐、氯化物、总大肠杆菌群、细菌总数等共21项；特征水质因子包括：碘化物、石油类共2项。总计水质监测共23项。</w:t>
      </w:r>
    </w:p>
    <w:p>
      <w:pPr>
        <w:ind w:firstLine="480"/>
        <w:rPr>
          <w:rFonts w:ascii="Times New Roman" w:hAnsi="Times New Roman"/>
          <w:szCs w:val="24"/>
        </w:rPr>
      </w:pPr>
      <w:r>
        <w:rPr>
          <w:rFonts w:hint="eastAsia" w:ascii="Times New Roman" w:hAnsi="Times New Roman"/>
          <w:szCs w:val="24"/>
        </w:rPr>
        <w:t>b.水井（泉）水位（流量）监测项目</w:t>
      </w:r>
    </w:p>
    <w:p>
      <w:pPr>
        <w:ind w:firstLine="480"/>
        <w:rPr>
          <w:rFonts w:ascii="Times New Roman" w:hAnsi="Times New Roman"/>
          <w:szCs w:val="24"/>
        </w:rPr>
      </w:pPr>
      <w:r>
        <w:rPr>
          <w:rFonts w:hint="eastAsia" w:ascii="Times New Roman" w:hAnsi="Times New Roman"/>
          <w:szCs w:val="24"/>
        </w:rPr>
        <w:t>监测项目包括所有监测点的水位（泉流量）。</w:t>
      </w:r>
    </w:p>
    <w:p>
      <w:pPr>
        <w:ind w:firstLine="480"/>
        <w:rPr>
          <w:rFonts w:ascii="Times New Roman" w:hAnsi="Times New Roman"/>
          <w:szCs w:val="24"/>
        </w:rPr>
      </w:pPr>
      <w:r>
        <w:rPr>
          <w:rFonts w:hint="eastAsia" w:ascii="Times New Roman" w:hAnsi="Times New Roman"/>
          <w:szCs w:val="24"/>
        </w:rPr>
        <w:t>③监测点频率和时间</w:t>
      </w:r>
    </w:p>
    <w:p>
      <w:pPr>
        <w:ind w:firstLine="480"/>
        <w:rPr>
          <w:rFonts w:ascii="Times New Roman" w:hAnsi="Times New Roman"/>
          <w:szCs w:val="24"/>
        </w:rPr>
      </w:pPr>
      <w:r>
        <w:rPr>
          <w:rFonts w:hint="eastAsia" w:ascii="Times New Roman" w:hAnsi="Times New Roman"/>
          <w:szCs w:val="24"/>
        </w:rPr>
        <w:t>临兴先导试验区位于黄土丘陵山区，本项目地下水环境影响评价等级为二级，依据《环境影响评价技术导则—地下水环境》（HJ610-2016）要求，对调查评价范围内水质、水位（流量）进行一期监测。</w:t>
      </w:r>
    </w:p>
    <w:p>
      <w:pPr>
        <w:ind w:firstLine="480"/>
        <w:rPr>
          <w:rFonts w:ascii="Times New Roman" w:hAnsi="Times New Roman"/>
          <w:szCs w:val="24"/>
        </w:rPr>
      </w:pPr>
      <w:r>
        <w:rPr>
          <w:rFonts w:hint="eastAsia" w:ascii="Times New Roman" w:hAnsi="Times New Roman"/>
          <w:szCs w:val="24"/>
        </w:rPr>
        <w:t>a.水位监测</w:t>
      </w:r>
    </w:p>
    <w:p>
      <w:pPr>
        <w:ind w:firstLine="480"/>
        <w:rPr>
          <w:rFonts w:ascii="Times New Roman" w:hAnsi="Times New Roman"/>
          <w:szCs w:val="24"/>
        </w:rPr>
      </w:pPr>
      <w:r>
        <w:rPr>
          <w:rFonts w:hint="eastAsia" w:ascii="Times New Roman" w:hAnsi="Times New Roman"/>
          <w:szCs w:val="24"/>
        </w:rPr>
        <w:t>水位监测为一期监测，监测时间为2017年6月28—6月30日，监测时段为丰水期，每个水位（流量）监测井连续监测三天，每天进行一次水位（流量）统计。</w:t>
      </w:r>
    </w:p>
    <w:p>
      <w:pPr>
        <w:ind w:firstLine="480"/>
        <w:rPr>
          <w:rFonts w:ascii="Times New Roman" w:hAnsi="Times New Roman"/>
          <w:szCs w:val="24"/>
        </w:rPr>
      </w:pPr>
      <w:r>
        <w:rPr>
          <w:rFonts w:hint="eastAsia" w:ascii="Times New Roman" w:hAnsi="Times New Roman"/>
          <w:szCs w:val="24"/>
        </w:rPr>
        <w:t>b.水质监测</w:t>
      </w:r>
    </w:p>
    <w:p>
      <w:pPr>
        <w:ind w:firstLine="480"/>
        <w:rPr>
          <w:rFonts w:ascii="Times New Roman" w:hAnsi="Times New Roman"/>
          <w:szCs w:val="24"/>
        </w:rPr>
      </w:pPr>
      <w:r>
        <w:rPr>
          <w:rFonts w:hint="eastAsia" w:ascii="Times New Roman" w:hAnsi="Times New Roman"/>
          <w:szCs w:val="24"/>
        </w:rPr>
        <w:t>水质监测为一期监测，监测时间为2017年6月28—6月30日，每个水质监测井连续三天抽取水样进行水质化验，每天进行一次统计。</w:t>
      </w:r>
    </w:p>
    <w:p>
      <w:pPr>
        <w:ind w:firstLine="480"/>
        <w:rPr>
          <w:rFonts w:ascii="Times New Roman" w:hAnsi="Times New Roman"/>
          <w:szCs w:val="24"/>
        </w:rPr>
      </w:pPr>
      <w:r>
        <w:rPr>
          <w:rFonts w:hint="eastAsia" w:ascii="Times New Roman" w:hAnsi="Times New Roman"/>
          <w:szCs w:val="24"/>
        </w:rPr>
        <w:t>水位、水质监测以连续三天监测的平均值作为项目区丰水期地下水现状水质监测结果。</w:t>
      </w:r>
    </w:p>
    <w:p>
      <w:pPr>
        <w:ind w:firstLine="480"/>
      </w:pPr>
      <w:r>
        <w:rPr>
          <w:rFonts w:hint="eastAsia"/>
        </w:rPr>
        <w:t>④监测结果</w:t>
      </w:r>
    </w:p>
    <w:p>
      <w:pPr>
        <w:ind w:firstLine="480"/>
        <w:rPr>
          <w:rFonts w:ascii="Times New Roman" w:hAnsi="Times New Roman"/>
          <w:szCs w:val="24"/>
        </w:rPr>
      </w:pPr>
      <w:r>
        <w:rPr>
          <w:rFonts w:hint="eastAsia" w:ascii="Times New Roman" w:hAnsi="Times New Roman"/>
          <w:szCs w:val="24"/>
        </w:rPr>
        <w:t>地下水现状检测结果见表</w:t>
      </w:r>
      <w:r>
        <w:rPr>
          <w:rFonts w:ascii="Times New Roman" w:hAnsi="Times New Roman"/>
          <w:szCs w:val="24"/>
        </w:rPr>
        <w:t>4</w:t>
      </w:r>
      <w:r>
        <w:rPr>
          <w:rFonts w:hint="eastAsia" w:ascii="Times New Roman" w:hAnsi="Times New Roman"/>
          <w:szCs w:val="24"/>
        </w:rPr>
        <w:t>.2</w:t>
      </w:r>
      <w:r>
        <w:rPr>
          <w:rFonts w:ascii="Times New Roman" w:hAnsi="Times New Roman"/>
          <w:szCs w:val="24"/>
        </w:rPr>
        <w:t>-</w:t>
      </w:r>
      <w:r>
        <w:rPr>
          <w:rFonts w:hint="eastAsia" w:ascii="Times New Roman" w:hAnsi="Times New Roman"/>
          <w:szCs w:val="24"/>
        </w:rPr>
        <w:t>8，</w:t>
      </w:r>
      <w:r>
        <w:rPr>
          <w:rFonts w:ascii="Times New Roman" w:hAnsi="Times New Roman"/>
          <w:szCs w:val="24"/>
        </w:rPr>
        <w:t>八大</w:t>
      </w:r>
      <w:r>
        <w:rPr>
          <w:rFonts w:hint="eastAsia" w:ascii="Times New Roman" w:hAnsi="Times New Roman"/>
          <w:szCs w:val="24"/>
        </w:rPr>
        <w:t>离</w:t>
      </w:r>
      <w:r>
        <w:rPr>
          <w:rFonts w:ascii="Times New Roman" w:hAnsi="Times New Roman"/>
          <w:szCs w:val="24"/>
        </w:rPr>
        <w:t>子</w:t>
      </w:r>
      <w:r>
        <w:rPr>
          <w:rFonts w:hint="eastAsia" w:ascii="Times New Roman" w:hAnsi="Times New Roman"/>
          <w:szCs w:val="24"/>
        </w:rPr>
        <w:t>检测</w:t>
      </w:r>
      <w:r>
        <w:rPr>
          <w:rFonts w:ascii="Times New Roman" w:hAnsi="Times New Roman"/>
          <w:szCs w:val="24"/>
        </w:rPr>
        <w:t>结果</w:t>
      </w:r>
      <w:r>
        <w:rPr>
          <w:rFonts w:hint="eastAsia" w:ascii="Times New Roman" w:hAnsi="Times New Roman"/>
          <w:szCs w:val="24"/>
        </w:rPr>
        <w:t>见</w:t>
      </w:r>
      <w:r>
        <w:rPr>
          <w:rFonts w:ascii="Times New Roman" w:hAnsi="Times New Roman"/>
          <w:szCs w:val="24"/>
        </w:rPr>
        <w:t>图</w:t>
      </w:r>
      <w:r>
        <w:rPr>
          <w:rFonts w:hint="eastAsia" w:ascii="Times New Roman" w:hAnsi="Times New Roman"/>
          <w:szCs w:val="24"/>
        </w:rPr>
        <w:t>4.2-3。</w:t>
      </w:r>
    </w:p>
    <w:p>
      <w:pPr>
        <w:ind w:firstLine="480"/>
        <w:rPr>
          <w:rFonts w:ascii="Times New Roman" w:hAnsi="Times New Roman"/>
          <w:szCs w:val="24"/>
        </w:rPr>
      </w:pPr>
      <w:r>
        <w:rPr>
          <w:rFonts w:hint="eastAsia" w:ascii="Times New Roman" w:hAnsi="Times New Roman"/>
          <w:szCs w:val="24"/>
        </w:rPr>
        <w:t>（3）现状评价</w:t>
      </w:r>
    </w:p>
    <w:p>
      <w:pPr>
        <w:ind w:firstLine="480"/>
      </w:pPr>
      <w:r>
        <w:rPr>
          <w:rFonts w:hint="eastAsia"/>
        </w:rPr>
        <w:t>①评价标准</w:t>
      </w:r>
    </w:p>
    <w:p>
      <w:pPr>
        <w:ind w:firstLine="480"/>
        <w:rPr>
          <w:rFonts w:ascii="Times New Roman" w:hAnsi="Times New Roman"/>
          <w:szCs w:val="24"/>
        </w:rPr>
      </w:pPr>
      <w:r>
        <w:rPr>
          <w:rFonts w:hint="eastAsia" w:ascii="Times New Roman" w:hAnsi="Times New Roman"/>
          <w:szCs w:val="24"/>
        </w:rPr>
        <w:t>地下水环境现状评价采用《地下水质量标准》（GB/T 14848-93）中的Ⅲ类标准，石油类采用《地表水质量标准》（GB 3838-2002）中的Ⅲ类标准。</w:t>
      </w:r>
    </w:p>
    <w:p>
      <w:pPr>
        <w:ind w:firstLine="480"/>
      </w:pPr>
      <w:r>
        <w:rPr>
          <w:rFonts w:hint="eastAsia"/>
        </w:rPr>
        <w:t>②评价结果</w:t>
      </w:r>
    </w:p>
    <w:p>
      <w:pPr>
        <w:ind w:firstLine="480"/>
        <w:rPr>
          <w:rFonts w:ascii="Times New Roman" w:hAnsi="Times New Roman"/>
          <w:szCs w:val="24"/>
        </w:rPr>
      </w:pPr>
      <w:r>
        <w:rPr>
          <w:rFonts w:hint="eastAsia" w:ascii="Times New Roman" w:hAnsi="Times New Roman"/>
          <w:szCs w:val="24"/>
        </w:rPr>
        <w:t>地下水水质现状监测评价结果见表4.2-9</w:t>
      </w:r>
      <w:r>
        <w:rPr>
          <w:rFonts w:ascii="Times New Roman" w:hAnsi="Times New Roman"/>
          <w:szCs w:val="24"/>
        </w:rPr>
        <w:t>。</w:t>
      </w:r>
    </w:p>
    <w:p>
      <w:pPr>
        <w:ind w:firstLine="480"/>
        <w:rPr>
          <w:rFonts w:ascii="Times New Roman" w:hAnsi="Times New Roman"/>
          <w:szCs w:val="24"/>
        </w:rPr>
      </w:pPr>
      <w:r>
        <w:rPr>
          <w:rFonts w:hint="eastAsia" w:ascii="Times New Roman" w:hAnsi="Times New Roman"/>
          <w:szCs w:val="24"/>
        </w:rPr>
        <w:t>针对评价结果，就评价区范围内，对比分析、总结出一些规律：</w:t>
      </w:r>
    </w:p>
    <w:p>
      <w:pPr>
        <w:ind w:firstLine="480"/>
        <w:rPr>
          <w:rFonts w:ascii="Times New Roman" w:hAnsi="Times New Roman"/>
          <w:szCs w:val="24"/>
        </w:rPr>
      </w:pPr>
      <w:r>
        <w:rPr>
          <w:rFonts w:hint="eastAsia" w:ascii="Times New Roman" w:hAnsi="Times New Roman"/>
          <w:szCs w:val="24"/>
        </w:rPr>
        <w:t>a.评价区泉水水质优于井水水质；</w:t>
      </w:r>
    </w:p>
    <w:p>
      <w:pPr>
        <w:ind w:firstLine="480"/>
        <w:rPr>
          <w:rFonts w:ascii="Times New Roman" w:hAnsi="Times New Roman"/>
          <w:szCs w:val="24"/>
        </w:rPr>
      </w:pPr>
      <w:r>
        <w:rPr>
          <w:rFonts w:hint="eastAsia" w:ascii="Times New Roman" w:hAnsi="Times New Roman"/>
          <w:szCs w:val="24"/>
        </w:rPr>
        <w:t>b.评价区上游及沟头水质优于中、下游沟谷水质；</w:t>
      </w:r>
    </w:p>
    <w:p>
      <w:pPr>
        <w:ind w:firstLine="480"/>
        <w:rPr>
          <w:rFonts w:ascii="Times New Roman" w:hAnsi="Times New Roman"/>
          <w:szCs w:val="24"/>
        </w:rPr>
      </w:pPr>
      <w:r>
        <w:rPr>
          <w:rFonts w:hint="eastAsia" w:ascii="Times New Roman" w:hAnsi="Times New Roman"/>
          <w:szCs w:val="24"/>
        </w:rPr>
        <w:t>c.评价区人口稀疏地区水质优于人口相对集中区水质。</w:t>
      </w:r>
    </w:p>
    <w:p>
      <w:pPr>
        <w:ind w:firstLine="480"/>
        <w:rPr>
          <w:rFonts w:ascii="Times New Roman" w:hAnsi="Times New Roman"/>
          <w:szCs w:val="24"/>
        </w:rPr>
      </w:pPr>
      <w:r>
        <w:rPr>
          <w:rFonts w:hint="eastAsia" w:ascii="Times New Roman" w:hAnsi="Times New Roman"/>
          <w:szCs w:val="24"/>
        </w:rPr>
        <w:t>佐子坪村1#水井为中联煤层气有限责任公司的企业自备井。该井位于佐子坪村下游，井深520m，抽取三叠系砂岩裂隙水以及第四系松散孔隙水。据表4.2-9，该井在丰水期的高锰酸盐指数超标（超标2倍），而亚硝酸盐指标正常；再根据2016年8月对该井水样的检测，其中COD指标正常，说明该地区最近有有机污染物污染地下水。这可能由于上游佐子坪村居民生活垃圾等有机废物污染所致。</w:t>
      </w:r>
    </w:p>
    <w:p>
      <w:pPr>
        <w:ind w:firstLine="480"/>
        <w:rPr>
          <w:rFonts w:ascii="Times New Roman" w:hAnsi="Times New Roman"/>
          <w:szCs w:val="24"/>
        </w:rPr>
      </w:pPr>
      <w:r>
        <w:rPr>
          <w:rFonts w:hint="eastAsia" w:ascii="Times New Roman" w:hAnsi="Times New Roman"/>
          <w:szCs w:val="24"/>
        </w:rPr>
        <w:t>佐子坪村1#水井氟化物超标（超标3.7倍），这是在整个研究区氟化物本底值浓度普遍较高这个大的背景条件下出现的。据2016年8月对该井水样的检测报告，氟化物超标倍数为4.02倍，从而可以说明该地氟化物超标并非最近时期污染也并非人为因素起主导作用。因此，可以判断1#水井氟化物超标主要是由于砂岩裂隙水中氟化物浓度高而引起的。</w:t>
      </w:r>
    </w:p>
    <w:p>
      <w:pPr>
        <w:ind w:firstLine="480"/>
        <w:rPr>
          <w:rFonts w:ascii="Times New Roman" w:hAnsi="Times New Roman"/>
          <w:szCs w:val="24"/>
        </w:rPr>
      </w:pPr>
      <w:r>
        <w:rPr>
          <w:rFonts w:hint="eastAsia" w:ascii="Times New Roman" w:hAnsi="Times New Roman"/>
          <w:szCs w:val="24"/>
        </w:rPr>
        <w:t>据表4.2-9，佐子坪村1#水井硫酸盐超标（超标1.41倍）、溶解性总固体超标（超标1.22倍）。硫酸盐超标将会导致溶解性总固体超标，二者存在关联性。据2016年8月对该井水样的检测报告，硫酸盐超标1.9倍。硫酸盐超标也是由于砂岩裂隙水中硫酸盐浓度高而引起的。</w:t>
      </w:r>
    </w:p>
    <w:p>
      <w:pPr>
        <w:ind w:firstLine="480"/>
        <w:rPr>
          <w:rFonts w:ascii="Times New Roman" w:hAnsi="Times New Roman"/>
          <w:szCs w:val="24"/>
        </w:rPr>
      </w:pPr>
      <w:r>
        <w:rPr>
          <w:rFonts w:hint="eastAsia" w:ascii="Times New Roman" w:hAnsi="Times New Roman"/>
          <w:szCs w:val="24"/>
        </w:rPr>
        <w:t>后赵家坪村3#水井高锰酸盐指数超标（超标2.19倍），亚硝酸盐指标也临近超标，说明该地区一段时间内存在有机污染。据现场调查，该水井为大口径潜水井，井口无覆盖物又紧邻后赵家坪村，因此在地理位置及井结构上极易受附近居民生产生活影响，加之该水井不远处的沟谷中存在垃圾乱弃乱丢现象，更加重了该水井地下水污染的风险。</w:t>
      </w:r>
    </w:p>
    <w:p>
      <w:pPr>
        <w:ind w:firstLine="480"/>
        <w:sectPr>
          <w:pgSz w:w="11906" w:h="16838"/>
          <w:pgMar w:top="1440" w:right="1800" w:bottom="1440" w:left="1800" w:header="851" w:footer="992" w:gutter="0"/>
          <w:cols w:space="425" w:num="1"/>
          <w:docGrid w:type="lines" w:linePitch="312" w:charSpace="0"/>
        </w:sectPr>
      </w:pPr>
    </w:p>
    <w:p>
      <w:pPr>
        <w:spacing w:before="156" w:beforeLines="50" w:line="240" w:lineRule="auto"/>
        <w:ind w:firstLine="0" w:firstLineChars="0"/>
        <w:jc w:val="center"/>
        <w:rPr>
          <w:rFonts w:ascii="Times New Roman" w:hAnsi="Times New Roman"/>
          <w:b/>
          <w:sz w:val="21"/>
        </w:rPr>
      </w:pPr>
      <w:r>
        <w:rPr>
          <w:rFonts w:ascii="Times New Roman" w:hAnsi="宋体"/>
          <w:b/>
          <w:sz w:val="21"/>
        </w:rPr>
        <w:t>表</w:t>
      </w:r>
      <w:r>
        <w:rPr>
          <w:rFonts w:ascii="Times New Roman" w:hAnsi="Times New Roman"/>
          <w:b/>
          <w:sz w:val="21"/>
        </w:rPr>
        <w:t xml:space="preserve">4.2-8 </w:t>
      </w:r>
      <w:r>
        <w:rPr>
          <w:rFonts w:ascii="Times New Roman" w:hAnsi="宋体"/>
          <w:b/>
          <w:sz w:val="21"/>
        </w:rPr>
        <w:t>丰水期地下水水质现状监测结果（</w:t>
      </w:r>
      <w:r>
        <w:rPr>
          <w:rFonts w:ascii="Times New Roman" w:hAnsi="Times New Roman"/>
          <w:b/>
          <w:sz w:val="21"/>
        </w:rPr>
        <w:t>2017.6.28—2017.6.30</w:t>
      </w:r>
      <w:r>
        <w:rPr>
          <w:rFonts w:ascii="Times New Roman" w:hAnsi="宋体"/>
          <w:b/>
          <w:sz w:val="21"/>
        </w:rPr>
        <w:t>）</w:t>
      </w:r>
    </w:p>
    <w:tbl>
      <w:tblPr>
        <w:tblStyle w:val="18"/>
        <w:tblW w:w="5000" w:type="pct"/>
        <w:jc w:val="center"/>
        <w:tblLayout w:type="fixed"/>
        <w:tblCellMar>
          <w:top w:w="0" w:type="dxa"/>
          <w:left w:w="108" w:type="dxa"/>
          <w:bottom w:w="0" w:type="dxa"/>
          <w:right w:w="108" w:type="dxa"/>
        </w:tblCellMar>
      </w:tblPr>
      <w:tblGrid>
        <w:gridCol w:w="1778"/>
        <w:gridCol w:w="473"/>
        <w:gridCol w:w="473"/>
        <w:gridCol w:w="473"/>
        <w:gridCol w:w="476"/>
        <w:gridCol w:w="570"/>
        <w:gridCol w:w="474"/>
        <w:gridCol w:w="477"/>
        <w:gridCol w:w="477"/>
        <w:gridCol w:w="567"/>
        <w:gridCol w:w="760"/>
        <w:gridCol w:w="474"/>
        <w:gridCol w:w="664"/>
        <w:gridCol w:w="667"/>
        <w:gridCol w:w="380"/>
        <w:gridCol w:w="380"/>
        <w:gridCol w:w="477"/>
        <w:gridCol w:w="474"/>
        <w:gridCol w:w="477"/>
        <w:gridCol w:w="474"/>
        <w:gridCol w:w="474"/>
        <w:gridCol w:w="667"/>
        <w:gridCol w:w="669"/>
        <w:gridCol w:w="474"/>
        <w:gridCol w:w="431"/>
      </w:tblGrid>
      <w:tr>
        <w:tblPrEx>
          <w:tblCellMar>
            <w:top w:w="0" w:type="dxa"/>
            <w:left w:w="108" w:type="dxa"/>
            <w:bottom w:w="0" w:type="dxa"/>
            <w:right w:w="108" w:type="dxa"/>
          </w:tblCellMar>
        </w:tblPrEx>
        <w:trPr>
          <w:jc w:val="center"/>
        </w:trPr>
        <w:tc>
          <w:tcPr>
            <w:tcW w:w="62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点位名称</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水温</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w:t>
            </w:r>
            <w:r>
              <w:rPr>
                <w:rFonts w:ascii="Times New Roman" w:hAnsi="宋体"/>
                <w:kern w:val="0"/>
                <w:sz w:val="18"/>
                <w:szCs w:val="18"/>
              </w:rPr>
              <w:t>℃</w:t>
            </w:r>
            <w:r>
              <w:rPr>
                <w:rFonts w:ascii="Times New Roman" w:hAnsi="Times New Roman"/>
                <w:kern w:val="0"/>
                <w:sz w:val="18"/>
                <w:szCs w:val="18"/>
              </w:rPr>
              <w:t>)</w:t>
            </w:r>
          </w:p>
        </w:tc>
        <w:tc>
          <w:tcPr>
            <w:tcW w:w="167" w:type="pct"/>
            <w:tcBorders>
              <w:top w:val="single" w:color="auto" w:sz="4" w:space="0"/>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pH</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总</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硬度</w:t>
            </w:r>
          </w:p>
        </w:tc>
        <w:tc>
          <w:tcPr>
            <w:tcW w:w="1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氨氮</w:t>
            </w:r>
          </w:p>
        </w:tc>
        <w:tc>
          <w:tcPr>
            <w:tcW w:w="20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高锰酸盐指数</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氰化物</w:t>
            </w:r>
          </w:p>
        </w:tc>
        <w:tc>
          <w:tcPr>
            <w:tcW w:w="1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硝酸盐</w:t>
            </w:r>
          </w:p>
        </w:tc>
        <w:tc>
          <w:tcPr>
            <w:tcW w:w="1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亚硝</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酸盐</w:t>
            </w:r>
          </w:p>
        </w:tc>
        <w:tc>
          <w:tcPr>
            <w:tcW w:w="20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挥发性</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酚类</w:t>
            </w:r>
          </w:p>
        </w:tc>
        <w:tc>
          <w:tcPr>
            <w:tcW w:w="2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溶解性总固体</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氟</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化物</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砷</w:t>
            </w:r>
          </w:p>
        </w:tc>
        <w:tc>
          <w:tcPr>
            <w:tcW w:w="23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汞</w:t>
            </w:r>
          </w:p>
        </w:tc>
        <w:tc>
          <w:tcPr>
            <w:tcW w:w="1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铅</w:t>
            </w:r>
          </w:p>
        </w:tc>
        <w:tc>
          <w:tcPr>
            <w:tcW w:w="1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镉</w:t>
            </w:r>
          </w:p>
        </w:tc>
        <w:tc>
          <w:tcPr>
            <w:tcW w:w="1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铁</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锰</w:t>
            </w:r>
          </w:p>
        </w:tc>
        <w:tc>
          <w:tcPr>
            <w:tcW w:w="1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硫酸盐</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六价铬</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氯</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化物</w:t>
            </w:r>
          </w:p>
        </w:tc>
        <w:tc>
          <w:tcPr>
            <w:tcW w:w="23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总大肠</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菌群</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（个</w:t>
            </w:r>
            <w:r>
              <w:rPr>
                <w:rFonts w:ascii="Times New Roman" w:hAnsi="Times New Roman"/>
                <w:kern w:val="0"/>
                <w:sz w:val="18"/>
                <w:szCs w:val="18"/>
              </w:rPr>
              <w:t>/L</w:t>
            </w:r>
            <w:r>
              <w:rPr>
                <w:rFonts w:ascii="Times New Roman" w:hAnsi="宋体"/>
                <w:kern w:val="0"/>
                <w:sz w:val="18"/>
                <w:szCs w:val="18"/>
              </w:rPr>
              <w:t>）</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细菌</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总数</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（个</w:t>
            </w:r>
            <w:r>
              <w:rPr>
                <w:rFonts w:ascii="Times New Roman" w:hAnsi="Times New Roman"/>
                <w:kern w:val="0"/>
                <w:sz w:val="18"/>
                <w:szCs w:val="18"/>
              </w:rPr>
              <w:t>/mg</w:t>
            </w:r>
            <w:r>
              <w:rPr>
                <w:rFonts w:ascii="Times New Roman" w:hAnsi="宋体"/>
                <w:kern w:val="0"/>
                <w:sz w:val="18"/>
                <w:szCs w:val="18"/>
              </w:rPr>
              <w:t>）</w:t>
            </w:r>
          </w:p>
        </w:tc>
        <w:tc>
          <w:tcPr>
            <w:tcW w:w="1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碘</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化物</w:t>
            </w:r>
          </w:p>
        </w:tc>
        <w:tc>
          <w:tcPr>
            <w:tcW w:w="15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石油类</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佐子坪村西北（</w:t>
            </w:r>
            <w:r>
              <w:rPr>
                <w:rFonts w:ascii="Times New Roman" w:hAnsi="Times New Roman"/>
                <w:kern w:val="0"/>
                <w:sz w:val="18"/>
                <w:szCs w:val="18"/>
              </w:rPr>
              <w:t>LX-SY1</w:t>
            </w:r>
            <w:r>
              <w:rPr>
                <w:rFonts w:ascii="Times New Roman" w:hAnsi="宋体"/>
                <w:kern w:val="0"/>
                <w:sz w:val="18"/>
                <w:szCs w:val="18"/>
              </w:rPr>
              <w:t>）</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w:t>
            </w:r>
            <w:r>
              <w:rPr>
                <w:rFonts w:ascii="Times New Roman" w:hAnsi="Times New Roman"/>
                <w:kern w:val="0"/>
                <w:sz w:val="18"/>
                <w:szCs w:val="18"/>
              </w:rPr>
              <w:t>#1</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7.8</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7.79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164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0.07</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6.19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0.003</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1220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3.7</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0.084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0.036</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352</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156</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前赵家坪村村西南沟谷中（</w:t>
            </w:r>
            <w:r>
              <w:rPr>
                <w:rFonts w:ascii="Times New Roman" w:hAnsi="Times New Roman"/>
                <w:kern w:val="0"/>
                <w:sz w:val="18"/>
                <w:szCs w:val="18"/>
              </w:rPr>
              <w:t>#2</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8.2</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7.86</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279</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0.08</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0.013</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964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0.87</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1.7×10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0.045</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123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206</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36</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后赵家坪村村南河谷中（</w:t>
            </w:r>
            <w:r>
              <w:rPr>
                <w:rFonts w:ascii="Times New Roman" w:hAnsi="Times New Roman"/>
                <w:kern w:val="0"/>
                <w:sz w:val="18"/>
                <w:szCs w:val="18"/>
              </w:rPr>
              <w:t>#3</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8.5</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8.14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381</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0.13</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6.57</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16.6</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0.018</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910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0.73</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0.044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220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225</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王家塔村村东南河谷中（</w:t>
            </w:r>
            <w:r>
              <w:rPr>
                <w:rFonts w:ascii="Times New Roman" w:hAnsi="Times New Roman"/>
                <w:kern w:val="0"/>
                <w:sz w:val="18"/>
                <w:szCs w:val="18"/>
              </w:rPr>
              <w:t>#4</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9.1</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7.67</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234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0.05</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1.52</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0.007</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1.8</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0.003</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681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0.8</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1.5×10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123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28.5</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沟代店村东沟谷中</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w:t>
            </w:r>
            <w:r>
              <w:rPr>
                <w:rFonts w:ascii="Times New Roman" w:hAnsi="Times New Roman"/>
                <w:kern w:val="0"/>
                <w:sz w:val="18"/>
                <w:szCs w:val="18"/>
              </w:rPr>
              <w:t>Q9</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9.3</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8.43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101</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0.08</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2.95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0.013</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3.7</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0.014</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461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0.7</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1.8×10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38.3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0.021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14.1</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37</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佐子坪村北沟谷中</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w:t>
            </w:r>
            <w:r>
              <w:rPr>
                <w:rFonts w:ascii="Times New Roman" w:hAnsi="Times New Roman"/>
                <w:kern w:val="0"/>
                <w:sz w:val="18"/>
                <w:szCs w:val="18"/>
              </w:rPr>
              <w:t>Q10</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9.2</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8.29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242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0.09</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2.13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5.9</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0.017</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691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0.8</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195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48.1</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石家墕村东北</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w:t>
            </w:r>
            <w:r>
              <w:rPr>
                <w:rFonts w:ascii="Times New Roman" w:hAnsi="Times New Roman"/>
                <w:kern w:val="0"/>
                <w:sz w:val="18"/>
                <w:szCs w:val="18"/>
              </w:rPr>
              <w:t>Q19</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8.8</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8.2</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245</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0.07</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1.38</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0.003</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743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0.7</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1.1×10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184</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48.7</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王家峁村东南沟谷中（</w:t>
            </w:r>
            <w:r>
              <w:rPr>
                <w:rFonts w:ascii="Times New Roman" w:hAnsi="Times New Roman"/>
                <w:kern w:val="0"/>
                <w:sz w:val="18"/>
                <w:szCs w:val="18"/>
              </w:rPr>
              <w:t>Q21</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9.0</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8.09</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235</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0.05</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1.18</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5.6</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773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0.8</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1.1×10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0.001</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48.9</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32</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宋家塔村南沟谷中</w:t>
            </w:r>
          </w:p>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w:t>
            </w:r>
            <w:r>
              <w:rPr>
                <w:rFonts w:ascii="Times New Roman" w:hAnsi="Times New Roman"/>
                <w:kern w:val="0"/>
                <w:sz w:val="18"/>
                <w:szCs w:val="18"/>
              </w:rPr>
              <w:t>Q22</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8.7</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8.13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252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0.06</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1.56</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0.012</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970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0.8</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1.1×10</w:t>
            </w:r>
            <w:r>
              <w:rPr>
                <w:rFonts w:ascii="Times New Roman" w:hAnsi="Times New Roman"/>
                <w:kern w:val="0"/>
                <w:sz w:val="18"/>
                <w:szCs w:val="18"/>
                <w:vertAlign w:val="superscript"/>
              </w:rPr>
              <w:t>-3</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0.048</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200</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50.4</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33</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宋体"/>
                <w:kern w:val="0"/>
                <w:sz w:val="18"/>
                <w:szCs w:val="18"/>
              </w:rPr>
              <w:t>后赵家坪村村东沟谷中（</w:t>
            </w:r>
            <w:r>
              <w:rPr>
                <w:rFonts w:ascii="Times New Roman" w:hAnsi="Times New Roman"/>
                <w:kern w:val="0"/>
                <w:sz w:val="18"/>
                <w:szCs w:val="18"/>
              </w:rPr>
              <w:t>Q29</w:t>
            </w:r>
            <w:r>
              <w:rPr>
                <w:rFonts w:ascii="Times New Roman" w:hAnsi="宋体"/>
                <w:kern w:val="0"/>
                <w:sz w:val="18"/>
                <w:szCs w:val="18"/>
              </w:rPr>
              <w:t>）</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8.9</w:t>
            </w:r>
          </w:p>
        </w:tc>
        <w:tc>
          <w:tcPr>
            <w:tcW w:w="167" w:type="pct"/>
            <w:tcBorders>
              <w:top w:val="nil"/>
              <w:left w:val="nil"/>
              <w:bottom w:val="single" w:color="auto" w:sz="4" w:space="0"/>
              <w:right w:val="single" w:color="auto" w:sz="4" w:space="0"/>
            </w:tcBorders>
            <w:shd w:val="clear" w:color="auto" w:fill="auto"/>
            <w:vAlign w:val="center"/>
          </w:tcPr>
          <w:p>
            <w:pPr>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7.66</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406</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0.1</w:t>
            </w:r>
          </w:p>
        </w:tc>
        <w:tc>
          <w:tcPr>
            <w:tcW w:w="201"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1.27</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0.002</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5.3</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0.018</w:t>
            </w:r>
          </w:p>
        </w:tc>
        <w:tc>
          <w:tcPr>
            <w:tcW w:w="200"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725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0.9</w:t>
            </w:r>
          </w:p>
        </w:tc>
        <w:tc>
          <w:tcPr>
            <w:tcW w:w="2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2.0×10</w:t>
            </w:r>
            <w:r>
              <w:rPr>
                <w:rFonts w:ascii="Times New Roman" w:hAnsi="Times New Roman"/>
                <w:kern w:val="0"/>
                <w:sz w:val="18"/>
                <w:szCs w:val="18"/>
                <w:vertAlign w:val="superscript"/>
              </w:rPr>
              <w:t>-4</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34"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0.05</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0.014</w:t>
            </w:r>
          </w:p>
        </w:tc>
        <w:tc>
          <w:tcPr>
            <w:tcW w:w="168"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218</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0.01</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50</w:t>
            </w:r>
          </w:p>
        </w:tc>
        <w:tc>
          <w:tcPr>
            <w:tcW w:w="235"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w:t>
            </w:r>
            <w:r>
              <w:rPr>
                <w:rFonts w:ascii="Times New Roman" w:hAnsi="Times New Roman"/>
                <w:kern w:val="0"/>
                <w:sz w:val="18"/>
                <w:szCs w:val="18"/>
              </w:rPr>
              <w:t>2</w:t>
            </w:r>
          </w:p>
        </w:tc>
        <w:tc>
          <w:tcPr>
            <w:tcW w:w="23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36</w:t>
            </w:r>
          </w:p>
        </w:tc>
        <w:tc>
          <w:tcPr>
            <w:tcW w:w="167"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c>
          <w:tcPr>
            <w:tcW w:w="152"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ND</w:t>
            </w:r>
          </w:p>
        </w:tc>
      </w:tr>
      <w:tr>
        <w:tblPrEx>
          <w:tblCellMar>
            <w:top w:w="0" w:type="dxa"/>
            <w:left w:w="108" w:type="dxa"/>
            <w:bottom w:w="0" w:type="dxa"/>
            <w:right w:w="108" w:type="dxa"/>
          </w:tblCellMar>
        </w:tblPrEx>
        <w:trPr>
          <w:jc w:val="center"/>
        </w:trPr>
        <w:tc>
          <w:tcPr>
            <w:tcW w:w="62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kern w:val="0"/>
                <w:sz w:val="18"/>
                <w:szCs w:val="18"/>
              </w:rPr>
              <w:t>备注</w:t>
            </w:r>
          </w:p>
        </w:tc>
        <w:tc>
          <w:tcPr>
            <w:tcW w:w="4372" w:type="pct"/>
            <w:gridSpan w:val="2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Times New Roman"/>
                <w:kern w:val="0"/>
                <w:sz w:val="18"/>
                <w:szCs w:val="18"/>
              </w:rPr>
            </w:pPr>
            <w:r>
              <w:rPr>
                <w:rFonts w:ascii="Times New Roman" w:hAnsi="Times New Roman"/>
                <w:kern w:val="0"/>
                <w:sz w:val="18"/>
                <w:szCs w:val="18"/>
              </w:rPr>
              <w:t>pH</w:t>
            </w:r>
            <w:r>
              <w:rPr>
                <w:rFonts w:ascii="Times New Roman"/>
                <w:kern w:val="0"/>
                <w:sz w:val="18"/>
                <w:szCs w:val="18"/>
              </w:rPr>
              <w:t>值无量纲，未特别说明，其余各项单位为</w:t>
            </w:r>
            <w:r>
              <w:rPr>
                <w:rFonts w:ascii="Times New Roman" w:hAnsi="Times New Roman"/>
                <w:kern w:val="0"/>
                <w:sz w:val="18"/>
                <w:szCs w:val="18"/>
              </w:rPr>
              <w:t>mg/L</w:t>
            </w:r>
            <w:r>
              <w:rPr>
                <w:rFonts w:ascii="Times New Roman"/>
                <w:kern w:val="0"/>
                <w:sz w:val="18"/>
                <w:szCs w:val="18"/>
              </w:rPr>
              <w:t>。</w:t>
            </w:r>
          </w:p>
        </w:tc>
      </w:tr>
    </w:tbl>
    <w:p>
      <w:pPr>
        <w:ind w:firstLine="480"/>
        <w:rPr>
          <w:rFonts w:ascii="Times New Roman" w:hAnsi="Times New Roman"/>
          <w:szCs w:val="24"/>
        </w:rPr>
      </w:pPr>
    </w:p>
    <w:p>
      <w:pPr>
        <w:ind w:firstLine="480"/>
        <w:jc w:val="center"/>
      </w:pPr>
      <w:r>
        <w:rPr>
          <w:rFonts w:hint="eastAsia"/>
        </w:rPr>
        <w:drawing>
          <wp:inline distT="0" distB="0" distL="0" distR="0">
            <wp:extent cx="6486525" cy="4859020"/>
            <wp:effectExtent l="0" t="0" r="0" b="0"/>
            <wp:docPr id="64" name="图片 64" descr="监测报告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监测报告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6493395" cy="4864504"/>
                    </a:xfrm>
                    <a:prstGeom prst="rect">
                      <a:avLst/>
                    </a:prstGeom>
                    <a:noFill/>
                    <a:ln>
                      <a:noFill/>
                    </a:ln>
                  </pic:spPr>
                </pic:pic>
              </a:graphicData>
            </a:graphic>
          </wp:inline>
        </w:drawing>
      </w:r>
    </w:p>
    <w:p>
      <w:pPr>
        <w:ind w:firstLine="422"/>
        <w:jc w:val="center"/>
        <w:rPr>
          <w:rFonts w:ascii="Times New Roman" w:hAnsi="Times New Roman"/>
          <w:b/>
          <w:sz w:val="21"/>
        </w:rPr>
      </w:pPr>
      <w:r>
        <w:rPr>
          <w:rFonts w:ascii="Times New Roman" w:hAnsi="Times New Roman"/>
          <w:b/>
          <w:sz w:val="21"/>
        </w:rPr>
        <w:t>图4.2-3  佐子坪村地下水八大</w:t>
      </w:r>
      <w:r>
        <w:rPr>
          <w:rFonts w:hint="eastAsia" w:ascii="Times New Roman" w:hAnsi="Times New Roman"/>
          <w:b/>
          <w:sz w:val="21"/>
        </w:rPr>
        <w:t>离</w:t>
      </w:r>
      <w:r>
        <w:rPr>
          <w:rFonts w:ascii="Times New Roman" w:hAnsi="Times New Roman"/>
          <w:b/>
          <w:sz w:val="21"/>
        </w:rPr>
        <w:t>子检测结果</w:t>
      </w:r>
    </w:p>
    <w:p>
      <w:pPr>
        <w:ind w:firstLine="422"/>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4.2-9</w:t>
      </w:r>
      <w:r>
        <w:rPr>
          <w:rFonts w:hint="eastAsia" w:ascii="Times New Roman" w:hAnsi="Times New Roman"/>
          <w:b/>
          <w:sz w:val="21"/>
        </w:rPr>
        <w:t xml:space="preserve">  地下水水位监测一览表</w:t>
      </w:r>
    </w:p>
    <w:tbl>
      <w:tblPr>
        <w:tblStyle w:val="18"/>
        <w:tblW w:w="5000" w:type="pct"/>
        <w:tblInd w:w="0" w:type="dxa"/>
        <w:tblLayout w:type="autofit"/>
        <w:tblCellMar>
          <w:top w:w="15" w:type="dxa"/>
          <w:left w:w="15" w:type="dxa"/>
          <w:bottom w:w="15" w:type="dxa"/>
          <w:right w:w="15" w:type="dxa"/>
        </w:tblCellMar>
      </w:tblPr>
      <w:tblGrid>
        <w:gridCol w:w="1326"/>
        <w:gridCol w:w="1508"/>
        <w:gridCol w:w="2216"/>
        <w:gridCol w:w="2666"/>
        <w:gridCol w:w="2129"/>
        <w:gridCol w:w="2238"/>
        <w:gridCol w:w="1905"/>
      </w:tblGrid>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序号</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水井编号</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村庄/单位</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位置</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监测点类型</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rPr>
                <w:szCs w:val="21"/>
              </w:rPr>
            </w:pPr>
            <w:r>
              <w:rPr>
                <w:rFonts w:hint="eastAsia"/>
                <w:szCs w:val="21"/>
              </w:rPr>
              <w:t>含水层类型</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pPr>
            <w:r>
              <w:rPr>
                <w:rFonts w:hint="eastAsia"/>
                <w:szCs w:val="21"/>
              </w:rPr>
              <w:t>水位标高（m）</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企业自备井</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佐子坪村西北（LX-SY1）</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井</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承压含水层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920.6</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2</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#2</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前赵家坪村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前赵家坪村村西南沟谷中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井</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862</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3</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#3</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后赵家坪村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后赵家坪村村南河谷中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井</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876.64</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4</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#4</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王家塔村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王家塔村村东南河谷中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井</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1011.5</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5</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Q9</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沟代店村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沟代店村东沟谷中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1101.2</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6</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Q10</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佐子坪村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佐子坪村北沟谷中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1075.3</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Q19</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石家墕村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石家墕村东北</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1115.1</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8</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Q21</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王家峁村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王家峁村东南沟谷中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1023.4</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9</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Q22</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宋家塔村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宋家塔村南沟谷中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1032.2</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Q29</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后赵家坪村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后赵家坪村村东沟谷中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928.1</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#5</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官道峁村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官道峁村南河谷中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井</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1047.5</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12</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Q7</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泥依山村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泥依山村南沟谷中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905.2</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13</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Q8</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梁代店村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梁代店村南沟谷中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995.3</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14</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Q20</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张家庄村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张家庄村西南沟谷中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1132.3</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15</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Q23</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前塔上村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前塔上村东南沟谷中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1070.1</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16</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Q24</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东吴家沟村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东吴家沟村西南沟谷中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1116.4</w:t>
            </w:r>
          </w:p>
        </w:tc>
      </w:tr>
      <w:tr>
        <w:tblPrEx>
          <w:tblCellMar>
            <w:top w:w="15" w:type="dxa"/>
            <w:left w:w="15" w:type="dxa"/>
            <w:bottom w:w="15" w:type="dxa"/>
            <w:right w:w="15" w:type="dxa"/>
          </w:tblCellMar>
        </w:tblPrEx>
        <w:tc>
          <w:tcPr>
            <w:tcW w:w="474"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Q25</w:t>
            </w:r>
          </w:p>
        </w:tc>
        <w:tc>
          <w:tcPr>
            <w:tcW w:w="79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唐家庄村</w:t>
            </w:r>
          </w:p>
        </w:tc>
        <w:tc>
          <w:tcPr>
            <w:tcW w:w="953"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唐家庄村东沟谷中</w:t>
            </w:r>
          </w:p>
        </w:tc>
        <w:tc>
          <w:tcPr>
            <w:tcW w:w="761"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泉</w:t>
            </w:r>
          </w:p>
        </w:tc>
        <w:tc>
          <w:tcPr>
            <w:tcW w:w="800"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潜水含水层</w:t>
            </w:r>
          </w:p>
        </w:tc>
        <w:tc>
          <w:tcPr>
            <w:tcW w:w="682" w:type="pct"/>
            <w:tcBorders>
              <w:top w:val="single" w:color="000000" w:sz="4" w:space="0"/>
              <w:left w:val="single" w:color="000000" w:sz="4" w:space="0"/>
              <w:bottom w:val="single" w:color="000000" w:sz="4" w:space="0"/>
              <w:right w:val="single" w:color="000000" w:sz="4" w:space="0"/>
            </w:tcBorders>
            <w:vAlign w:val="center"/>
          </w:tcPr>
          <w:p>
            <w:pPr>
              <w:pStyle w:val="42"/>
              <w:spacing w:line="240" w:lineRule="auto"/>
              <w:rPr>
                <w:szCs w:val="21"/>
              </w:rPr>
            </w:pPr>
            <w:r>
              <w:rPr>
                <w:rFonts w:hint="eastAsia"/>
                <w:szCs w:val="21"/>
              </w:rPr>
              <w:t>1102.4</w:t>
            </w:r>
          </w:p>
        </w:tc>
      </w:tr>
    </w:tbl>
    <w:p>
      <w:pPr>
        <w:ind w:firstLine="480"/>
        <w:rPr>
          <w:rFonts w:ascii="Times New Roman" w:hAnsi="Times New Roman"/>
          <w:szCs w:val="24"/>
        </w:rPr>
      </w:pPr>
    </w:p>
    <w:p>
      <w:pPr>
        <w:ind w:firstLine="480"/>
        <w:rPr>
          <w:rFonts w:ascii="Times New Roman" w:hAnsi="Times New Roman"/>
          <w:szCs w:val="24"/>
        </w:rPr>
      </w:pPr>
    </w:p>
    <w:p>
      <w:pPr>
        <w:ind w:firstLine="480"/>
        <w:rPr>
          <w:rFonts w:ascii="Times New Roman" w:hAnsi="Times New Roman"/>
          <w:szCs w:val="24"/>
        </w:rPr>
      </w:pPr>
    </w:p>
    <w:p>
      <w:pPr>
        <w:spacing w:before="156" w:beforeLines="50" w:line="240" w:lineRule="auto"/>
        <w:ind w:firstLine="0" w:firstLineChars="0"/>
        <w:jc w:val="center"/>
        <w:rPr>
          <w:rFonts w:ascii="Times New Roman" w:hAnsi="宋体"/>
          <w:b/>
          <w:sz w:val="21"/>
        </w:rPr>
      </w:pPr>
      <w:r>
        <w:rPr>
          <w:rFonts w:hint="eastAsia" w:ascii="Times New Roman" w:hAnsi="宋体"/>
          <w:b/>
          <w:sz w:val="21"/>
        </w:rPr>
        <w:t>表4.2-</w:t>
      </w:r>
      <w:r>
        <w:rPr>
          <w:rFonts w:ascii="Times New Roman" w:hAnsi="宋体"/>
          <w:b/>
          <w:sz w:val="21"/>
        </w:rPr>
        <w:t>10</w:t>
      </w:r>
      <w:r>
        <w:rPr>
          <w:rFonts w:hint="eastAsia" w:ascii="Times New Roman" w:hAnsi="宋体"/>
          <w:b/>
          <w:sz w:val="21"/>
        </w:rPr>
        <w:t>丰水期地下水水质现状监测评价结果</w:t>
      </w:r>
    </w:p>
    <w:tbl>
      <w:tblPr>
        <w:tblStyle w:val="18"/>
        <w:tblW w:w="5000" w:type="pct"/>
        <w:jc w:val="center"/>
        <w:tblLayout w:type="fixed"/>
        <w:tblCellMar>
          <w:top w:w="0" w:type="dxa"/>
          <w:left w:w="108" w:type="dxa"/>
          <w:bottom w:w="0" w:type="dxa"/>
          <w:right w:w="108" w:type="dxa"/>
        </w:tblCellMar>
      </w:tblPr>
      <w:tblGrid>
        <w:gridCol w:w="1525"/>
        <w:gridCol w:w="526"/>
        <w:gridCol w:w="526"/>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1"/>
      </w:tblGrid>
      <w:tr>
        <w:tblPrEx>
          <w:tblCellMar>
            <w:top w:w="0" w:type="dxa"/>
            <w:left w:w="108" w:type="dxa"/>
            <w:bottom w:w="0" w:type="dxa"/>
            <w:right w:w="108" w:type="dxa"/>
          </w:tblCellMar>
        </w:tblPrEx>
        <w:trPr>
          <w:trHeight w:val="270" w:hRule="atLeast"/>
          <w:jc w:val="center"/>
        </w:trPr>
        <w:tc>
          <w:tcPr>
            <w:tcW w:w="53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点位名称</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水温</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w:t>
            </w: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pH</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总</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硬度</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氨氮</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高锰酸盐指数</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氰化物</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硝酸盐</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亚硝</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酸盐</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挥发性</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酚类</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溶解性总固体</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氟</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化物</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砷</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汞</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铅</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镉</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铁</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锰</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硫酸盐</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六价铬</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氯</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化物</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总大肠</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菌群</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（个/L）</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细菌</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总数</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（个</w:t>
            </w:r>
            <w:r>
              <w:rPr>
                <w:rFonts w:ascii="Times New Roman" w:hAnsi="宋体"/>
                <w:kern w:val="0"/>
                <w:sz w:val="18"/>
                <w:szCs w:val="18"/>
              </w:rPr>
              <w:t>/mg</w:t>
            </w:r>
            <w:r>
              <w:rPr>
                <w:rFonts w:hint="eastAsia" w:ascii="Times New Roman" w:hAnsi="宋体"/>
                <w:kern w:val="0"/>
                <w:sz w:val="18"/>
                <w:szCs w:val="18"/>
              </w:rPr>
              <w:t>）</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碘</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化物</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石油类</w:t>
            </w:r>
          </w:p>
        </w:tc>
      </w:tr>
      <w:tr>
        <w:tblPrEx>
          <w:tblCellMar>
            <w:top w:w="0" w:type="dxa"/>
            <w:left w:w="108" w:type="dxa"/>
            <w:bottom w:w="0" w:type="dxa"/>
            <w:right w:w="108" w:type="dxa"/>
          </w:tblCellMar>
        </w:tblPrEx>
        <w:trPr>
          <w:trHeight w:val="363"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佐子坪村西北（</w:t>
            </w:r>
            <w:r>
              <w:rPr>
                <w:rFonts w:ascii="Times New Roman" w:hAnsi="宋体"/>
                <w:kern w:val="0"/>
                <w:sz w:val="18"/>
                <w:szCs w:val="18"/>
              </w:rPr>
              <w:t>LX-SY1</w:t>
            </w:r>
            <w:r>
              <w:rPr>
                <w:rFonts w:hint="eastAsia" w:ascii="Times New Roman" w:hAnsi="宋体"/>
                <w:kern w:val="0"/>
                <w:sz w:val="18"/>
                <w:szCs w:val="18"/>
              </w:rPr>
              <w:t>）（</w:t>
            </w:r>
            <w:r>
              <w:rPr>
                <w:rFonts w:ascii="Times New Roman" w:hAnsi="宋体"/>
                <w:kern w:val="0"/>
                <w:sz w:val="18"/>
                <w:szCs w:val="18"/>
              </w:rPr>
              <w:t>#1</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7.8</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2.06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1.22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3.7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1.41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48"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超标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超标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超标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超标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400"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前赵家坪村村西南沟谷中（</w:t>
            </w:r>
            <w:r>
              <w:rPr>
                <w:rFonts w:ascii="Times New Roman" w:hAnsi="宋体"/>
                <w:kern w:val="0"/>
                <w:sz w:val="18"/>
                <w:szCs w:val="18"/>
              </w:rPr>
              <w:t>#2</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8.2</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0.57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0.62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0.65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0.87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0.034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0.45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0.82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0.36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13"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375"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后赵家坪村村南河谷中（</w:t>
            </w:r>
            <w:r>
              <w:rPr>
                <w:rFonts w:ascii="Times New Roman" w:hAnsi="宋体"/>
                <w:kern w:val="0"/>
                <w:sz w:val="18"/>
                <w:szCs w:val="18"/>
              </w:rPr>
              <w:t>#3</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8.5</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2.19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36"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超标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413"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王家塔村村东南河谷中（</w:t>
            </w:r>
            <w:r>
              <w:rPr>
                <w:rFonts w:ascii="Times New Roman" w:hAnsi="宋体"/>
                <w:kern w:val="0"/>
                <w:sz w:val="18"/>
                <w:szCs w:val="18"/>
              </w:rPr>
              <w:t>#4</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9.1</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00"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350"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沟代店村东沟谷中</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w:t>
            </w:r>
            <w:r>
              <w:rPr>
                <w:rFonts w:ascii="Times New Roman" w:hAnsi="宋体"/>
                <w:kern w:val="0"/>
                <w:sz w:val="18"/>
                <w:szCs w:val="18"/>
              </w:rPr>
              <w:t>Q9</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9.3</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0.036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63"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425"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佐子坪村北沟谷中</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w:t>
            </w:r>
            <w:r>
              <w:rPr>
                <w:rFonts w:ascii="Times New Roman" w:hAnsi="宋体"/>
                <w:kern w:val="0"/>
                <w:sz w:val="18"/>
                <w:szCs w:val="18"/>
              </w:rPr>
              <w:t>Q10</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9.2</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188"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388"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石家墕村东北</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w:t>
            </w:r>
            <w:r>
              <w:rPr>
                <w:rFonts w:ascii="Times New Roman" w:hAnsi="宋体"/>
                <w:kern w:val="0"/>
                <w:sz w:val="18"/>
                <w:szCs w:val="18"/>
              </w:rPr>
              <w:t>Q19</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8.8</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25"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425"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王家峁村东南沟谷中（</w:t>
            </w:r>
            <w:r>
              <w:rPr>
                <w:rFonts w:ascii="Times New Roman" w:hAnsi="宋体"/>
                <w:kern w:val="0"/>
                <w:sz w:val="18"/>
                <w:szCs w:val="18"/>
              </w:rPr>
              <w:t>Q21</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9.0</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188"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363"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宋家塔村南沟谷中</w:t>
            </w:r>
          </w:p>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w:t>
            </w:r>
            <w:r>
              <w:rPr>
                <w:rFonts w:ascii="Times New Roman" w:hAnsi="宋体"/>
                <w:kern w:val="0"/>
                <w:sz w:val="18"/>
                <w:szCs w:val="18"/>
              </w:rPr>
              <w:t>Q22</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8.7</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0.022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50"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r>
        <w:tblPrEx>
          <w:tblCellMar>
            <w:top w:w="0" w:type="dxa"/>
            <w:left w:w="108" w:type="dxa"/>
            <w:bottom w:w="0" w:type="dxa"/>
            <w:right w:w="108" w:type="dxa"/>
          </w:tblCellMar>
        </w:tblPrEx>
        <w:trPr>
          <w:trHeight w:val="350" w:hRule="atLeast"/>
          <w:jc w:val="center"/>
        </w:trPr>
        <w:tc>
          <w:tcPr>
            <w:tcW w:w="538" w:type="pct"/>
            <w:vMerge w:val="restart"/>
            <w:tcBorders>
              <w:top w:val="nil"/>
              <w:left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后赵家坪村村东沟谷中（</w:t>
            </w:r>
            <w:r>
              <w:rPr>
                <w:rFonts w:ascii="Times New Roman" w:hAnsi="宋体"/>
                <w:kern w:val="0"/>
                <w:sz w:val="18"/>
                <w:szCs w:val="18"/>
              </w:rPr>
              <w:t>Q29</w:t>
            </w:r>
            <w:r>
              <w:rPr>
                <w:rFonts w:hint="eastAsia" w:ascii="Times New Roman" w:hAnsi="宋体"/>
                <w:kern w:val="0"/>
                <w:sz w:val="18"/>
                <w:szCs w:val="18"/>
              </w:rPr>
              <w:t>）</w:t>
            </w:r>
          </w:p>
        </w:tc>
        <w:tc>
          <w:tcPr>
            <w:tcW w:w="186" w:type="pct"/>
            <w:vMerge w:val="restart"/>
            <w:tcBorders>
              <w:top w:val="nil"/>
              <w:left w:val="nil"/>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8.9</w:t>
            </w:r>
          </w:p>
        </w:tc>
        <w:tc>
          <w:tcPr>
            <w:tcW w:w="186" w:type="pct"/>
            <w:tcBorders>
              <w:top w:val="nil"/>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0.5</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0.42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0.04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0.73</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0.9</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0.14</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0.87</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0.20</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0.66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0.36</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c>
          <w:tcPr>
            <w:tcW w:w="186" w:type="pct"/>
            <w:tcBorders>
              <w:top w:val="nil"/>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ascii="Times New Roman" w:hAnsi="宋体"/>
                <w:kern w:val="0"/>
                <w:sz w:val="18"/>
                <w:szCs w:val="18"/>
              </w:rPr>
              <w:t>—</w:t>
            </w:r>
          </w:p>
        </w:tc>
      </w:tr>
      <w:tr>
        <w:tblPrEx>
          <w:tblCellMar>
            <w:top w:w="0" w:type="dxa"/>
            <w:left w:w="108" w:type="dxa"/>
            <w:bottom w:w="0" w:type="dxa"/>
            <w:right w:w="108" w:type="dxa"/>
          </w:tblCellMar>
        </w:tblPrEx>
        <w:trPr>
          <w:trHeight w:val="261" w:hRule="atLeast"/>
          <w:jc w:val="center"/>
        </w:trPr>
        <w:tc>
          <w:tcPr>
            <w:tcW w:w="538"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vMerge w:val="continue"/>
            <w:tcBorders>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p>
        </w:tc>
        <w:tc>
          <w:tcPr>
            <w:tcW w:w="18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c>
          <w:tcPr>
            <w:tcW w:w="1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ind w:left="-120" w:leftChars="-50" w:right="-120" w:rightChars="-50" w:firstLine="0" w:firstLineChars="0"/>
              <w:jc w:val="center"/>
              <w:rPr>
                <w:rFonts w:ascii="Times New Roman" w:hAnsi="宋体"/>
                <w:kern w:val="0"/>
                <w:sz w:val="18"/>
                <w:szCs w:val="18"/>
              </w:rPr>
            </w:pPr>
            <w:r>
              <w:rPr>
                <w:rFonts w:hint="eastAsia" w:ascii="Times New Roman" w:hAnsi="宋体"/>
                <w:kern w:val="0"/>
                <w:sz w:val="18"/>
                <w:szCs w:val="18"/>
              </w:rPr>
              <w:t>达标</w:t>
            </w:r>
          </w:p>
        </w:tc>
      </w:tr>
    </w:tbl>
    <w:p>
      <w:pPr>
        <w:ind w:firstLine="0" w:firstLineChars="0"/>
        <w:jc w:val="center"/>
        <w:rPr>
          <w:rFonts w:ascii="Times New Roman" w:hAnsi="Times New Roman"/>
          <w:szCs w:val="24"/>
        </w:rPr>
      </w:pPr>
    </w:p>
    <w:p>
      <w:pPr>
        <w:ind w:firstLine="480"/>
        <w:rPr>
          <w:rFonts w:ascii="Times New Roman" w:hAnsi="Times New Roman"/>
          <w:szCs w:val="24"/>
        </w:rPr>
        <w:sectPr>
          <w:headerReference r:id="rId14" w:type="first"/>
          <w:footerReference r:id="rId17" w:type="first"/>
          <w:headerReference r:id="rId12" w:type="default"/>
          <w:footerReference r:id="rId15" w:type="default"/>
          <w:headerReference r:id="rId13" w:type="even"/>
          <w:footerReference r:id="rId16" w:type="even"/>
          <w:pgSz w:w="16838" w:h="11906" w:orient="landscape"/>
          <w:pgMar w:top="1797" w:right="1440" w:bottom="1797" w:left="1440" w:header="851" w:footer="992" w:gutter="0"/>
          <w:cols w:space="425" w:num="1"/>
          <w:docGrid w:type="linesAndChars" w:linePitch="312" w:charSpace="0"/>
        </w:sectPr>
      </w:pPr>
    </w:p>
    <w:p>
      <w:pPr>
        <w:ind w:firstLine="0" w:firstLineChars="0"/>
        <w:outlineLvl w:val="2"/>
        <w:rPr>
          <w:rFonts w:ascii="Times New Roman" w:hAnsi="Times New Roman"/>
          <w:b/>
          <w:sz w:val="28"/>
          <w:szCs w:val="28"/>
        </w:rPr>
      </w:pPr>
      <w:bookmarkStart w:id="73" w:name="_Toc524624605"/>
      <w:r>
        <w:rPr>
          <w:rFonts w:hint="eastAsia" w:ascii="Times New Roman" w:hAnsi="Times New Roman"/>
          <w:b/>
          <w:sz w:val="28"/>
          <w:szCs w:val="28"/>
        </w:rPr>
        <w:t>4.2.4 声环境质量现状与评价</w:t>
      </w:r>
      <w:bookmarkEnd w:id="73"/>
    </w:p>
    <w:p>
      <w:pPr>
        <w:ind w:firstLine="480"/>
        <w:rPr>
          <w:rFonts w:ascii="Times New Roman" w:hAnsi="Times New Roman"/>
          <w:szCs w:val="24"/>
        </w:rPr>
      </w:pPr>
      <w:r>
        <w:rPr>
          <w:rFonts w:hint="eastAsia" w:ascii="Times New Roman" w:hAnsi="Times New Roman"/>
          <w:szCs w:val="24"/>
        </w:rPr>
        <w:t>（1）声环境现状调查</w:t>
      </w:r>
    </w:p>
    <w:p>
      <w:pPr>
        <w:ind w:firstLine="480"/>
        <w:rPr>
          <w:rFonts w:ascii="Times New Roman" w:hAnsi="Times New Roman"/>
          <w:szCs w:val="24"/>
        </w:rPr>
      </w:pPr>
      <w:r>
        <w:rPr>
          <w:rFonts w:hint="eastAsia" w:ascii="Times New Roman" w:hAnsi="Times New Roman"/>
          <w:szCs w:val="24"/>
        </w:rPr>
        <w:t>①</w:t>
      </w:r>
      <w:r>
        <w:rPr>
          <w:rFonts w:ascii="Times New Roman" w:hAnsi="Times New Roman"/>
          <w:szCs w:val="24"/>
        </w:rPr>
        <w:t>监测点位</w:t>
      </w:r>
    </w:p>
    <w:p>
      <w:pPr>
        <w:ind w:firstLine="480"/>
        <w:rPr>
          <w:rFonts w:ascii="Times New Roman" w:hAnsi="Times New Roman"/>
          <w:szCs w:val="24"/>
        </w:rPr>
      </w:pPr>
      <w:r>
        <w:rPr>
          <w:rFonts w:ascii="Times New Roman" w:hAnsi="Times New Roman"/>
          <w:szCs w:val="24"/>
        </w:rPr>
        <w:t>本次评价共在评价区内布设2个声环境监测点，监测布点见表</w:t>
      </w:r>
      <w:r>
        <w:rPr>
          <w:rFonts w:hint="eastAsia" w:ascii="Times New Roman" w:hAnsi="Times New Roman"/>
          <w:szCs w:val="24"/>
        </w:rPr>
        <w:t>4.2-11</w:t>
      </w:r>
      <w:r>
        <w:rPr>
          <w:rFonts w:ascii="Times New Roman" w:hAnsi="Times New Roman"/>
          <w:szCs w:val="24"/>
        </w:rPr>
        <w:t>。</w:t>
      </w:r>
    </w:p>
    <w:p>
      <w:pPr>
        <w:spacing w:before="156" w:beforeLines="50" w:line="240" w:lineRule="auto"/>
        <w:ind w:firstLine="0" w:firstLineChars="0"/>
        <w:jc w:val="center"/>
        <w:rPr>
          <w:rFonts w:ascii="Times New Roman" w:hAnsi="宋体"/>
          <w:b/>
          <w:sz w:val="21"/>
        </w:rPr>
      </w:pPr>
      <w:r>
        <w:rPr>
          <w:rFonts w:ascii="Times New Roman" w:hAnsi="宋体"/>
          <w:b/>
          <w:sz w:val="21"/>
        </w:rPr>
        <w:t>表</w:t>
      </w:r>
      <w:r>
        <w:rPr>
          <w:rFonts w:hint="eastAsia" w:ascii="Times New Roman" w:hAnsi="宋体"/>
          <w:b/>
          <w:sz w:val="21"/>
        </w:rPr>
        <w:t xml:space="preserve">4.2-11 </w:t>
      </w:r>
      <w:r>
        <w:rPr>
          <w:rFonts w:ascii="Times New Roman" w:hAnsi="宋体"/>
          <w:b/>
          <w:sz w:val="21"/>
        </w:rPr>
        <w:t>声环境监测布点</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41"/>
        <w:gridCol w:w="1772"/>
        <w:gridCol w:w="1772"/>
        <w:gridCol w:w="1772"/>
        <w:gridCol w:w="17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84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编号</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监测点名称</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相对目标</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相对方位</w:t>
            </w:r>
          </w:p>
        </w:tc>
        <w:tc>
          <w:tcPr>
            <w:tcW w:w="103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相对距离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845" w:type="pct"/>
            <w:vAlign w:val="center"/>
          </w:tcPr>
          <w:p>
            <w:pPr>
              <w:adjustRightInd w:val="0"/>
              <w:spacing w:line="240" w:lineRule="auto"/>
              <w:ind w:firstLine="0" w:firstLineChars="0"/>
              <w:jc w:val="center"/>
              <w:textAlignment w:val="baseline"/>
              <w:rPr>
                <w:rFonts w:ascii="Times New Roman" w:hAnsi="Times New Roman"/>
                <w:sz w:val="21"/>
                <w:szCs w:val="20"/>
                <w:vertAlign w:val="superscript"/>
              </w:rPr>
            </w:pPr>
            <w:r>
              <w:rPr>
                <w:rFonts w:ascii="Times New Roman" w:hAnsi="Times New Roman"/>
                <w:sz w:val="21"/>
                <w:szCs w:val="20"/>
              </w:rPr>
              <w:t>N1</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小湾则村</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LX-102</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E</w:t>
            </w:r>
          </w:p>
        </w:tc>
        <w:tc>
          <w:tcPr>
            <w:tcW w:w="103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254m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84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N2</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sz w:val="21"/>
                <w:szCs w:val="20"/>
              </w:rPr>
              <w:t>张家庄</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LX-105</w:t>
            </w:r>
          </w:p>
        </w:tc>
        <w:tc>
          <w:tcPr>
            <w:tcW w:w="103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N</w:t>
            </w:r>
          </w:p>
        </w:tc>
        <w:tc>
          <w:tcPr>
            <w:tcW w:w="103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235m</w:t>
            </w:r>
          </w:p>
        </w:tc>
      </w:tr>
    </w:tbl>
    <w:p>
      <w:pPr>
        <w:ind w:firstLine="480"/>
        <w:rPr>
          <w:rFonts w:ascii="Times New Roman" w:hAnsi="Times New Roman"/>
          <w:szCs w:val="24"/>
        </w:rPr>
      </w:pPr>
      <w:r>
        <w:rPr>
          <w:rFonts w:hint="eastAsia" w:ascii="Times New Roman" w:hAnsi="Times New Roman"/>
          <w:szCs w:val="24"/>
        </w:rPr>
        <w:t>②</w:t>
      </w:r>
      <w:r>
        <w:rPr>
          <w:rFonts w:ascii="Times New Roman" w:hAnsi="Times New Roman"/>
          <w:szCs w:val="24"/>
        </w:rPr>
        <w:t>监测时间和频次</w:t>
      </w:r>
    </w:p>
    <w:p>
      <w:pPr>
        <w:ind w:firstLine="480"/>
        <w:rPr>
          <w:rFonts w:ascii="Times New Roman" w:hAnsi="Times New Roman"/>
          <w:szCs w:val="24"/>
        </w:rPr>
      </w:pPr>
      <w:r>
        <w:rPr>
          <w:rFonts w:ascii="Times New Roman" w:hAnsi="Times New Roman"/>
          <w:szCs w:val="24"/>
        </w:rPr>
        <w:t>监测时间为</w:t>
      </w:r>
      <w:r>
        <w:rPr>
          <w:rFonts w:hint="eastAsia" w:ascii="Times New Roman" w:hAnsi="Times New Roman"/>
          <w:szCs w:val="24"/>
        </w:rPr>
        <w:t>2018年12月7日-9日</w:t>
      </w:r>
      <w:r>
        <w:rPr>
          <w:rFonts w:ascii="Times New Roman" w:hAnsi="Times New Roman"/>
          <w:szCs w:val="24"/>
        </w:rPr>
        <w:t>，连续3天，每天昼夜各监测一次，每次10分钟。</w:t>
      </w:r>
    </w:p>
    <w:p>
      <w:pPr>
        <w:ind w:firstLine="480"/>
        <w:rPr>
          <w:rFonts w:ascii="Times New Roman" w:hAnsi="Times New Roman"/>
          <w:szCs w:val="24"/>
        </w:rPr>
      </w:pPr>
      <w:r>
        <w:rPr>
          <w:rFonts w:hint="eastAsia" w:ascii="Times New Roman" w:hAnsi="Times New Roman"/>
          <w:szCs w:val="24"/>
        </w:rPr>
        <w:t>③</w:t>
      </w:r>
      <w:r>
        <w:rPr>
          <w:rFonts w:ascii="Times New Roman" w:hAnsi="Times New Roman"/>
          <w:szCs w:val="24"/>
        </w:rPr>
        <w:t>监测结果统计</w:t>
      </w:r>
    </w:p>
    <w:p>
      <w:pPr>
        <w:ind w:firstLine="480"/>
        <w:rPr>
          <w:rFonts w:ascii="Times New Roman" w:hAnsi="Times New Roman"/>
          <w:szCs w:val="24"/>
        </w:rPr>
      </w:pPr>
      <w:r>
        <w:rPr>
          <w:rFonts w:ascii="Times New Roman" w:hAnsi="Times New Roman"/>
          <w:szCs w:val="24"/>
        </w:rPr>
        <w:t>评价区声环境质量现状监测和评价结果见表</w:t>
      </w:r>
      <w:r>
        <w:rPr>
          <w:rFonts w:hint="eastAsia" w:ascii="Times New Roman" w:hAnsi="Times New Roman"/>
          <w:szCs w:val="24"/>
        </w:rPr>
        <w:t>4.2-12</w:t>
      </w:r>
      <w:r>
        <w:rPr>
          <w:rFonts w:ascii="Times New Roman" w:hAnsi="Times New Roman"/>
          <w:szCs w:val="24"/>
        </w:rPr>
        <w:t>。</w:t>
      </w:r>
    </w:p>
    <w:p>
      <w:pPr>
        <w:spacing w:before="156" w:beforeLines="50" w:line="240" w:lineRule="auto"/>
        <w:ind w:firstLine="0" w:firstLineChars="0"/>
        <w:jc w:val="center"/>
        <w:rPr>
          <w:rFonts w:ascii="Times New Roman" w:hAnsi="宋体"/>
          <w:b/>
          <w:sz w:val="21"/>
        </w:rPr>
      </w:pPr>
      <w:r>
        <w:rPr>
          <w:rFonts w:ascii="Times New Roman" w:hAnsi="宋体"/>
          <w:b/>
          <w:sz w:val="21"/>
        </w:rPr>
        <w:t>表</w:t>
      </w:r>
      <w:r>
        <w:rPr>
          <w:rFonts w:hint="eastAsia" w:ascii="Times New Roman" w:hAnsi="宋体"/>
          <w:b/>
          <w:sz w:val="21"/>
        </w:rPr>
        <w:t>4.2-1</w:t>
      </w:r>
      <w:r>
        <w:rPr>
          <w:rFonts w:ascii="Times New Roman" w:hAnsi="宋体"/>
          <w:b/>
          <w:sz w:val="21"/>
        </w:rPr>
        <w:t>2</w:t>
      </w:r>
      <w:r>
        <w:rPr>
          <w:rFonts w:hint="eastAsia" w:ascii="Times New Roman" w:hAnsi="宋体"/>
          <w:b/>
          <w:sz w:val="21"/>
        </w:rPr>
        <w:t xml:space="preserve"> </w:t>
      </w:r>
      <w:r>
        <w:rPr>
          <w:rFonts w:ascii="Times New Roman" w:hAnsi="宋体"/>
          <w:b/>
          <w:sz w:val="21"/>
        </w:rPr>
        <w:t>声环境质量现状监测和评价结果</w:t>
      </w:r>
    </w:p>
    <w:tbl>
      <w:tblPr>
        <w:tblStyle w:val="18"/>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06"/>
        <w:gridCol w:w="1707"/>
        <w:gridCol w:w="1704"/>
        <w:gridCol w:w="1704"/>
        <w:gridCol w:w="170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Pr>
        <w:tc>
          <w:tcPr>
            <w:tcW w:w="1001" w:type="pct"/>
            <w:vMerge w:val="restar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编号</w:t>
            </w:r>
          </w:p>
        </w:tc>
        <w:tc>
          <w:tcPr>
            <w:tcW w:w="2000" w:type="pct"/>
            <w:gridSpan w:val="2"/>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监测值</w:t>
            </w:r>
          </w:p>
        </w:tc>
        <w:tc>
          <w:tcPr>
            <w:tcW w:w="1999" w:type="pct"/>
            <w:gridSpan w:val="2"/>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Pr>
        <w:tc>
          <w:tcPr>
            <w:tcW w:w="1001" w:type="pct"/>
            <w:vMerge w:val="continue"/>
            <w:vAlign w:val="center"/>
          </w:tcPr>
          <w:p>
            <w:pPr>
              <w:adjustRightInd w:val="0"/>
              <w:spacing w:line="240" w:lineRule="auto"/>
              <w:ind w:firstLine="0" w:firstLineChars="0"/>
              <w:jc w:val="center"/>
              <w:textAlignment w:val="baseline"/>
              <w:rPr>
                <w:rFonts w:ascii="Times New Roman"/>
                <w:sz w:val="21"/>
                <w:szCs w:val="20"/>
              </w:rPr>
            </w:pPr>
          </w:p>
        </w:tc>
        <w:tc>
          <w:tcPr>
            <w:tcW w:w="100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昼间Leq</w:t>
            </w:r>
          </w:p>
        </w:tc>
        <w:tc>
          <w:tcPr>
            <w:tcW w:w="99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夜间Leq</w:t>
            </w:r>
          </w:p>
        </w:tc>
        <w:tc>
          <w:tcPr>
            <w:tcW w:w="99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昼间</w:t>
            </w:r>
          </w:p>
        </w:tc>
        <w:tc>
          <w:tcPr>
            <w:tcW w:w="1000"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0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N1</w:t>
            </w:r>
          </w:p>
        </w:tc>
        <w:tc>
          <w:tcPr>
            <w:tcW w:w="100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46.9~48.5</w:t>
            </w:r>
          </w:p>
        </w:tc>
        <w:tc>
          <w:tcPr>
            <w:tcW w:w="99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43.1~45.3</w:t>
            </w:r>
          </w:p>
        </w:tc>
        <w:tc>
          <w:tcPr>
            <w:tcW w:w="999"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达标</w:t>
            </w:r>
          </w:p>
        </w:tc>
        <w:tc>
          <w:tcPr>
            <w:tcW w:w="100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0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N2</w:t>
            </w:r>
          </w:p>
        </w:tc>
        <w:tc>
          <w:tcPr>
            <w:tcW w:w="100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45.7~47.2</w:t>
            </w:r>
          </w:p>
        </w:tc>
        <w:tc>
          <w:tcPr>
            <w:tcW w:w="99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42.6~44.6</w:t>
            </w:r>
          </w:p>
        </w:tc>
        <w:tc>
          <w:tcPr>
            <w:tcW w:w="999"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达标</w:t>
            </w:r>
          </w:p>
        </w:tc>
        <w:tc>
          <w:tcPr>
            <w:tcW w:w="100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达标</w:t>
            </w:r>
          </w:p>
        </w:tc>
      </w:tr>
    </w:tbl>
    <w:p>
      <w:pPr>
        <w:ind w:firstLine="480"/>
        <w:rPr>
          <w:rFonts w:ascii="Times New Roman" w:hAnsi="Times New Roman"/>
          <w:szCs w:val="24"/>
        </w:rPr>
      </w:pPr>
      <w:r>
        <w:rPr>
          <w:rFonts w:hint="eastAsia" w:ascii="Times New Roman" w:hAnsi="Times New Roman"/>
          <w:szCs w:val="24"/>
        </w:rPr>
        <w:t>（2）现状评价</w:t>
      </w:r>
    </w:p>
    <w:p>
      <w:pPr>
        <w:ind w:firstLine="480"/>
        <w:rPr>
          <w:rFonts w:ascii="Times New Roman" w:hAnsi="Times New Roman"/>
          <w:szCs w:val="24"/>
        </w:rPr>
      </w:pPr>
      <w:r>
        <w:rPr>
          <w:rFonts w:hint="eastAsia" w:ascii="Times New Roman" w:hAnsi="Times New Roman"/>
          <w:szCs w:val="24"/>
        </w:rPr>
        <w:t>①评价方法</w:t>
      </w:r>
    </w:p>
    <w:p>
      <w:pPr>
        <w:ind w:firstLine="480"/>
        <w:rPr>
          <w:rFonts w:ascii="Times New Roman" w:hAnsi="Times New Roman"/>
          <w:szCs w:val="24"/>
        </w:rPr>
      </w:pPr>
      <w:r>
        <w:rPr>
          <w:rFonts w:hint="eastAsia" w:ascii="Times New Roman" w:hAnsi="Times New Roman"/>
          <w:szCs w:val="24"/>
        </w:rPr>
        <w:t>比标法。</w:t>
      </w:r>
    </w:p>
    <w:p>
      <w:pPr>
        <w:ind w:firstLine="480"/>
        <w:rPr>
          <w:rFonts w:ascii="Times New Roman" w:hAnsi="Times New Roman"/>
          <w:szCs w:val="24"/>
        </w:rPr>
      </w:pPr>
      <w:r>
        <w:rPr>
          <w:rFonts w:hint="eastAsia" w:ascii="Times New Roman" w:hAnsi="Times New Roman"/>
          <w:szCs w:val="24"/>
        </w:rPr>
        <w:t>②评价标准</w:t>
      </w:r>
    </w:p>
    <w:p>
      <w:pPr>
        <w:ind w:firstLine="480"/>
        <w:rPr>
          <w:rFonts w:ascii="Times New Roman" w:hAnsi="Times New Roman"/>
          <w:szCs w:val="24"/>
        </w:rPr>
      </w:pPr>
      <w:r>
        <w:rPr>
          <w:rFonts w:hint="eastAsia" w:ascii="Times New Roman" w:hAnsi="Times New Roman"/>
          <w:szCs w:val="24"/>
        </w:rPr>
        <w:t>采用《声环境质量标准》（GB3096-2008）中1类区标准。</w:t>
      </w:r>
    </w:p>
    <w:p>
      <w:pPr>
        <w:ind w:firstLine="480"/>
        <w:rPr>
          <w:rFonts w:ascii="Times New Roman" w:hAnsi="Times New Roman"/>
          <w:szCs w:val="24"/>
        </w:rPr>
      </w:pPr>
      <w:r>
        <w:rPr>
          <w:rFonts w:hint="eastAsia" w:ascii="Times New Roman" w:hAnsi="Times New Roman"/>
          <w:szCs w:val="24"/>
        </w:rPr>
        <w:t>③评价结果</w:t>
      </w:r>
    </w:p>
    <w:p>
      <w:pPr>
        <w:ind w:firstLine="480"/>
        <w:rPr>
          <w:rFonts w:ascii="Times New Roman" w:hAnsi="Times New Roman"/>
          <w:szCs w:val="24"/>
        </w:rPr>
      </w:pPr>
      <w:r>
        <w:rPr>
          <w:rFonts w:hint="eastAsia" w:ascii="Times New Roman" w:hAnsi="Times New Roman"/>
          <w:szCs w:val="24"/>
        </w:rPr>
        <w:t>声环境质量现状评价结果见表4.2-12，监测点的昼间和夜间监测值均未超过《声环境质量标准》（GB3096-2008）中，1类区标准。</w:t>
      </w:r>
    </w:p>
    <w:p>
      <w:pPr>
        <w:ind w:firstLine="0" w:firstLineChars="0"/>
        <w:outlineLvl w:val="2"/>
        <w:rPr>
          <w:rFonts w:ascii="Times New Roman" w:hAnsi="Times New Roman"/>
          <w:b/>
          <w:sz w:val="28"/>
          <w:szCs w:val="28"/>
        </w:rPr>
      </w:pPr>
      <w:bookmarkStart w:id="74" w:name="_Toc524624606"/>
      <w:r>
        <w:rPr>
          <w:rFonts w:hint="eastAsia" w:ascii="Times New Roman" w:hAnsi="Times New Roman"/>
          <w:b/>
          <w:sz w:val="28"/>
          <w:szCs w:val="28"/>
        </w:rPr>
        <w:t>4.2.5 生态环境质量现状与评价</w:t>
      </w:r>
      <w:bookmarkEnd w:id="74"/>
    </w:p>
    <w:p>
      <w:pPr>
        <w:ind w:firstLine="0" w:firstLineChars="0"/>
        <w:outlineLvl w:val="3"/>
        <w:rPr>
          <w:rFonts w:ascii="Times New Roman" w:hAnsi="Times New Roman"/>
          <w:b/>
          <w:szCs w:val="24"/>
        </w:rPr>
      </w:pPr>
      <w:r>
        <w:rPr>
          <w:rFonts w:hint="eastAsia" w:ascii="Times New Roman" w:hAnsi="Times New Roman"/>
          <w:b/>
          <w:szCs w:val="24"/>
        </w:rPr>
        <w:t>4</w:t>
      </w:r>
      <w:r>
        <w:rPr>
          <w:rFonts w:ascii="Times New Roman" w:hAnsi="Times New Roman"/>
          <w:b/>
          <w:szCs w:val="24"/>
        </w:rPr>
        <w:t>.</w:t>
      </w:r>
      <w:r>
        <w:rPr>
          <w:rFonts w:hint="eastAsia" w:ascii="Times New Roman" w:hAnsi="Times New Roman"/>
          <w:b/>
          <w:szCs w:val="24"/>
        </w:rPr>
        <w:t>2</w:t>
      </w:r>
      <w:r>
        <w:rPr>
          <w:rFonts w:ascii="Times New Roman" w:hAnsi="Times New Roman"/>
          <w:b/>
          <w:szCs w:val="24"/>
        </w:rPr>
        <w:t>.5.1</w:t>
      </w:r>
      <w:r>
        <w:rPr>
          <w:rFonts w:hint="eastAsia" w:ascii="Times New Roman" w:hAnsi="Times New Roman"/>
          <w:b/>
          <w:szCs w:val="24"/>
        </w:rPr>
        <w:t xml:space="preserve"> 土地用现状调查</w:t>
      </w:r>
    </w:p>
    <w:p>
      <w:pPr>
        <w:spacing w:line="460" w:lineRule="exact"/>
        <w:ind w:firstLine="496"/>
        <w:rPr>
          <w:rFonts w:ascii="Times New Roman" w:hAnsi="Times New Roman"/>
          <w:spacing w:val="4"/>
        </w:rPr>
      </w:pPr>
      <w:r>
        <w:rPr>
          <w:rFonts w:hint="eastAsia"/>
          <w:spacing w:val="4"/>
        </w:rPr>
        <w:t>本项目所在区域</w:t>
      </w:r>
      <w:r>
        <w:rPr>
          <w:rFonts w:ascii="Times New Roman" w:hAnsi="Times New Roman"/>
          <w:szCs w:val="24"/>
        </w:rPr>
        <w:t>赵家坪乡</w:t>
      </w:r>
      <w:r>
        <w:rPr>
          <w:rFonts w:hint="eastAsia"/>
          <w:spacing w:val="4"/>
        </w:rPr>
        <w:t>，</w:t>
      </w:r>
      <w:bookmarkStart w:id="75" w:name="OLE_LINK32"/>
      <w:r>
        <w:rPr>
          <w:rFonts w:hint="eastAsia"/>
          <w:spacing w:val="4"/>
        </w:rPr>
        <w:t>可利用土地资源缺乏，</w:t>
      </w:r>
      <w:r>
        <w:rPr>
          <w:spacing w:val="4"/>
        </w:rPr>
        <w:t>土地利用主要以灌木林地和草地为主。</w:t>
      </w:r>
      <w:bookmarkEnd w:id="75"/>
      <w:r>
        <w:rPr>
          <w:rFonts w:hint="eastAsia"/>
          <w:spacing w:val="4"/>
        </w:rPr>
        <w:t>本次评价</w:t>
      </w:r>
      <w:r>
        <w:rPr>
          <w:spacing w:val="4"/>
        </w:rPr>
        <w:t>结合实地调查和遥感卫星影像解译，将</w:t>
      </w:r>
      <w:r>
        <w:rPr>
          <w:rFonts w:hint="eastAsia"/>
          <w:spacing w:val="4"/>
        </w:rPr>
        <w:t>试验区</w:t>
      </w:r>
      <w:r>
        <w:rPr>
          <w:spacing w:val="4"/>
        </w:rPr>
        <w:t>土地利用情况</w:t>
      </w:r>
      <w:r>
        <w:rPr>
          <w:rFonts w:hint="eastAsia"/>
          <w:spacing w:val="4"/>
        </w:rPr>
        <w:t>进行了分类统计</w:t>
      </w:r>
      <w:r>
        <w:rPr>
          <w:spacing w:val="4"/>
        </w:rPr>
        <w:t>。</w:t>
      </w:r>
      <w:r>
        <w:rPr>
          <w:rFonts w:hint="eastAsia"/>
          <w:spacing w:val="4"/>
        </w:rPr>
        <w:t>遥感影像</w:t>
      </w:r>
      <w:r>
        <w:rPr>
          <w:spacing w:val="4"/>
        </w:rPr>
        <w:t>数据</w:t>
      </w:r>
      <w:r>
        <w:rPr>
          <w:rFonts w:hint="eastAsia"/>
          <w:spacing w:val="4"/>
        </w:rPr>
        <w:t>采用数据为landsat8卫星数据，波段组</w:t>
      </w:r>
      <w:r>
        <w:rPr>
          <w:rFonts w:ascii="Times New Roman" w:hAnsi="Times New Roman"/>
          <w:spacing w:val="4"/>
        </w:rPr>
        <w:t>合为564，数据为2016年9月23日数据。试验区土地利用现状见图4.2-4。数据统计结果见表4.2-13。</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表4.2-13试验区土地利用现状统计表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2842"/>
        <w:gridCol w:w="2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占地面积</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面积（hm</w:t>
            </w:r>
            <w:r>
              <w:rPr>
                <w:rFonts w:ascii="Times New Roman" w:hAnsi="Times New Roman"/>
                <w:sz w:val="21"/>
                <w:vertAlign w:val="superscript"/>
              </w:rPr>
              <w:t>2</w:t>
            </w:r>
            <w:r>
              <w:rPr>
                <w:rFonts w:ascii="Times New Roman" w:hAnsi="Times New Roman"/>
                <w:sz w:val="21"/>
              </w:rPr>
              <w:t>）</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其他草地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752.64</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36.63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旱地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1011.76</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灌木林地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37.93</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有林地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210.98</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农村宅基地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39.61</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裸地</w:t>
            </w: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1.47</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tcPr>
          <w:p>
            <w:pPr>
              <w:spacing w:line="240" w:lineRule="auto"/>
              <w:ind w:firstLine="0" w:firstLineChars="0"/>
              <w:jc w:val="center"/>
              <w:rPr>
                <w:rFonts w:ascii="Times New Roman" w:hAnsi="Times New Roman"/>
                <w:sz w:val="21"/>
              </w:rPr>
            </w:pPr>
          </w:p>
        </w:tc>
        <w:tc>
          <w:tcPr>
            <w:tcW w:w="1666"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2054.39</w:t>
            </w:r>
          </w:p>
        </w:tc>
        <w:tc>
          <w:tcPr>
            <w:tcW w:w="1667" w:type="pct"/>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100</w:t>
            </w:r>
          </w:p>
        </w:tc>
      </w:tr>
    </w:tbl>
    <w:p>
      <w:pPr>
        <w:ind w:firstLine="480"/>
        <w:rPr>
          <w:rFonts w:ascii="Times New Roman" w:hAnsi="Times New Roman"/>
        </w:rPr>
      </w:pPr>
      <w:r>
        <w:rPr>
          <w:rFonts w:ascii="Times New Roman" w:hAnsi="Times New Roman"/>
        </w:rPr>
        <w:t>由上表可知，土地类型分布主要有草地、旱地、灌木林地、有林地、农村宅基地、裸地等，在此范围内以其他草地和旱地为主，占地面积分别为752.64和1011.76 hm</w:t>
      </w:r>
      <w:r>
        <w:rPr>
          <w:rFonts w:ascii="Times New Roman" w:hAnsi="Times New Roman"/>
          <w:vertAlign w:val="superscript"/>
        </w:rPr>
        <w:t>2</w:t>
      </w:r>
      <w:r>
        <w:rPr>
          <w:rFonts w:ascii="Times New Roman" w:hAnsi="Times New Roman"/>
        </w:rPr>
        <w:t>，占比分别为36.63%和49.24%。</w:t>
      </w:r>
    </w:p>
    <w:p>
      <w:pPr>
        <w:ind w:firstLine="0" w:firstLineChars="0"/>
        <w:outlineLvl w:val="3"/>
        <w:rPr>
          <w:rFonts w:ascii="Times New Roman" w:hAnsi="Times New Roman"/>
          <w:b/>
          <w:szCs w:val="24"/>
        </w:rPr>
      </w:pPr>
      <w:r>
        <w:rPr>
          <w:rFonts w:ascii="Times New Roman" w:hAnsi="Times New Roman"/>
          <w:b/>
          <w:szCs w:val="24"/>
        </w:rPr>
        <w:t>4.2.5.2 植被分布现状</w:t>
      </w:r>
    </w:p>
    <w:p>
      <w:pPr>
        <w:spacing w:line="460" w:lineRule="exact"/>
        <w:ind w:firstLine="480"/>
        <w:rPr>
          <w:rFonts w:ascii="Times New Roman" w:hAnsi="Times New Roman"/>
          <w:spacing w:val="4"/>
        </w:rPr>
      </w:pPr>
      <w:r>
        <w:rPr>
          <w:rFonts w:ascii="Times New Roman" w:hAnsi="Times New Roman"/>
        </w:rPr>
        <w:t>试验区植被属暖温带阔叶落叶植被类型。乔木林主要有杨树、刺槐、榆树、白皮松、云杉、辽东栎、鹅耳栎、元宝枫等树种；灌木林以沙棘、荆条、虎榛子、黄刺梅为主；天然草本以铁秆蒿、茵陈蒿等为主。试验区域植被分布现状见图4.2-5。</w:t>
      </w:r>
      <w:r>
        <w:rPr>
          <w:rFonts w:ascii="Times New Roman" w:hAnsi="Times New Roman"/>
          <w:spacing w:val="4"/>
        </w:rPr>
        <w:t>数据统计结果见表4.2-14。</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表4.2-14 试验区植被分布现状</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植被类型</w:t>
            </w:r>
          </w:p>
        </w:tc>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面积（hm</w:t>
            </w:r>
            <w:r>
              <w:rPr>
                <w:rFonts w:ascii="Times New Roman" w:hAnsi="Times New Roman"/>
                <w:sz w:val="21"/>
                <w:vertAlign w:val="superscript"/>
              </w:rPr>
              <w:t>2</w:t>
            </w:r>
            <w:r>
              <w:rPr>
                <w:rFonts w:ascii="Times New Roman" w:hAnsi="Times New Roman"/>
                <w:sz w:val="21"/>
              </w:rPr>
              <w:t>）</w:t>
            </w:r>
          </w:p>
        </w:tc>
        <w:tc>
          <w:tcPr>
            <w:tcW w:w="276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白羊草草丛</w:t>
            </w:r>
          </w:p>
        </w:tc>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752.64</w:t>
            </w:r>
          </w:p>
        </w:tc>
        <w:tc>
          <w:tcPr>
            <w:tcW w:w="276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36.63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农田植被</w:t>
            </w:r>
          </w:p>
        </w:tc>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1011.76</w:t>
            </w:r>
          </w:p>
        </w:tc>
        <w:tc>
          <w:tcPr>
            <w:tcW w:w="276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荆条和酸枣灌丛</w:t>
            </w:r>
          </w:p>
        </w:tc>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37.93</w:t>
            </w:r>
          </w:p>
        </w:tc>
        <w:tc>
          <w:tcPr>
            <w:tcW w:w="276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真阔叶混交林</w:t>
            </w:r>
          </w:p>
        </w:tc>
        <w:tc>
          <w:tcPr>
            <w:tcW w:w="2765"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210.98</w:t>
            </w:r>
          </w:p>
        </w:tc>
        <w:tc>
          <w:tcPr>
            <w:tcW w:w="276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10.27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无植被</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41.08</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5" w:type="dxa"/>
            <w:shd w:val="clear" w:color="auto" w:fill="auto"/>
          </w:tcPr>
          <w:p>
            <w:pPr>
              <w:spacing w:line="240" w:lineRule="auto"/>
              <w:ind w:firstLine="0" w:firstLineChars="0"/>
              <w:jc w:val="center"/>
              <w:rPr>
                <w:rFonts w:ascii="Times New Roman" w:hAnsi="Times New Roman"/>
                <w:sz w:val="21"/>
              </w:rPr>
            </w:pP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2054.39</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100</w:t>
            </w:r>
          </w:p>
        </w:tc>
      </w:tr>
    </w:tbl>
    <w:p>
      <w:pPr>
        <w:ind w:firstLine="480"/>
        <w:rPr>
          <w:rFonts w:ascii="Times New Roman" w:hAnsi="Times New Roman"/>
        </w:rPr>
      </w:pPr>
      <w:r>
        <w:rPr>
          <w:rFonts w:hint="eastAsia" w:ascii="Times New Roman" w:hAnsi="Times New Roman"/>
        </w:rPr>
        <w:t>由上表可知：试验区植被类型分布主要有白羊草草丛、农田植被、荆条和酸枣灌丛、真阔叶混交林、无植被等，在此范围内植被类型以白羊草草丛和农田植被为主，占地面积分别为7</w:t>
      </w:r>
      <w:r>
        <w:rPr>
          <w:rFonts w:ascii="Times New Roman" w:hAnsi="Times New Roman"/>
        </w:rPr>
        <w:t>52.64hm</w:t>
      </w:r>
      <w:r>
        <w:rPr>
          <w:rFonts w:ascii="Times New Roman" w:hAnsi="Times New Roman"/>
          <w:vertAlign w:val="superscript"/>
        </w:rPr>
        <w:t>2</w:t>
      </w:r>
      <w:r>
        <w:rPr>
          <w:rFonts w:hint="eastAsia" w:ascii="Times New Roman" w:hAnsi="Times New Roman"/>
        </w:rPr>
        <w:t>和1</w:t>
      </w:r>
      <w:r>
        <w:rPr>
          <w:rFonts w:ascii="Times New Roman" w:hAnsi="Times New Roman"/>
        </w:rPr>
        <w:t>011.76hm</w:t>
      </w:r>
      <w:r>
        <w:rPr>
          <w:rFonts w:ascii="Times New Roman" w:hAnsi="Times New Roman"/>
          <w:vertAlign w:val="superscript"/>
        </w:rPr>
        <w:t>2</w:t>
      </w:r>
      <w:r>
        <w:rPr>
          <w:rFonts w:hint="eastAsia" w:ascii="Times New Roman" w:hAnsi="Times New Roman"/>
        </w:rPr>
        <w:t>，占评价区范围3</w:t>
      </w:r>
      <w:r>
        <w:rPr>
          <w:rFonts w:ascii="Times New Roman" w:hAnsi="Times New Roman"/>
        </w:rPr>
        <w:t>6.63</w:t>
      </w:r>
      <w:r>
        <w:rPr>
          <w:rFonts w:hint="eastAsia" w:ascii="Times New Roman" w:hAnsi="Times New Roman"/>
        </w:rPr>
        <w:t>%和4</w:t>
      </w:r>
      <w:r>
        <w:rPr>
          <w:rFonts w:ascii="Times New Roman" w:hAnsi="Times New Roman"/>
        </w:rPr>
        <w:t>9.25</w:t>
      </w:r>
      <w:r>
        <w:rPr>
          <w:rFonts w:hint="eastAsia" w:ascii="Times New Roman" w:hAnsi="Times New Roman"/>
        </w:rPr>
        <w:t>%。</w:t>
      </w:r>
    </w:p>
    <w:p>
      <w:pPr>
        <w:ind w:firstLine="0" w:firstLineChars="0"/>
        <w:outlineLvl w:val="3"/>
        <w:rPr>
          <w:rFonts w:ascii="Times New Roman" w:hAnsi="Times New Roman"/>
          <w:b/>
          <w:szCs w:val="24"/>
        </w:rPr>
      </w:pPr>
      <w:r>
        <w:rPr>
          <w:rFonts w:ascii="Times New Roman" w:hAnsi="Times New Roman"/>
          <w:b/>
          <w:szCs w:val="24"/>
        </w:rPr>
        <w:t>4.</w:t>
      </w:r>
      <w:r>
        <w:rPr>
          <w:rFonts w:hint="eastAsia" w:ascii="Times New Roman" w:hAnsi="Times New Roman"/>
          <w:b/>
          <w:szCs w:val="24"/>
        </w:rPr>
        <w:t xml:space="preserve">2.5.3 </w:t>
      </w:r>
      <w:r>
        <w:rPr>
          <w:rFonts w:ascii="Times New Roman" w:hAnsi="Times New Roman"/>
          <w:b/>
          <w:szCs w:val="24"/>
        </w:rPr>
        <w:t>土壤侵蚀现状</w:t>
      </w:r>
    </w:p>
    <w:p>
      <w:pPr>
        <w:ind w:firstLine="480"/>
        <w:rPr>
          <w:spacing w:val="4"/>
        </w:rPr>
      </w:pPr>
      <w:r>
        <w:rPr>
          <w:rFonts w:hint="eastAsia"/>
        </w:rPr>
        <w:t>试验区土壤以褐土、褐土性土、淋溶褐土为主，分布在低山丘陵等地貌单元，土壤质地以中壤为主，部分为轻壤、重壤。</w:t>
      </w:r>
      <w:r>
        <w:rPr>
          <w:rFonts w:hint="eastAsia"/>
          <w:spacing w:val="4"/>
        </w:rPr>
        <w:t>兴县地处晋西黄土高原，山高坡陡，沟壑纵横，地表黄土湿陷性强，涨缩明显，极易形成沟蚀和面蚀，到汛期山洪暴发，加剧了水土流失，使清水变成洪水浊流，高原冲蚀成千沟万壑，使地貌地形支离破碎，土壤侵蚀主要是以水力侵蚀为主。试验</w:t>
      </w:r>
      <w:r>
        <w:t>区域</w:t>
      </w:r>
      <w:r>
        <w:rPr>
          <w:rFonts w:hint="eastAsia"/>
        </w:rPr>
        <w:t>土壤侵蚀</w:t>
      </w:r>
      <w:r>
        <w:t>现状见图</w:t>
      </w:r>
      <w:r>
        <w:rPr>
          <w:rFonts w:ascii="Times New Roman" w:hAnsi="Times New Roman"/>
        </w:rPr>
        <w:t>4.2-6。</w:t>
      </w:r>
      <w:r>
        <w:rPr>
          <w:rFonts w:ascii="Times New Roman" w:hAnsi="Times New Roman"/>
          <w:spacing w:val="4"/>
        </w:rPr>
        <w:t>数据统计结果见表4.2-15。</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表4.2</w:t>
      </w:r>
      <w:r>
        <w:rPr>
          <w:rFonts w:hint="eastAsia" w:ascii="Times New Roman" w:hAnsi="Times New Roman"/>
          <w:b/>
          <w:sz w:val="21"/>
        </w:rPr>
        <w:t>-1</w:t>
      </w:r>
      <w:r>
        <w:rPr>
          <w:rFonts w:ascii="Times New Roman" w:hAnsi="Times New Roman"/>
          <w:b/>
          <w:sz w:val="21"/>
        </w:rPr>
        <w:t>5</w:t>
      </w:r>
      <w:r>
        <w:rPr>
          <w:rFonts w:hint="eastAsia" w:ascii="Times New Roman" w:hAnsi="Times New Roman"/>
          <w:b/>
          <w:sz w:val="21"/>
        </w:rPr>
        <w:t>试验区</w:t>
      </w:r>
      <w:r>
        <w:rPr>
          <w:rFonts w:ascii="Times New Roman" w:hAnsi="Times New Roman"/>
          <w:b/>
          <w:sz w:val="21"/>
        </w:rPr>
        <w:t>土壤侵蚀现状</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侵蚀类型</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面积（h</w:t>
            </w:r>
            <w:r>
              <w:rPr>
                <w:rFonts w:ascii="Times New Roman" w:hAnsi="Times New Roman"/>
                <w:sz w:val="21"/>
              </w:rPr>
              <w:t>m</w:t>
            </w:r>
            <w:r>
              <w:rPr>
                <w:rFonts w:ascii="Times New Roman" w:hAnsi="Times New Roman"/>
                <w:sz w:val="21"/>
                <w:vertAlign w:val="superscript"/>
              </w:rPr>
              <w:t>2</w:t>
            </w:r>
            <w:r>
              <w:rPr>
                <w:rFonts w:hint="eastAsia" w:ascii="Times New Roman" w:hAnsi="Times New Roman"/>
                <w:sz w:val="21"/>
              </w:rPr>
              <w:t>）</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微度侵蚀</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2</w:t>
            </w:r>
            <w:r>
              <w:rPr>
                <w:rFonts w:ascii="Times New Roman" w:hAnsi="Times New Roman"/>
                <w:sz w:val="21"/>
              </w:rPr>
              <w:t>48.91</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hAnsi="Times New Roman"/>
                <w:sz w:val="21"/>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轻度侵蚀</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3</w:t>
            </w:r>
            <w:r>
              <w:rPr>
                <w:rFonts w:ascii="Times New Roman" w:hAnsi="Times New Roman"/>
                <w:sz w:val="21"/>
              </w:rPr>
              <w:t>9.61</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hAnsi="Times New Roman"/>
                <w:sz w:val="21"/>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中度侵蚀</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hAnsi="Times New Roman"/>
                <w:sz w:val="21"/>
              </w:rPr>
              <w:t>011.76</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4</w:t>
            </w:r>
            <w:r>
              <w:rPr>
                <w:rFonts w:ascii="Times New Roman" w:hAnsi="Times New Roman"/>
                <w:sz w:val="21"/>
              </w:rPr>
              <w:t>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强烈侵蚀</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7</w:t>
            </w:r>
            <w:r>
              <w:rPr>
                <w:rFonts w:ascii="Times New Roman" w:hAnsi="Times New Roman"/>
                <w:sz w:val="21"/>
              </w:rPr>
              <w:t>52.64</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3</w:t>
            </w:r>
            <w:r>
              <w:rPr>
                <w:rFonts w:ascii="Times New Roman" w:hAnsi="Times New Roman"/>
                <w:sz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极强裂侵蚀</w:t>
            </w: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hAnsi="Times New Roman"/>
                <w:sz w:val="21"/>
              </w:rPr>
              <w:t>.47</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0</w:t>
            </w:r>
            <w:r>
              <w:rPr>
                <w:rFonts w:ascii="Times New Roman" w:hAnsi="Times New Roman"/>
                <w:sz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shd w:val="clear" w:color="auto" w:fill="auto"/>
          </w:tcPr>
          <w:p>
            <w:pPr>
              <w:spacing w:line="240" w:lineRule="auto"/>
              <w:ind w:firstLine="0" w:firstLineChars="0"/>
              <w:jc w:val="center"/>
              <w:rPr>
                <w:rFonts w:ascii="Times New Roman" w:hAnsi="Times New Roman"/>
                <w:sz w:val="21"/>
              </w:rPr>
            </w:pPr>
          </w:p>
        </w:tc>
        <w:tc>
          <w:tcPr>
            <w:tcW w:w="2765"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2</w:t>
            </w:r>
            <w:r>
              <w:rPr>
                <w:rFonts w:ascii="Times New Roman" w:hAnsi="Times New Roman"/>
                <w:sz w:val="21"/>
              </w:rPr>
              <w:t>054.</w:t>
            </w:r>
            <w:r>
              <w:rPr>
                <w:rFonts w:hint="eastAsia" w:ascii="Times New Roman" w:hAnsi="Times New Roman"/>
                <w:sz w:val="21"/>
              </w:rPr>
              <w:t>3</w:t>
            </w:r>
            <w:r>
              <w:rPr>
                <w:rFonts w:ascii="Times New Roman" w:hAnsi="Times New Roman"/>
                <w:sz w:val="21"/>
              </w:rPr>
              <w:t>9</w:t>
            </w:r>
          </w:p>
        </w:tc>
        <w:tc>
          <w:tcPr>
            <w:tcW w:w="276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w:t>
            </w:r>
            <w:r>
              <w:rPr>
                <w:rFonts w:ascii="Times New Roman" w:hAnsi="Times New Roman"/>
                <w:sz w:val="21"/>
              </w:rPr>
              <w:t>00</w:t>
            </w:r>
          </w:p>
        </w:tc>
      </w:tr>
    </w:tbl>
    <w:p>
      <w:pPr>
        <w:ind w:firstLine="480"/>
        <w:rPr>
          <w:rFonts w:ascii="Times New Roman" w:hAnsi="Times New Roman"/>
        </w:rPr>
      </w:pPr>
      <w:r>
        <w:rPr>
          <w:rFonts w:hint="eastAsia" w:ascii="Times New Roman" w:hAnsi="Times New Roman"/>
        </w:rPr>
        <w:t>由上表可知，试验区土壤侵蚀类型主要分为微度侵蚀、轻度侵蚀、中度侵蚀、强烈侵蚀和极强烈侵蚀，试验区范围土壤侵蚀以中度侵蚀和强烈侵蚀为主，占地分别为</w:t>
      </w:r>
      <w:r>
        <w:rPr>
          <w:rFonts w:ascii="Times New Roman" w:hAnsi="Times New Roman"/>
        </w:rPr>
        <w:t>1011.</w:t>
      </w:r>
      <w:r>
        <w:rPr>
          <w:rFonts w:hint="eastAsia" w:ascii="Times New Roman" w:hAnsi="Times New Roman"/>
        </w:rPr>
        <w:t>7</w:t>
      </w:r>
      <w:r>
        <w:rPr>
          <w:rFonts w:ascii="Times New Roman" w:hAnsi="Times New Roman"/>
        </w:rPr>
        <w:t>6</w:t>
      </w:r>
      <w:r>
        <w:rPr>
          <w:rFonts w:hint="eastAsia" w:ascii="Times New Roman" w:hAnsi="Times New Roman"/>
        </w:rPr>
        <w:t>和7</w:t>
      </w:r>
      <w:r>
        <w:rPr>
          <w:rFonts w:ascii="Times New Roman" w:hAnsi="Times New Roman"/>
        </w:rPr>
        <w:t>52.64</w:t>
      </w:r>
      <w:r>
        <w:rPr>
          <w:rFonts w:hint="eastAsia" w:ascii="Times New Roman" w:hAnsi="Times New Roman"/>
        </w:rPr>
        <w:t xml:space="preserve"> h</w:t>
      </w:r>
      <w:r>
        <w:rPr>
          <w:rFonts w:ascii="Times New Roman" w:hAnsi="Times New Roman"/>
        </w:rPr>
        <w:t>m</w:t>
      </w:r>
      <w:r>
        <w:rPr>
          <w:rFonts w:ascii="Times New Roman" w:hAnsi="Times New Roman"/>
          <w:vertAlign w:val="superscript"/>
        </w:rPr>
        <w:t>2</w:t>
      </w:r>
      <w:r>
        <w:rPr>
          <w:rFonts w:hint="eastAsia" w:ascii="Times New Roman" w:hAnsi="Times New Roman"/>
        </w:rPr>
        <w:t>，占比4</w:t>
      </w:r>
      <w:r>
        <w:rPr>
          <w:rFonts w:ascii="Times New Roman" w:hAnsi="Times New Roman"/>
        </w:rPr>
        <w:t>9.25</w:t>
      </w:r>
      <w:r>
        <w:rPr>
          <w:rFonts w:hint="eastAsia" w:ascii="Times New Roman" w:hAnsi="Times New Roman"/>
        </w:rPr>
        <w:t>%和3</w:t>
      </w:r>
      <w:r>
        <w:rPr>
          <w:rFonts w:ascii="Times New Roman" w:hAnsi="Times New Roman"/>
        </w:rPr>
        <w:t>6.63</w:t>
      </w:r>
      <w:r>
        <w:rPr>
          <w:rFonts w:hint="eastAsia" w:ascii="Times New Roman" w:hAnsi="Times New Roman"/>
        </w:rPr>
        <w:t>%。</w:t>
      </w:r>
    </w:p>
    <w:p>
      <w:pPr>
        <w:ind w:firstLine="480"/>
        <w:rPr>
          <w:rFonts w:ascii="Times New Roman" w:hAnsi="Times New Roman"/>
        </w:rPr>
      </w:pPr>
    </w:p>
    <w:p>
      <w:pPr>
        <w:ind w:firstLine="0" w:firstLineChars="0"/>
        <w:jc w:val="center"/>
        <w:rPr>
          <w:rFonts w:ascii="Times New Roman" w:hAnsi="Times New Roman"/>
        </w:rPr>
      </w:pPr>
    </w:p>
    <w:p>
      <w:pPr>
        <w:ind w:firstLine="0" w:firstLineChars="0"/>
        <w:jc w:val="center"/>
        <w:rPr>
          <w:rFonts w:ascii="Times New Roman" w:hAnsi="Times New Roman"/>
          <w:b/>
          <w:sz w:val="21"/>
        </w:rPr>
      </w:pPr>
      <w:r>
        <w:rPr>
          <w:rFonts w:ascii="Times New Roman" w:hAnsi="Times New Roman"/>
        </w:rPr>
        <w:drawing>
          <wp:inline distT="0" distB="0" distL="0" distR="0">
            <wp:extent cx="5276850" cy="74676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76850" cy="7467600"/>
                    </a:xfrm>
                    <a:prstGeom prst="rect">
                      <a:avLst/>
                    </a:prstGeom>
                    <a:noFill/>
                    <a:ln>
                      <a:noFill/>
                    </a:ln>
                  </pic:spPr>
                </pic:pic>
              </a:graphicData>
            </a:graphic>
          </wp:inline>
        </w:drawing>
      </w:r>
      <w:r>
        <w:rPr>
          <w:rFonts w:hint="eastAsia" w:ascii="Times New Roman" w:hAnsi="Times New Roman"/>
          <w:b/>
          <w:sz w:val="21"/>
        </w:rPr>
        <w:t>图4</w:t>
      </w:r>
      <w:r>
        <w:rPr>
          <w:rFonts w:ascii="Times New Roman" w:hAnsi="Times New Roman"/>
          <w:b/>
          <w:sz w:val="21"/>
        </w:rPr>
        <w:t xml:space="preserve">.2-4 </w:t>
      </w:r>
      <w:r>
        <w:rPr>
          <w:rFonts w:hint="eastAsia" w:ascii="Times New Roman" w:hAnsi="Times New Roman"/>
          <w:b/>
          <w:sz w:val="21"/>
        </w:rPr>
        <w:t>土地利用现状图</w:t>
      </w:r>
    </w:p>
    <w:p>
      <w:pPr>
        <w:ind w:firstLine="199" w:firstLineChars="83"/>
        <w:jc w:val="center"/>
        <w:rPr>
          <w:rFonts w:ascii="Times New Roman" w:hAnsi="Times New Roman"/>
        </w:rPr>
      </w:pPr>
    </w:p>
    <w:p>
      <w:pPr>
        <w:ind w:firstLine="199" w:firstLineChars="83"/>
        <w:jc w:val="center"/>
        <w:rPr>
          <w:rFonts w:ascii="Times New Roman" w:hAnsi="Times New Roman"/>
          <w:b/>
          <w:sz w:val="21"/>
        </w:rPr>
      </w:pPr>
      <w:r>
        <w:rPr>
          <w:rFonts w:ascii="Times New Roman" w:hAnsi="Times New Roman"/>
        </w:rPr>
        <w:drawing>
          <wp:inline distT="0" distB="0" distL="0" distR="0">
            <wp:extent cx="5276850" cy="74295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6850" cy="7429500"/>
                    </a:xfrm>
                    <a:prstGeom prst="rect">
                      <a:avLst/>
                    </a:prstGeom>
                    <a:noFill/>
                    <a:ln>
                      <a:noFill/>
                    </a:ln>
                  </pic:spPr>
                </pic:pic>
              </a:graphicData>
            </a:graphic>
          </wp:inline>
        </w:drawing>
      </w:r>
      <w:r>
        <w:rPr>
          <w:rFonts w:hint="eastAsia" w:ascii="Times New Roman" w:hAnsi="Times New Roman"/>
          <w:b/>
          <w:sz w:val="21"/>
        </w:rPr>
        <w:t>图4</w:t>
      </w:r>
      <w:r>
        <w:rPr>
          <w:rFonts w:ascii="Times New Roman" w:hAnsi="Times New Roman"/>
          <w:b/>
          <w:sz w:val="21"/>
        </w:rPr>
        <w:t xml:space="preserve">.2-5 </w:t>
      </w:r>
      <w:r>
        <w:rPr>
          <w:rFonts w:hint="eastAsia" w:ascii="Times New Roman" w:hAnsi="Times New Roman"/>
          <w:b/>
          <w:sz w:val="21"/>
        </w:rPr>
        <w:t>植被分布现状图</w:t>
      </w:r>
    </w:p>
    <w:p>
      <w:pPr>
        <w:ind w:firstLine="0" w:firstLineChars="0"/>
        <w:jc w:val="center"/>
        <w:rPr>
          <w:rFonts w:ascii="Times New Roman" w:hAnsi="Times New Roman"/>
        </w:rPr>
      </w:pPr>
      <w:r>
        <w:rPr>
          <w:rFonts w:ascii="Times New Roman" w:hAnsi="Times New Roman"/>
        </w:rPr>
        <w:drawing>
          <wp:inline distT="0" distB="0" distL="0" distR="0">
            <wp:extent cx="5276850" cy="7467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6850" cy="7467600"/>
                    </a:xfrm>
                    <a:prstGeom prst="rect">
                      <a:avLst/>
                    </a:prstGeom>
                    <a:noFill/>
                    <a:ln>
                      <a:noFill/>
                    </a:ln>
                  </pic:spPr>
                </pic:pic>
              </a:graphicData>
            </a:graphic>
          </wp:inline>
        </w:drawing>
      </w:r>
    </w:p>
    <w:p>
      <w:pPr>
        <w:widowControl/>
        <w:snapToGrid w:val="0"/>
        <w:spacing w:line="480" w:lineRule="exact"/>
        <w:ind w:firstLine="422"/>
        <w:jc w:val="center"/>
        <w:rPr>
          <w:rFonts w:ascii="Times New Roman" w:hAnsi="Times New Roman"/>
          <w:b/>
          <w:sz w:val="21"/>
        </w:rPr>
      </w:pPr>
      <w:r>
        <w:rPr>
          <w:rFonts w:hint="eastAsia" w:ascii="Times New Roman" w:hAnsi="Times New Roman"/>
          <w:b/>
          <w:sz w:val="21"/>
        </w:rPr>
        <w:t>图</w:t>
      </w:r>
      <w:r>
        <w:rPr>
          <w:rFonts w:ascii="Times New Roman" w:hAnsi="Times New Roman"/>
          <w:b/>
          <w:sz w:val="21"/>
        </w:rPr>
        <w:t xml:space="preserve">4.2-6 </w:t>
      </w:r>
      <w:r>
        <w:rPr>
          <w:rFonts w:hint="eastAsia" w:ascii="Times New Roman" w:hAnsi="Times New Roman"/>
          <w:b/>
          <w:sz w:val="21"/>
        </w:rPr>
        <w:t>土壤侵蚀现状图</w:t>
      </w:r>
    </w:p>
    <w:p>
      <w:pPr>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br w:type="page"/>
      </w:r>
    </w:p>
    <w:p>
      <w:pPr>
        <w:spacing w:before="156" w:beforeLines="50" w:after="156" w:afterLines="50"/>
        <w:ind w:firstLine="0" w:firstLineChars="0"/>
        <w:outlineLvl w:val="0"/>
        <w:rPr>
          <w:rFonts w:ascii="Times New Roman" w:hAnsi="Times New Roman"/>
          <w:b/>
          <w:sz w:val="32"/>
          <w:szCs w:val="32"/>
        </w:rPr>
      </w:pPr>
      <w:bookmarkStart w:id="76" w:name="_Toc524624607"/>
      <w:r>
        <w:rPr>
          <w:rFonts w:hint="eastAsia" w:ascii="Times New Roman" w:hAnsi="Times New Roman"/>
          <w:b/>
          <w:sz w:val="32"/>
          <w:szCs w:val="32"/>
        </w:rPr>
        <w:t>5 环境影响预测与评价</w:t>
      </w:r>
      <w:bookmarkEnd w:id="76"/>
    </w:p>
    <w:p>
      <w:pPr>
        <w:spacing w:before="156" w:beforeLines="50" w:after="156" w:afterLines="50"/>
        <w:ind w:firstLine="0" w:firstLineChars="0"/>
        <w:outlineLvl w:val="1"/>
        <w:rPr>
          <w:rFonts w:ascii="Times New Roman" w:hAnsi="Times New Roman"/>
          <w:b/>
          <w:sz w:val="30"/>
          <w:szCs w:val="30"/>
        </w:rPr>
      </w:pPr>
      <w:bookmarkStart w:id="77" w:name="_Toc524624608"/>
      <w:r>
        <w:rPr>
          <w:rFonts w:hint="eastAsia" w:ascii="Times New Roman" w:hAnsi="Times New Roman"/>
          <w:b/>
          <w:sz w:val="30"/>
          <w:szCs w:val="30"/>
        </w:rPr>
        <w:t>5.1 建设期环境影响分析</w:t>
      </w:r>
      <w:bookmarkEnd w:id="77"/>
    </w:p>
    <w:p>
      <w:pPr>
        <w:ind w:firstLine="0" w:firstLineChars="0"/>
        <w:outlineLvl w:val="2"/>
        <w:rPr>
          <w:rFonts w:ascii="Times New Roman" w:hAnsi="Times New Roman"/>
          <w:b/>
          <w:sz w:val="28"/>
          <w:szCs w:val="28"/>
        </w:rPr>
      </w:pPr>
      <w:bookmarkStart w:id="78" w:name="_Toc524624609"/>
      <w:r>
        <w:rPr>
          <w:rFonts w:hint="eastAsia" w:ascii="Times New Roman" w:hAnsi="Times New Roman"/>
          <w:b/>
          <w:sz w:val="28"/>
          <w:szCs w:val="28"/>
        </w:rPr>
        <w:t>5.1.1 建设期大气环境影响分析</w:t>
      </w:r>
      <w:bookmarkEnd w:id="78"/>
    </w:p>
    <w:p>
      <w:pPr>
        <w:ind w:firstLine="480"/>
        <w:rPr>
          <w:rFonts w:ascii="Times New Roman" w:hAnsi="Times New Roman"/>
          <w:szCs w:val="24"/>
        </w:rPr>
      </w:pPr>
      <w:r>
        <w:rPr>
          <w:rFonts w:ascii="Times New Roman" w:hAnsi="Times New Roman"/>
          <w:szCs w:val="24"/>
        </w:rPr>
        <w:t>本项目</w:t>
      </w:r>
      <w:r>
        <w:rPr>
          <w:rFonts w:hint="eastAsia" w:ascii="Times New Roman" w:hAnsi="Times New Roman"/>
          <w:szCs w:val="24"/>
        </w:rPr>
        <w:t>建设</w:t>
      </w:r>
      <w:r>
        <w:rPr>
          <w:rFonts w:ascii="Times New Roman" w:hAnsi="Times New Roman"/>
          <w:szCs w:val="24"/>
        </w:rPr>
        <w:t>期产生的大气污染物主要有：钻井时柴油机排放的烟气</w:t>
      </w:r>
      <w:r>
        <w:rPr>
          <w:rFonts w:hint="eastAsia" w:ascii="Times New Roman" w:hAnsi="Times New Roman"/>
          <w:szCs w:val="24"/>
        </w:rPr>
        <w:t>和</w:t>
      </w:r>
      <w:r>
        <w:rPr>
          <w:rFonts w:ascii="Times New Roman" w:hAnsi="Times New Roman"/>
          <w:szCs w:val="24"/>
        </w:rPr>
        <w:t>施工扬尘等，废气中主要污染物为非甲烷总烃、NO</w:t>
      </w:r>
      <w:r>
        <w:rPr>
          <w:rFonts w:ascii="Times New Roman" w:hAnsi="Times New Roman"/>
          <w:szCs w:val="24"/>
          <w:vertAlign w:val="subscript"/>
        </w:rPr>
        <w:t>2</w:t>
      </w:r>
      <w:r>
        <w:rPr>
          <w:rFonts w:ascii="Times New Roman" w:hAnsi="Times New Roman"/>
          <w:szCs w:val="24"/>
        </w:rPr>
        <w:t>、SO</w:t>
      </w:r>
      <w:r>
        <w:rPr>
          <w:rFonts w:ascii="Times New Roman" w:hAnsi="Times New Roman"/>
          <w:szCs w:val="24"/>
          <w:vertAlign w:val="subscript"/>
        </w:rPr>
        <w:t>2</w:t>
      </w:r>
      <w:r>
        <w:rPr>
          <w:rFonts w:ascii="Times New Roman" w:hAnsi="Times New Roman"/>
          <w:szCs w:val="24"/>
        </w:rPr>
        <w:t>、TSP等</w:t>
      </w:r>
    </w:p>
    <w:p>
      <w:pPr>
        <w:ind w:firstLine="480"/>
        <w:rPr>
          <w:rFonts w:ascii="Times New Roman" w:hAnsi="Times New Roman"/>
          <w:szCs w:val="24"/>
        </w:rPr>
      </w:pPr>
      <w:r>
        <w:rPr>
          <w:rFonts w:hint="eastAsia" w:ascii="Times New Roman" w:hAnsi="Times New Roman"/>
          <w:szCs w:val="24"/>
        </w:rPr>
        <w:t>（1）施工扬尘</w:t>
      </w:r>
    </w:p>
    <w:p>
      <w:pPr>
        <w:ind w:firstLine="480"/>
        <w:rPr>
          <w:rFonts w:ascii="Times New Roman" w:hAnsi="Times New Roman"/>
          <w:szCs w:val="24"/>
        </w:rPr>
      </w:pPr>
      <w:r>
        <w:rPr>
          <w:rFonts w:hint="eastAsia" w:ascii="Times New Roman" w:hAnsi="Times New Roman"/>
          <w:szCs w:val="24"/>
        </w:rPr>
        <w:t>根据工程分析可见，在不利天气条件下，施工扬尘可在150m范围内超过国家二级标准，对大气环境可造成不利影响；150m范围外，一般不会有大的影响。项目区年平均风速为2.56 m/s，小于含水率0.5%的灰尘的启动风速4.0m/s，因此一般情况下，工程施工过程中土方的挖掘和回填不会形成大的扬尘。但如果堆土风干、春季风速较大的情况下，有可能在一定范围内形成扬尘，对周围空气质量造成不利影响。本项目施工现场附近最近的敏感保护目标为220m处的王家峁村，位于施工扬尘影响范围外，因此，本项目施工扬尘对周边主要敏感目标基本无影响。</w:t>
      </w:r>
    </w:p>
    <w:p>
      <w:pPr>
        <w:ind w:firstLine="480"/>
        <w:rPr>
          <w:rFonts w:ascii="Times New Roman" w:hAnsi="Times New Roman"/>
          <w:szCs w:val="24"/>
        </w:rPr>
      </w:pPr>
      <w:r>
        <w:rPr>
          <w:rFonts w:hint="eastAsia" w:ascii="Times New Roman" w:hAnsi="Times New Roman"/>
          <w:szCs w:val="24"/>
        </w:rPr>
        <w:t>（2）钻井和压裂期废气</w:t>
      </w:r>
    </w:p>
    <w:p>
      <w:pPr>
        <w:ind w:firstLine="480"/>
        <w:rPr>
          <w:rFonts w:ascii="Times New Roman" w:hAnsi="Times New Roman"/>
          <w:szCs w:val="24"/>
        </w:rPr>
      </w:pPr>
      <w:r>
        <w:rPr>
          <w:rFonts w:hint="eastAsia" w:ascii="Times New Roman" w:hAnsi="Times New Roman"/>
          <w:szCs w:val="24"/>
        </w:rPr>
        <w:t>钻井和压裂期间使用的柴油发电机、柴油机和钻机产生的废气中主要污染物为SO</w:t>
      </w:r>
      <w:r>
        <w:rPr>
          <w:rFonts w:hint="eastAsia" w:ascii="Times New Roman" w:hAnsi="Times New Roman"/>
          <w:szCs w:val="24"/>
          <w:vertAlign w:val="subscript"/>
        </w:rPr>
        <w:t>2</w:t>
      </w:r>
      <w:r>
        <w:rPr>
          <w:rFonts w:hint="eastAsia" w:ascii="Times New Roman" w:hAnsi="Times New Roman"/>
          <w:szCs w:val="24"/>
        </w:rPr>
        <w:t>、NO</w:t>
      </w:r>
      <w:r>
        <w:rPr>
          <w:rFonts w:hint="eastAsia" w:ascii="Times New Roman" w:hAnsi="Times New Roman"/>
          <w:szCs w:val="24"/>
          <w:vertAlign w:val="subscript"/>
        </w:rPr>
        <w:t>X</w:t>
      </w:r>
      <w:r>
        <w:rPr>
          <w:rFonts w:hint="eastAsia" w:ascii="Times New Roman" w:hAnsi="Times New Roman"/>
          <w:szCs w:val="24"/>
        </w:rPr>
        <w:t>、烟尘等，对周围大气环境产生一定影响。根据工程分析，整个建设期本项目共排放SO</w:t>
      </w:r>
      <w:r>
        <w:rPr>
          <w:rFonts w:hint="eastAsia" w:ascii="Times New Roman" w:hAnsi="Times New Roman"/>
          <w:szCs w:val="24"/>
          <w:vertAlign w:val="subscript"/>
        </w:rPr>
        <w:t>2</w:t>
      </w:r>
      <w:r>
        <w:rPr>
          <w:rFonts w:hint="eastAsia" w:ascii="Times New Roman" w:hAnsi="Times New Roman"/>
          <w:szCs w:val="24"/>
        </w:rPr>
        <w:t>1.22t、NO</w:t>
      </w:r>
      <w:r>
        <w:rPr>
          <w:rFonts w:hint="eastAsia" w:ascii="Times New Roman" w:hAnsi="Times New Roman"/>
          <w:szCs w:val="24"/>
          <w:vertAlign w:val="subscript"/>
        </w:rPr>
        <w:t>X</w:t>
      </w:r>
      <w:r>
        <w:rPr>
          <w:rFonts w:hint="eastAsia" w:ascii="Times New Roman" w:hAnsi="Times New Roman"/>
          <w:szCs w:val="24"/>
        </w:rPr>
        <w:t>0.86t和烟尘3.35t。</w:t>
      </w:r>
    </w:p>
    <w:p>
      <w:pPr>
        <w:ind w:firstLine="480"/>
        <w:rPr>
          <w:rFonts w:ascii="Times New Roman" w:hAnsi="Times New Roman"/>
          <w:szCs w:val="24"/>
        </w:rPr>
      </w:pPr>
      <w:r>
        <w:rPr>
          <w:rFonts w:hint="eastAsia" w:ascii="Times New Roman" w:hAnsi="Times New Roman"/>
          <w:szCs w:val="24"/>
        </w:rPr>
        <w:t>钻井和压裂期是相对短暂的，废气污染属于间断性局部污染。井场一般位于农户稀少的山区，周边地势开阔，扩散条件良好，经自然扩散后能达标排放。从影响时间、范围和程度来看，钻井和压裂期产生的废气对周围大气环境的影响是有限的。随着钻井和压裂工作的结束（平均每口井完钻需28天），柴油机排放的废气对环境空气的影响会逐渐消失。</w:t>
      </w:r>
    </w:p>
    <w:p>
      <w:pPr>
        <w:ind w:firstLine="0" w:firstLineChars="0"/>
        <w:outlineLvl w:val="2"/>
        <w:rPr>
          <w:rFonts w:ascii="Times New Roman" w:hAnsi="Times New Roman"/>
          <w:b/>
          <w:sz w:val="28"/>
          <w:szCs w:val="28"/>
        </w:rPr>
      </w:pPr>
      <w:bookmarkStart w:id="79" w:name="_Toc524624610"/>
      <w:r>
        <w:rPr>
          <w:rFonts w:hint="eastAsia" w:ascii="Times New Roman" w:hAnsi="Times New Roman"/>
          <w:b/>
          <w:sz w:val="28"/>
          <w:szCs w:val="28"/>
        </w:rPr>
        <w:t>5.1.2 建设期地表水环境影响分析</w:t>
      </w:r>
      <w:bookmarkEnd w:id="79"/>
    </w:p>
    <w:p>
      <w:pPr>
        <w:ind w:firstLine="480"/>
        <w:rPr>
          <w:rFonts w:ascii="Times New Roman" w:hAnsi="Times New Roman"/>
          <w:szCs w:val="24"/>
        </w:rPr>
      </w:pPr>
      <w:r>
        <w:rPr>
          <w:rFonts w:hint="eastAsia" w:ascii="Times New Roman" w:hAnsi="Times New Roman"/>
          <w:szCs w:val="24"/>
        </w:rPr>
        <w:t>（1）钻井期生产废水</w:t>
      </w:r>
    </w:p>
    <w:p>
      <w:pPr>
        <w:ind w:firstLine="480"/>
        <w:rPr>
          <w:rFonts w:ascii="Times New Roman" w:hAnsi="Times New Roman"/>
          <w:szCs w:val="24"/>
        </w:rPr>
      </w:pPr>
      <w:r>
        <w:rPr>
          <w:rFonts w:hint="eastAsia" w:ascii="Times New Roman" w:hAnsi="Times New Roman"/>
          <w:szCs w:val="24"/>
        </w:rPr>
        <w:t>钻井期生产废水产生量为1066m</w:t>
      </w:r>
      <w:r>
        <w:rPr>
          <w:rFonts w:hint="eastAsia" w:ascii="Times New Roman" w:hAnsi="Times New Roman"/>
          <w:szCs w:val="24"/>
          <w:vertAlign w:val="superscript"/>
        </w:rPr>
        <w:t>3</w:t>
      </w:r>
      <w:r>
        <w:rPr>
          <w:rFonts w:hint="eastAsia" w:ascii="Times New Roman" w:hAnsi="Times New Roman"/>
          <w:szCs w:val="24"/>
        </w:rPr>
        <w:t>，井场泥浆池容积为1100m</w:t>
      </w:r>
      <w:r>
        <w:rPr>
          <w:rFonts w:hint="eastAsia" w:ascii="Times New Roman" w:hAnsi="Times New Roman"/>
          <w:szCs w:val="24"/>
          <w:vertAlign w:val="superscript"/>
        </w:rPr>
        <w:t>3</w:t>
      </w:r>
      <w:r>
        <w:rPr>
          <w:rFonts w:hint="eastAsia" w:ascii="Times New Roman" w:hAnsi="Times New Roman"/>
          <w:szCs w:val="24"/>
        </w:rPr>
        <w:t>，钻井期生产废水可全部排入泥浆池中，泥浆池底部及四周均进行防渗处理，待完井后，与废弃泥浆和岩屑一起固化处理后填埋。钻井期生产废水不外排，因此不会对周边地表水体产生影响。</w:t>
      </w:r>
    </w:p>
    <w:p>
      <w:pPr>
        <w:ind w:firstLine="480"/>
        <w:rPr>
          <w:rFonts w:ascii="Times New Roman" w:hAnsi="Times New Roman"/>
          <w:szCs w:val="24"/>
        </w:rPr>
      </w:pPr>
      <w:r>
        <w:rPr>
          <w:rFonts w:hint="eastAsia" w:ascii="Times New Roman" w:hAnsi="Times New Roman"/>
          <w:szCs w:val="24"/>
        </w:rPr>
        <w:t>（2）压裂期生产废水</w:t>
      </w:r>
    </w:p>
    <w:p>
      <w:pPr>
        <w:ind w:firstLine="480"/>
        <w:rPr>
          <w:rFonts w:ascii="Times New Roman" w:hAnsi="Times New Roman"/>
          <w:szCs w:val="24"/>
        </w:rPr>
      </w:pPr>
      <w:r>
        <w:rPr>
          <w:rFonts w:hint="eastAsia" w:ascii="Times New Roman" w:hAnsi="Times New Roman"/>
          <w:szCs w:val="24"/>
        </w:rPr>
        <w:t>压裂期生产废水全部由储罐进行收集，不外排，因此不会对周边地表水体产生影响。</w:t>
      </w:r>
    </w:p>
    <w:p>
      <w:pPr>
        <w:ind w:firstLine="480"/>
        <w:rPr>
          <w:rFonts w:ascii="Times New Roman" w:hAnsi="Times New Roman"/>
          <w:szCs w:val="24"/>
        </w:rPr>
      </w:pPr>
      <w:r>
        <w:rPr>
          <w:rFonts w:hint="eastAsia" w:ascii="Times New Roman" w:hAnsi="Times New Roman"/>
          <w:szCs w:val="24"/>
        </w:rPr>
        <w:t>（3）职工生活废水</w:t>
      </w:r>
    </w:p>
    <w:p>
      <w:pPr>
        <w:ind w:firstLine="480"/>
        <w:rPr>
          <w:rFonts w:ascii="Times New Roman" w:hAnsi="Times New Roman"/>
          <w:szCs w:val="24"/>
        </w:rPr>
      </w:pPr>
      <w:r>
        <w:rPr>
          <w:rFonts w:hint="eastAsia" w:ascii="Times New Roman" w:hAnsi="Times New Roman"/>
          <w:szCs w:val="24"/>
        </w:rPr>
        <w:t>餐饮污水经隔油池处理后与盥洗废水排入生活污水沉淀池（容积6m</w:t>
      </w:r>
      <w:r>
        <w:rPr>
          <w:rFonts w:hint="eastAsia" w:ascii="Times New Roman" w:hAnsi="Times New Roman"/>
          <w:szCs w:val="24"/>
          <w:vertAlign w:val="superscript"/>
        </w:rPr>
        <w:t>3</w:t>
      </w:r>
      <w:r>
        <w:rPr>
          <w:rFonts w:hint="eastAsia" w:ascii="Times New Roman" w:hAnsi="Times New Roman"/>
          <w:szCs w:val="24"/>
        </w:rPr>
        <w:t>），沉淀后回用于周边场地洒水抑尘和绿化用水。井场建设旱厕，收集后供农灌施肥。职工生活废水不外排，因此不会对周边地表水体产生影响。</w:t>
      </w:r>
    </w:p>
    <w:p>
      <w:pPr>
        <w:ind w:firstLine="0" w:firstLineChars="0"/>
        <w:outlineLvl w:val="2"/>
        <w:rPr>
          <w:rFonts w:ascii="Times New Roman" w:hAnsi="Times New Roman"/>
          <w:b/>
          <w:sz w:val="28"/>
          <w:szCs w:val="28"/>
        </w:rPr>
      </w:pPr>
      <w:bookmarkStart w:id="80" w:name="_Toc524624611"/>
      <w:r>
        <w:rPr>
          <w:rFonts w:hint="eastAsia" w:ascii="Times New Roman" w:hAnsi="Times New Roman"/>
          <w:b/>
          <w:sz w:val="28"/>
          <w:szCs w:val="28"/>
        </w:rPr>
        <w:t>5.1.3 地下水环境影响分析</w:t>
      </w:r>
      <w:bookmarkEnd w:id="80"/>
    </w:p>
    <w:p>
      <w:pPr>
        <w:ind w:firstLine="0" w:firstLineChars="0"/>
        <w:outlineLvl w:val="3"/>
        <w:rPr>
          <w:rFonts w:ascii="Times New Roman" w:hAnsi="Times New Roman"/>
          <w:b/>
          <w:szCs w:val="24"/>
        </w:rPr>
      </w:pPr>
      <w:r>
        <w:rPr>
          <w:rFonts w:hint="eastAsia" w:ascii="Times New Roman" w:hAnsi="Times New Roman"/>
          <w:b/>
          <w:szCs w:val="24"/>
        </w:rPr>
        <w:t>5.1.3.1 预测对象及污染源强</w:t>
      </w:r>
    </w:p>
    <w:p>
      <w:pPr>
        <w:ind w:firstLine="480"/>
        <w:rPr>
          <w:rFonts w:ascii="Times New Roman" w:hAnsi="Times New Roman"/>
          <w:szCs w:val="24"/>
        </w:rPr>
      </w:pPr>
      <w:r>
        <w:rPr>
          <w:rFonts w:hint="eastAsia" w:ascii="Times New Roman" w:hAnsi="Times New Roman"/>
          <w:szCs w:val="24"/>
        </w:rPr>
        <w:t>（1）预测对象</w:t>
      </w:r>
    </w:p>
    <w:p>
      <w:pPr>
        <w:ind w:firstLine="480"/>
        <w:rPr>
          <w:rFonts w:ascii="Times New Roman" w:hAnsi="Times New Roman"/>
          <w:szCs w:val="24"/>
        </w:rPr>
      </w:pPr>
      <w:r>
        <w:rPr>
          <w:rFonts w:hint="eastAsia" w:ascii="Times New Roman" w:hAnsi="Times New Roman"/>
          <w:szCs w:val="24"/>
        </w:rPr>
        <w:t>临兴先导区各建设项目均位于赵家坪乡镇水源地保护区的补给径流区，通过前述的分级判定及工程分析，确定地下水模拟预测对象为：</w:t>
      </w:r>
    </w:p>
    <w:p>
      <w:pPr>
        <w:ind w:firstLine="480"/>
        <w:rPr>
          <w:rFonts w:ascii="Times New Roman" w:hAnsi="Times New Roman"/>
          <w:szCs w:val="24"/>
        </w:rPr>
      </w:pPr>
      <w:r>
        <w:rPr>
          <w:rFonts w:hint="eastAsia" w:ascii="Times New Roman" w:hAnsi="Times New Roman"/>
          <w:szCs w:val="24"/>
        </w:rPr>
        <w:t>①建设期各井场泥浆池中的钻井废水，非连续恒定排放点源；</w:t>
      </w:r>
    </w:p>
    <w:p>
      <w:pPr>
        <w:ind w:firstLine="480"/>
        <w:rPr>
          <w:rFonts w:ascii="Times New Roman" w:hAnsi="Times New Roman"/>
          <w:szCs w:val="24"/>
        </w:rPr>
      </w:pPr>
      <w:r>
        <w:rPr>
          <w:rFonts w:hint="eastAsia" w:ascii="Times New Roman" w:hAnsi="Times New Roman"/>
          <w:szCs w:val="24"/>
        </w:rPr>
        <w:t>②建设期各井场压裂液储罐中的压裂液返排液，非连续恒定排放点源；</w:t>
      </w:r>
    </w:p>
    <w:p>
      <w:pPr>
        <w:ind w:firstLine="480"/>
        <w:rPr>
          <w:rFonts w:ascii="Times New Roman" w:hAnsi="Times New Roman"/>
          <w:szCs w:val="24"/>
        </w:rPr>
      </w:pPr>
      <w:r>
        <w:rPr>
          <w:rFonts w:hint="eastAsia" w:ascii="Times New Roman" w:hAnsi="Times New Roman"/>
          <w:szCs w:val="24"/>
        </w:rPr>
        <w:t>（2）污染源强的确定</w:t>
      </w:r>
    </w:p>
    <w:p>
      <w:pPr>
        <w:ind w:firstLine="480"/>
        <w:rPr>
          <w:rFonts w:ascii="Times New Roman" w:hAnsi="Times New Roman"/>
          <w:szCs w:val="24"/>
        </w:rPr>
      </w:pPr>
      <w:r>
        <w:rPr>
          <w:rFonts w:hint="eastAsia" w:ascii="Times New Roman" w:hAnsi="Times New Roman"/>
          <w:szCs w:val="24"/>
        </w:rPr>
        <w:t xml:space="preserve">①建设期各井场泥浆池等钻井废水  </w:t>
      </w:r>
    </w:p>
    <w:p>
      <w:pPr>
        <w:ind w:firstLine="480"/>
        <w:rPr>
          <w:rFonts w:ascii="Times New Roman" w:hAnsi="Times New Roman"/>
          <w:szCs w:val="24"/>
        </w:rPr>
      </w:pPr>
      <w:r>
        <w:rPr>
          <w:rFonts w:hint="eastAsia" w:ascii="Times New Roman" w:hAnsi="Times New Roman"/>
          <w:szCs w:val="24"/>
        </w:rPr>
        <w:t>各井场建设期泥浆池特征污染因子为石油类，浓度见表5.1-1，模拟区石油类本底值浓度为检出限值0.01mg/L。</w:t>
      </w:r>
    </w:p>
    <w:p>
      <w:pPr>
        <w:ind w:firstLine="480"/>
        <w:rPr>
          <w:rFonts w:ascii="Times New Roman" w:hAnsi="Times New Roman"/>
          <w:szCs w:val="24"/>
        </w:rPr>
      </w:pPr>
      <w:r>
        <w:rPr>
          <w:rFonts w:hint="eastAsia" w:ascii="Times New Roman" w:hAnsi="Times New Roman"/>
          <w:szCs w:val="24"/>
        </w:rPr>
        <w:t>由于各井场钻井周期不同，模拟的事故状态下废污水下渗的时间也不同，考虑到废水蒸发需要一定的时间，故在各井场钻井周期的基础上，增加100天的时间为废水下渗时间。综合以上各因素确定钻井废水污染源强统计表见表5.1-1。</w:t>
      </w:r>
    </w:p>
    <w:p>
      <w:pPr>
        <w:pStyle w:val="40"/>
        <w:spacing w:line="500" w:lineRule="exact"/>
        <w:ind w:left="397" w:firstLine="200" w:firstLineChars="0"/>
        <w:jc w:val="center"/>
        <w:rPr>
          <w:b/>
          <w:sz w:val="21"/>
          <w:szCs w:val="21"/>
        </w:rPr>
      </w:pPr>
      <w:r>
        <w:rPr>
          <w:rFonts w:hint="eastAsia"/>
          <w:b/>
          <w:sz w:val="21"/>
          <w:szCs w:val="21"/>
        </w:rPr>
        <w:t>表5.1-1  各井场泥浆池等钻井废水污染源强统计表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1419"/>
        <w:gridCol w:w="1275"/>
        <w:gridCol w:w="1275"/>
        <w:gridCol w:w="1277"/>
        <w:gridCol w:w="1275"/>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预测场地</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废水产生量</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（kg/d）</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下渗时段</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预测因子</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本底值浓度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标准浓度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LX-101</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1.52</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396</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LX-102</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1.52</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270</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LX-103</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1.91</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207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LX-104</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1.81</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305</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LX-105</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1.37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312</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LX-106</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1.61</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144</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LX-4</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1.54</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141</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石油类</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0.01</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0.05</w:t>
            </w:r>
          </w:p>
        </w:tc>
      </w:tr>
    </w:tbl>
    <w:p>
      <w:pPr>
        <w:ind w:firstLine="480"/>
        <w:rPr>
          <w:rFonts w:ascii="Times New Roman" w:hAnsi="Times New Roman"/>
          <w:szCs w:val="24"/>
        </w:rPr>
      </w:pPr>
      <w:r>
        <w:rPr>
          <w:rFonts w:hint="eastAsia" w:ascii="Times New Roman" w:hAnsi="Times New Roman"/>
          <w:szCs w:val="24"/>
        </w:rPr>
        <w:t>②各井场建设期压裂液储罐中压裂液返排液特征污染因子为氯化物，各井场浓度不一；模拟区氯化物本底值浓度选择各监测点现状平均值88mg/L。考虑到储罐破裂污水渗漏到采取措施紧急补救，按7天时间考虑，那么据此可以确定各井场压裂液返排液的下渗时段。综合各因素，确定压裂液返排液污染源强统计表见表5.1-2。</w:t>
      </w:r>
    </w:p>
    <w:p>
      <w:pPr>
        <w:pStyle w:val="40"/>
        <w:spacing w:line="500" w:lineRule="exact"/>
        <w:ind w:left="397" w:firstLine="200" w:firstLineChars="0"/>
        <w:jc w:val="center"/>
        <w:rPr>
          <w:b/>
          <w:sz w:val="21"/>
          <w:szCs w:val="21"/>
        </w:rPr>
      </w:pPr>
      <w:r>
        <w:rPr>
          <w:rFonts w:hint="eastAsia"/>
          <w:b/>
          <w:sz w:val="21"/>
          <w:szCs w:val="21"/>
        </w:rPr>
        <w:t>表5.1-2  井场压裂液返排液污染源强统计表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1419"/>
        <w:gridCol w:w="1277"/>
        <w:gridCol w:w="1275"/>
        <w:gridCol w:w="1275"/>
        <w:gridCol w:w="1275"/>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井场</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废水产生量</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（kg/d）</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下渗时段</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预测因子</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本底值浓度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标准浓度</w:t>
            </w:r>
          </w:p>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LX-101</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56.49</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25679</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LX-102</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69.11</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23036</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LX-103</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55.50</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26427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LX-104</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44.20</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23265</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LX-105</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27.83</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19876</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LX-106</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25.52</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15952</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LX-4</w:t>
            </w:r>
          </w:p>
        </w:tc>
        <w:tc>
          <w:tcPr>
            <w:tcW w:w="1419"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28.37</w:t>
            </w:r>
          </w:p>
        </w:tc>
        <w:tc>
          <w:tcPr>
            <w:tcW w:w="127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氯化物</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28368</w:t>
            </w:r>
          </w:p>
        </w:tc>
        <w:tc>
          <w:tcPr>
            <w:tcW w:w="1275"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88</w:t>
            </w:r>
          </w:p>
        </w:tc>
        <w:tc>
          <w:tcPr>
            <w:tcW w:w="1241"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250</w:t>
            </w:r>
          </w:p>
        </w:tc>
      </w:tr>
    </w:tbl>
    <w:p>
      <w:pPr>
        <w:ind w:firstLine="480"/>
        <w:rPr>
          <w:rFonts w:ascii="Times New Roman" w:hAnsi="Times New Roman"/>
          <w:szCs w:val="24"/>
        </w:rPr>
      </w:pPr>
      <w:r>
        <w:rPr>
          <w:rFonts w:hint="eastAsia" w:ascii="Times New Roman" w:hAnsi="Times New Roman"/>
          <w:szCs w:val="24"/>
        </w:rPr>
        <w:t>（3）模拟预测结果</w:t>
      </w:r>
    </w:p>
    <w:p>
      <w:pPr>
        <w:ind w:firstLine="480"/>
        <w:rPr>
          <w:rFonts w:ascii="Times New Roman" w:hAnsi="Times New Roman"/>
          <w:szCs w:val="24"/>
        </w:rPr>
      </w:pPr>
      <w:r>
        <w:rPr>
          <w:rFonts w:hint="eastAsia" w:ascii="Times New Roman" w:hAnsi="Times New Roman"/>
          <w:szCs w:val="24"/>
        </w:rPr>
        <w:t>①建设期各井场泥浆池等底板破裂地下水污染预测</w:t>
      </w:r>
    </w:p>
    <w:p>
      <w:pPr>
        <w:ind w:firstLine="480"/>
        <w:rPr>
          <w:rFonts w:ascii="Times New Roman" w:hAnsi="Times New Roman"/>
          <w:szCs w:val="24"/>
        </w:rPr>
      </w:pPr>
      <w:r>
        <w:rPr>
          <w:rFonts w:hint="eastAsia" w:ascii="Times New Roman" w:hAnsi="Times New Roman"/>
          <w:szCs w:val="24"/>
        </w:rPr>
        <w:t>建设期泥浆池等钻井废水的主要污染物为悬浮物、COD、石油类，特征污染物为石油类。倘若泥浆池等底部出现裂隙，会使储存在其中的废水下渗，从而污染潜水含水层。本次模拟不考虑包气带阻滞、吸附和过滤等作用，同时不考虑污染物在地下水中的化学反应，</w:t>
      </w:r>
      <w:r>
        <w:rPr>
          <w:rFonts w:ascii="Times New Roman" w:hAnsi="Times New Roman"/>
          <w:szCs w:val="24"/>
        </w:rPr>
        <w:t>纵向弥散系数取经验值10m2/d</w:t>
      </w:r>
      <w:r>
        <w:rPr>
          <w:rFonts w:hint="eastAsia" w:ascii="Times New Roman" w:hAnsi="Times New Roman"/>
          <w:szCs w:val="24"/>
        </w:rPr>
        <w:t>。运</w:t>
      </w:r>
      <w:r>
        <w:rPr>
          <w:rFonts w:ascii="Times New Roman" w:hAnsi="Times New Roman"/>
          <w:szCs w:val="24"/>
        </w:rPr>
        <w:t>用</w:t>
      </w:r>
      <w:r>
        <w:rPr>
          <w:rFonts w:hint="eastAsia" w:ascii="Times New Roman" w:hAnsi="Times New Roman"/>
          <w:szCs w:val="24"/>
        </w:rPr>
        <w:t xml:space="preserve">Visual </w:t>
      </w:r>
      <w:r>
        <w:rPr>
          <w:rFonts w:ascii="Times New Roman" w:hAnsi="Times New Roman"/>
          <w:szCs w:val="24"/>
        </w:rPr>
        <w:t>Modflow</w:t>
      </w:r>
      <w:r>
        <w:rPr>
          <w:rFonts w:hint="eastAsia" w:ascii="Times New Roman" w:hAnsi="Times New Roman"/>
          <w:szCs w:val="24"/>
        </w:rPr>
        <w:t>中MT3DMS程序</w:t>
      </w:r>
      <w:r>
        <w:rPr>
          <w:rFonts w:ascii="Times New Roman" w:hAnsi="Times New Roman"/>
          <w:szCs w:val="24"/>
        </w:rPr>
        <w:t>预测</w:t>
      </w:r>
      <w:r>
        <w:rPr>
          <w:rFonts w:hint="eastAsia" w:ascii="Times New Roman" w:hAnsi="Times New Roman"/>
          <w:szCs w:val="24"/>
        </w:rPr>
        <w:t>污染物</w:t>
      </w:r>
      <w:r>
        <w:rPr>
          <w:rFonts w:ascii="Times New Roman" w:hAnsi="Times New Roman"/>
          <w:szCs w:val="24"/>
        </w:rPr>
        <w:t>进入目标含水层后，1</w:t>
      </w:r>
      <w:r>
        <w:rPr>
          <w:rFonts w:hint="eastAsia" w:ascii="Times New Roman" w:hAnsi="Times New Roman"/>
          <w:szCs w:val="24"/>
        </w:rPr>
        <w:t>00天</w:t>
      </w:r>
      <w:r>
        <w:rPr>
          <w:rFonts w:ascii="Times New Roman" w:hAnsi="Times New Roman"/>
          <w:szCs w:val="24"/>
        </w:rPr>
        <w:t>、10</w:t>
      </w:r>
      <w:r>
        <w:rPr>
          <w:rFonts w:hint="eastAsia" w:ascii="Times New Roman" w:hAnsi="Times New Roman"/>
          <w:szCs w:val="24"/>
        </w:rPr>
        <w:t>00天</w:t>
      </w:r>
      <w:r>
        <w:rPr>
          <w:rFonts w:ascii="Times New Roman" w:hAnsi="Times New Roman"/>
          <w:szCs w:val="24"/>
        </w:rPr>
        <w:t>、</w:t>
      </w:r>
      <w:r>
        <w:rPr>
          <w:rFonts w:hint="eastAsia" w:ascii="Times New Roman" w:hAnsi="Times New Roman"/>
          <w:szCs w:val="24"/>
        </w:rPr>
        <w:t>5000天以及7300天</w:t>
      </w:r>
      <w:r>
        <w:rPr>
          <w:rFonts w:ascii="Times New Roman" w:hAnsi="Times New Roman"/>
          <w:szCs w:val="24"/>
        </w:rPr>
        <w:t>后</w:t>
      </w:r>
      <w:r>
        <w:rPr>
          <w:rFonts w:hint="eastAsia" w:ascii="Times New Roman" w:hAnsi="Times New Roman"/>
          <w:szCs w:val="24"/>
        </w:rPr>
        <w:t>污染晕</w:t>
      </w:r>
      <w:r>
        <w:rPr>
          <w:rFonts w:ascii="Times New Roman" w:hAnsi="Times New Roman"/>
          <w:szCs w:val="24"/>
        </w:rPr>
        <w:t>的迁移距离及影响面积。</w:t>
      </w:r>
      <w:r>
        <w:rPr>
          <w:rFonts w:hint="eastAsia" w:ascii="Times New Roman" w:hAnsi="Times New Roman"/>
          <w:szCs w:val="24"/>
        </w:rPr>
        <w:t>模拟预测结果见表5.1-3以及图图5.1-1至图5.1-4。</w:t>
      </w:r>
    </w:p>
    <w:p>
      <w:pPr>
        <w:pStyle w:val="40"/>
        <w:spacing w:line="500" w:lineRule="exact"/>
        <w:ind w:left="397" w:firstLine="200" w:firstLineChars="0"/>
        <w:jc w:val="center"/>
        <w:rPr>
          <w:b/>
          <w:sz w:val="21"/>
          <w:szCs w:val="21"/>
        </w:rPr>
      </w:pPr>
      <w:r>
        <w:rPr>
          <w:rFonts w:hint="eastAsia"/>
          <w:b/>
          <w:sz w:val="21"/>
          <w:szCs w:val="21"/>
        </w:rPr>
        <w:t>表5.1-3 井场泥浆池等石油类污染晕扩散统计表</w:t>
      </w:r>
    </w:p>
    <w:tbl>
      <w:tblPr>
        <w:tblStyle w:val="18"/>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5" w:type="dxa"/>
          <w:left w:w="15" w:type="dxa"/>
          <w:bottom w:w="15" w:type="dxa"/>
          <w:right w:w="15" w:type="dxa"/>
        </w:tblCellMar>
      </w:tblPr>
      <w:tblGrid>
        <w:gridCol w:w="588"/>
        <w:gridCol w:w="588"/>
        <w:gridCol w:w="588"/>
        <w:gridCol w:w="587"/>
        <w:gridCol w:w="588"/>
        <w:gridCol w:w="588"/>
        <w:gridCol w:w="588"/>
        <w:gridCol w:w="587"/>
        <w:gridCol w:w="588"/>
        <w:gridCol w:w="587"/>
        <w:gridCol w:w="588"/>
        <w:gridCol w:w="588"/>
        <w:gridCol w:w="588"/>
        <w:gridCol w:w="588"/>
        <w:gridCol w:w="5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Merge w:val="restart"/>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时间（天）</w:t>
            </w:r>
            <w:r>
              <w:rPr>
                <w:sz w:val="21"/>
                <w:szCs w:val="20"/>
              </w:rPr>
              <w:t xml:space="preserve">        </w:t>
            </w:r>
            <w:r>
              <w:rPr>
                <w:rFonts w:ascii="Times New Roman"/>
                <w:sz w:val="21"/>
                <w:szCs w:val="20"/>
              </w:rPr>
              <w:t xml:space="preserve">       </w:t>
            </w:r>
          </w:p>
        </w:tc>
        <w:tc>
          <w:tcPr>
            <w:tcW w:w="4114" w:type="dxa"/>
            <w:gridSpan w:val="7"/>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下游超标</w:t>
            </w:r>
            <w:r>
              <w:rPr>
                <w:sz w:val="21"/>
                <w:szCs w:val="20"/>
              </w:rPr>
              <w:t>运移</w:t>
            </w:r>
            <w:r>
              <w:rPr>
                <w:rFonts w:ascii="Times New Roman"/>
                <w:sz w:val="21"/>
                <w:szCs w:val="20"/>
              </w:rPr>
              <w:t>最大</w:t>
            </w:r>
            <w:r>
              <w:rPr>
                <w:sz w:val="21"/>
                <w:szCs w:val="20"/>
              </w:rPr>
              <w:t>距离（m</w:t>
            </w:r>
            <w:r>
              <w:rPr>
                <w:rFonts w:ascii="Times New Roman"/>
                <w:sz w:val="21"/>
                <w:szCs w:val="20"/>
              </w:rPr>
              <w:t>）</w:t>
            </w:r>
          </w:p>
        </w:tc>
        <w:tc>
          <w:tcPr>
            <w:tcW w:w="4115" w:type="dxa"/>
            <w:gridSpan w:val="7"/>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污染晕面积</w:t>
            </w:r>
            <w:r>
              <w:rPr>
                <w:sz w:val="21"/>
                <w:szCs w:val="20"/>
              </w:rPr>
              <w:t>（hm</w:t>
            </w:r>
            <w:r>
              <w:rPr>
                <w:sz w:val="21"/>
                <w:szCs w:val="20"/>
                <w:vertAlign w:val="superscript"/>
              </w:rPr>
              <w:t>2</w:t>
            </w:r>
            <w:r>
              <w:rPr>
                <w:sz w:val="21"/>
                <w:szCs w:val="20"/>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Merge w:val="continue"/>
            <w:vAlign w:val="center"/>
          </w:tcPr>
          <w:p>
            <w:pPr>
              <w:adjustRightInd w:val="0"/>
              <w:spacing w:line="240" w:lineRule="auto"/>
              <w:ind w:firstLine="0" w:firstLineChars="0"/>
              <w:jc w:val="center"/>
              <w:textAlignment w:val="baseline"/>
              <w:rPr>
                <w:rFonts w:ascii="Times New Roman"/>
                <w:sz w:val="21"/>
                <w:szCs w:val="20"/>
              </w:rPr>
            </w:pP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101</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102</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106</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101</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106</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90" w:hRule="atLeast"/>
        </w:trPr>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100</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72.4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56.8</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64.6</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80.1</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84.5</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51.7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0.649</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0.388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0.446</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0.577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0.397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0.732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0.42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1000</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134.4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63.2</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115.8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143.2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98.7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164.5</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95.4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1.59</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0.432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1.26</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1.57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2.21</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0.93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5000</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335.5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63.8</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287.5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330.7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334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254.3</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148.3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4.77</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0.454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4.38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2.97</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3.68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1.37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7300</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436.5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64.2</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438.9</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395.3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483.2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255.2</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161.5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7.15</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0.478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4.21</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2.8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4.98</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3.54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1.45</w:t>
            </w:r>
          </w:p>
        </w:tc>
      </w:tr>
    </w:tbl>
    <w:p>
      <w:pPr>
        <w:ind w:firstLine="0" w:firstLineChars="0"/>
        <w:jc w:val="center"/>
      </w:pPr>
      <w:r>
        <w:rPr>
          <w:rFonts w:hint="eastAsia"/>
        </w:rPr>
        <w:drawing>
          <wp:inline distT="0" distB="0" distL="0" distR="0">
            <wp:extent cx="4286250" cy="3743325"/>
            <wp:effectExtent l="19050" t="19050" r="0" b="9525"/>
            <wp:docPr id="44" name="图片 44" descr="100天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00天母图"/>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286250" cy="3743325"/>
                    </a:xfrm>
                    <a:prstGeom prst="rect">
                      <a:avLst/>
                    </a:prstGeom>
                    <a:noFill/>
                    <a:ln>
                      <a:solidFill>
                        <a:schemeClr val="tx1"/>
                      </a:solidFill>
                    </a:ln>
                    <a:effectLst/>
                  </pic:spPr>
                </pic:pic>
              </a:graphicData>
            </a:graphic>
          </wp:inline>
        </w:drawing>
      </w:r>
    </w:p>
    <w:p>
      <w:pPr>
        <w:spacing w:line="240" w:lineRule="auto"/>
        <w:ind w:firstLine="0" w:firstLineChars="0"/>
        <w:jc w:val="center"/>
        <w:rPr>
          <w:rFonts w:ascii="Times New Roman" w:hAnsi="Times New Roman"/>
          <w:b/>
          <w:sz w:val="21"/>
        </w:rPr>
      </w:pPr>
      <w:r>
        <w:rPr>
          <w:rFonts w:ascii="Times New Roman" w:hAnsi="Times New Roman"/>
          <w:b/>
          <w:sz w:val="21"/>
        </w:rPr>
        <w:t>图5.1-1 石油类100天迁移预测图（整体）</w:t>
      </w:r>
    </w:p>
    <w:p>
      <w:pPr>
        <w:ind w:firstLine="0" w:firstLineChars="0"/>
        <w:jc w:val="center"/>
      </w:pPr>
      <w:r>
        <w:rPr>
          <w:rFonts w:hint="eastAsia"/>
        </w:rPr>
        <w:drawing>
          <wp:inline distT="0" distB="0" distL="0" distR="0">
            <wp:extent cx="5200650" cy="8496300"/>
            <wp:effectExtent l="19050" t="19050" r="0" b="0"/>
            <wp:docPr id="43" name="图片 43" descr="100天合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00天合并"/>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00650" cy="8496300"/>
                    </a:xfrm>
                    <a:prstGeom prst="rect">
                      <a:avLst/>
                    </a:prstGeom>
                    <a:noFill/>
                    <a:ln>
                      <a:solidFill>
                        <a:schemeClr val="tx1"/>
                      </a:solidFill>
                    </a:ln>
                  </pic:spPr>
                </pic:pic>
              </a:graphicData>
            </a:graphic>
          </wp:inline>
        </w:drawing>
      </w:r>
    </w:p>
    <w:p>
      <w:pPr>
        <w:spacing w:line="240" w:lineRule="auto"/>
        <w:ind w:firstLine="0" w:firstLineChars="0"/>
        <w:jc w:val="center"/>
        <w:rPr>
          <w:rFonts w:ascii="Times New Roman" w:hAnsi="Times New Roman"/>
          <w:b/>
          <w:sz w:val="21"/>
        </w:rPr>
      </w:pPr>
      <w:r>
        <w:rPr>
          <w:rFonts w:hint="eastAsia" w:ascii="Times New Roman" w:hAnsi="Times New Roman"/>
          <w:b/>
          <w:sz w:val="21"/>
        </w:rPr>
        <w:t>图5.1-1  石油类100天迁移预测图（放大）</w:t>
      </w:r>
    </w:p>
    <w:p>
      <w:pPr>
        <w:ind w:firstLine="0" w:firstLineChars="0"/>
        <w:jc w:val="center"/>
        <w:rPr>
          <w:rFonts w:ascii="宋体" w:hAnsi="宋体"/>
          <w:b/>
        </w:rPr>
      </w:pPr>
      <w:r>
        <w:rPr>
          <w:rFonts w:hint="eastAsia" w:ascii="宋体" w:hAnsi="宋体"/>
          <w:b/>
        </w:rPr>
        <w:drawing>
          <wp:inline distT="0" distB="0" distL="0" distR="0">
            <wp:extent cx="4914900" cy="4124325"/>
            <wp:effectExtent l="19050" t="19050" r="0" b="9525"/>
            <wp:docPr id="42" name="图片 42" descr="1000天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000天母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914900" cy="4124325"/>
                    </a:xfrm>
                    <a:prstGeom prst="rect">
                      <a:avLst/>
                    </a:prstGeom>
                    <a:noFill/>
                    <a:ln>
                      <a:solidFill>
                        <a:schemeClr val="tx1"/>
                      </a:solidFill>
                    </a:ln>
                    <a:effectLst/>
                  </pic:spPr>
                </pic:pic>
              </a:graphicData>
            </a:graphic>
          </wp:inline>
        </w:drawing>
      </w:r>
    </w:p>
    <w:p>
      <w:pPr>
        <w:spacing w:line="240" w:lineRule="auto"/>
        <w:ind w:firstLine="0" w:firstLineChars="0"/>
        <w:jc w:val="center"/>
        <w:rPr>
          <w:rFonts w:ascii="Times New Roman" w:hAnsi="Times New Roman"/>
          <w:b/>
          <w:sz w:val="21"/>
        </w:rPr>
      </w:pPr>
      <w:r>
        <w:rPr>
          <w:rFonts w:hint="eastAsia" w:ascii="Times New Roman" w:hAnsi="Times New Roman"/>
          <w:b/>
          <w:sz w:val="21"/>
        </w:rPr>
        <w:t>图5.1-2  石油类1000天迁移预测图</w:t>
      </w:r>
    </w:p>
    <w:p>
      <w:pPr>
        <w:ind w:firstLine="0" w:firstLineChars="0"/>
        <w:jc w:val="center"/>
      </w:pPr>
      <w:r>
        <w:rPr>
          <w:rFonts w:hint="eastAsia"/>
        </w:rPr>
        <w:drawing>
          <wp:inline distT="0" distB="0" distL="0" distR="0">
            <wp:extent cx="4962525" cy="4152900"/>
            <wp:effectExtent l="19050" t="19050" r="9525" b="0"/>
            <wp:docPr id="41" name="图片 41" descr="5000天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5000天母图"/>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962525" cy="4152900"/>
                    </a:xfrm>
                    <a:prstGeom prst="rect">
                      <a:avLst/>
                    </a:prstGeom>
                    <a:noFill/>
                    <a:ln>
                      <a:solidFill>
                        <a:schemeClr val="tx1"/>
                      </a:solidFill>
                    </a:ln>
                  </pic:spPr>
                </pic:pic>
              </a:graphicData>
            </a:graphic>
          </wp:inline>
        </w:drawing>
      </w:r>
    </w:p>
    <w:p>
      <w:pPr>
        <w:spacing w:line="240" w:lineRule="auto"/>
        <w:ind w:firstLine="0" w:firstLineChars="0"/>
        <w:jc w:val="center"/>
        <w:rPr>
          <w:rFonts w:ascii="Times New Roman" w:hAnsi="Times New Roman"/>
          <w:b/>
          <w:sz w:val="21"/>
        </w:rPr>
      </w:pPr>
      <w:r>
        <w:rPr>
          <w:rFonts w:hint="eastAsia" w:ascii="Times New Roman" w:hAnsi="Times New Roman"/>
          <w:b/>
          <w:sz w:val="21"/>
        </w:rPr>
        <w:t xml:space="preserve"> 图5.1-3  石油类5000天迁移预测图  </w:t>
      </w:r>
    </w:p>
    <w:p>
      <w:pPr>
        <w:ind w:firstLine="0" w:firstLineChars="0"/>
        <w:jc w:val="center"/>
        <w:rPr>
          <w:rFonts w:ascii="Times New Roman" w:hAnsi="Times New Roman"/>
          <w:b/>
          <w:sz w:val="21"/>
        </w:rPr>
      </w:pPr>
      <w:r>
        <w:rPr>
          <w:rFonts w:hint="eastAsia" w:ascii="宋体" w:hAnsi="宋体"/>
          <w:b/>
        </w:rPr>
        <w:drawing>
          <wp:inline distT="0" distB="0" distL="0" distR="0">
            <wp:extent cx="5048250" cy="4229100"/>
            <wp:effectExtent l="19050" t="19050" r="0" b="0"/>
            <wp:docPr id="40" name="图片 40" descr="7300天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7300天母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048250" cy="4229100"/>
                    </a:xfrm>
                    <a:prstGeom prst="rect">
                      <a:avLst/>
                    </a:prstGeom>
                    <a:noFill/>
                    <a:ln>
                      <a:solidFill>
                        <a:schemeClr val="tx1"/>
                      </a:solidFill>
                    </a:ln>
                  </pic:spPr>
                </pic:pic>
              </a:graphicData>
            </a:graphic>
          </wp:inline>
        </w:drawing>
      </w:r>
      <w:r>
        <w:rPr>
          <w:rFonts w:hint="eastAsia" w:ascii="宋体" w:hAnsi="宋体"/>
          <w:b/>
        </w:rPr>
        <w:t xml:space="preserve">   </w:t>
      </w:r>
      <w:r>
        <w:rPr>
          <w:rFonts w:hint="eastAsia" w:ascii="Times New Roman" w:hAnsi="Times New Roman"/>
          <w:b/>
          <w:sz w:val="21"/>
        </w:rPr>
        <w:t>图5.1-4  石油类7300天迁移预测图</w:t>
      </w:r>
    </w:p>
    <w:p>
      <w:pPr>
        <w:ind w:firstLine="480"/>
        <w:rPr>
          <w:rFonts w:ascii="Times New Roman" w:hAnsi="Times New Roman"/>
          <w:szCs w:val="24"/>
        </w:rPr>
      </w:pPr>
      <w:r>
        <w:rPr>
          <w:rFonts w:hint="eastAsia" w:ascii="Times New Roman" w:hAnsi="Times New Roman"/>
          <w:szCs w:val="24"/>
        </w:rPr>
        <w:t>②建设期各井场压裂液储罐罐体破裂地下水污染预测</w:t>
      </w:r>
    </w:p>
    <w:p>
      <w:pPr>
        <w:ind w:firstLine="480"/>
        <w:rPr>
          <w:rFonts w:ascii="Times New Roman" w:hAnsi="Times New Roman"/>
          <w:szCs w:val="24"/>
        </w:rPr>
      </w:pPr>
      <w:r>
        <w:rPr>
          <w:rFonts w:hint="eastAsia" w:ascii="Times New Roman" w:hAnsi="Times New Roman"/>
          <w:szCs w:val="24"/>
        </w:rPr>
        <w:t>建设期压裂液储罐的压裂液返排液主要污染物为氯化物、硫酸盐等，特征污染物为氯化物。倘若压裂液储罐底部出现裂隙，会使储存在其中的废水下渗，从而污染潜水含水层。本次模拟不考虑包气带垂向运动和吸附、过滤等作用，同时不考虑污染物在地下水中的化学反应，</w:t>
      </w:r>
      <w:r>
        <w:rPr>
          <w:rFonts w:ascii="Times New Roman" w:hAnsi="Times New Roman"/>
          <w:szCs w:val="24"/>
        </w:rPr>
        <w:t>纵向弥散系数取经验值10m</w:t>
      </w:r>
      <w:r>
        <w:rPr>
          <w:rFonts w:ascii="Times New Roman" w:hAnsi="Times New Roman"/>
          <w:szCs w:val="24"/>
          <w:vertAlign w:val="superscript"/>
        </w:rPr>
        <w:t>2</w:t>
      </w:r>
      <w:r>
        <w:rPr>
          <w:rFonts w:ascii="Times New Roman" w:hAnsi="Times New Roman"/>
          <w:szCs w:val="24"/>
        </w:rPr>
        <w:t>/d</w:t>
      </w:r>
      <w:r>
        <w:rPr>
          <w:rFonts w:hint="eastAsia" w:ascii="Times New Roman" w:hAnsi="Times New Roman"/>
          <w:szCs w:val="24"/>
        </w:rPr>
        <w:t>。运</w:t>
      </w:r>
      <w:r>
        <w:rPr>
          <w:rFonts w:ascii="Times New Roman" w:hAnsi="Times New Roman"/>
          <w:szCs w:val="24"/>
        </w:rPr>
        <w:t>用</w:t>
      </w:r>
      <w:r>
        <w:rPr>
          <w:rFonts w:hint="eastAsia" w:ascii="Times New Roman" w:hAnsi="Times New Roman"/>
          <w:szCs w:val="24"/>
        </w:rPr>
        <w:t xml:space="preserve">Visual </w:t>
      </w:r>
      <w:r>
        <w:rPr>
          <w:rFonts w:ascii="Times New Roman" w:hAnsi="Times New Roman"/>
          <w:szCs w:val="24"/>
        </w:rPr>
        <w:t>Modflow</w:t>
      </w:r>
      <w:r>
        <w:rPr>
          <w:rFonts w:hint="eastAsia" w:ascii="Times New Roman" w:hAnsi="Times New Roman"/>
          <w:szCs w:val="24"/>
        </w:rPr>
        <w:t>中MT3DMS程序</w:t>
      </w:r>
      <w:r>
        <w:rPr>
          <w:rFonts w:ascii="Times New Roman" w:hAnsi="Times New Roman"/>
          <w:szCs w:val="24"/>
        </w:rPr>
        <w:t>预测</w:t>
      </w:r>
      <w:r>
        <w:rPr>
          <w:rFonts w:hint="eastAsia" w:ascii="Times New Roman" w:hAnsi="Times New Roman"/>
          <w:szCs w:val="24"/>
        </w:rPr>
        <w:t>污染物</w:t>
      </w:r>
      <w:r>
        <w:rPr>
          <w:rFonts w:ascii="Times New Roman" w:hAnsi="Times New Roman"/>
          <w:szCs w:val="24"/>
        </w:rPr>
        <w:t>进入目标含水层后，1</w:t>
      </w:r>
      <w:r>
        <w:rPr>
          <w:rFonts w:hint="eastAsia" w:ascii="Times New Roman" w:hAnsi="Times New Roman"/>
          <w:szCs w:val="24"/>
        </w:rPr>
        <w:t>00天</w:t>
      </w:r>
      <w:r>
        <w:rPr>
          <w:rFonts w:ascii="Times New Roman" w:hAnsi="Times New Roman"/>
          <w:szCs w:val="24"/>
        </w:rPr>
        <w:t>、10</w:t>
      </w:r>
      <w:r>
        <w:rPr>
          <w:rFonts w:hint="eastAsia" w:ascii="Times New Roman" w:hAnsi="Times New Roman"/>
          <w:szCs w:val="24"/>
        </w:rPr>
        <w:t>00天</w:t>
      </w:r>
      <w:r>
        <w:rPr>
          <w:rFonts w:ascii="Times New Roman" w:hAnsi="Times New Roman"/>
          <w:szCs w:val="24"/>
        </w:rPr>
        <w:t>、</w:t>
      </w:r>
      <w:r>
        <w:rPr>
          <w:rFonts w:hint="eastAsia" w:ascii="Times New Roman" w:hAnsi="Times New Roman"/>
          <w:szCs w:val="24"/>
        </w:rPr>
        <w:t>5000天以及7300天</w:t>
      </w:r>
      <w:r>
        <w:rPr>
          <w:rFonts w:ascii="Times New Roman" w:hAnsi="Times New Roman"/>
          <w:szCs w:val="24"/>
        </w:rPr>
        <w:t>后</w:t>
      </w:r>
      <w:r>
        <w:rPr>
          <w:rFonts w:hint="eastAsia" w:ascii="Times New Roman" w:hAnsi="Times New Roman"/>
          <w:szCs w:val="24"/>
        </w:rPr>
        <w:t>污染晕</w:t>
      </w:r>
      <w:r>
        <w:rPr>
          <w:rFonts w:ascii="Times New Roman" w:hAnsi="Times New Roman"/>
          <w:szCs w:val="24"/>
        </w:rPr>
        <w:t>的迁移距离及影响面积。</w:t>
      </w:r>
    </w:p>
    <w:p>
      <w:pPr>
        <w:ind w:firstLine="480"/>
        <w:rPr>
          <w:rFonts w:ascii="Times New Roman" w:hAnsi="Times New Roman"/>
          <w:szCs w:val="24"/>
        </w:rPr>
      </w:pPr>
      <w:r>
        <w:rPr>
          <w:rFonts w:hint="eastAsia" w:ascii="Times New Roman" w:hAnsi="Times New Roman"/>
          <w:szCs w:val="24"/>
        </w:rPr>
        <w:t>由于该事故状态设定时间为7天，即污染物连续下渗7天后终止。模拟结果显示，事故后的第100天，氯化物浓度已经降到250mg/L以下，因此没有显示1000天、5000天及7300天的污染晕。模拟预测结果见表5.1-4以及图5.1-5。</w:t>
      </w:r>
    </w:p>
    <w:p>
      <w:pPr>
        <w:pStyle w:val="40"/>
        <w:spacing w:line="500" w:lineRule="exact"/>
        <w:ind w:left="397" w:firstLine="200" w:firstLineChars="0"/>
        <w:jc w:val="center"/>
        <w:rPr>
          <w:b/>
          <w:sz w:val="21"/>
          <w:szCs w:val="21"/>
        </w:rPr>
      </w:pPr>
    </w:p>
    <w:p>
      <w:pPr>
        <w:pStyle w:val="40"/>
        <w:spacing w:line="500" w:lineRule="exact"/>
        <w:ind w:left="397" w:firstLine="200" w:firstLineChars="0"/>
        <w:jc w:val="center"/>
        <w:rPr>
          <w:b/>
          <w:sz w:val="21"/>
          <w:szCs w:val="21"/>
        </w:rPr>
      </w:pPr>
    </w:p>
    <w:p>
      <w:pPr>
        <w:pStyle w:val="40"/>
        <w:spacing w:line="500" w:lineRule="exact"/>
        <w:ind w:left="397" w:firstLine="200" w:firstLineChars="0"/>
        <w:jc w:val="center"/>
        <w:rPr>
          <w:b/>
          <w:sz w:val="21"/>
          <w:szCs w:val="21"/>
        </w:rPr>
      </w:pPr>
    </w:p>
    <w:p>
      <w:pPr>
        <w:pStyle w:val="40"/>
        <w:spacing w:line="500" w:lineRule="exact"/>
        <w:ind w:left="397" w:firstLine="200" w:firstLineChars="0"/>
        <w:jc w:val="center"/>
        <w:rPr>
          <w:b/>
          <w:sz w:val="21"/>
          <w:szCs w:val="21"/>
        </w:rPr>
      </w:pPr>
      <w:r>
        <w:rPr>
          <w:rFonts w:hint="eastAsia"/>
          <w:b/>
          <w:sz w:val="21"/>
          <w:szCs w:val="21"/>
        </w:rPr>
        <w:t>表5.1-4 井场压裂液储罐氯化物污染晕扩散统计表</w:t>
      </w:r>
    </w:p>
    <w:tbl>
      <w:tblPr>
        <w:tblStyle w:val="18"/>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5" w:type="dxa"/>
          <w:left w:w="15" w:type="dxa"/>
          <w:bottom w:w="15" w:type="dxa"/>
          <w:right w:w="15" w:type="dxa"/>
        </w:tblCellMar>
      </w:tblPr>
      <w:tblGrid>
        <w:gridCol w:w="588"/>
        <w:gridCol w:w="588"/>
        <w:gridCol w:w="588"/>
        <w:gridCol w:w="587"/>
        <w:gridCol w:w="588"/>
        <w:gridCol w:w="588"/>
        <w:gridCol w:w="588"/>
        <w:gridCol w:w="587"/>
        <w:gridCol w:w="588"/>
        <w:gridCol w:w="587"/>
        <w:gridCol w:w="588"/>
        <w:gridCol w:w="588"/>
        <w:gridCol w:w="588"/>
        <w:gridCol w:w="588"/>
        <w:gridCol w:w="5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Merge w:val="restart"/>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 xml:space="preserve">时间（天）               </w:t>
            </w:r>
          </w:p>
        </w:tc>
        <w:tc>
          <w:tcPr>
            <w:tcW w:w="4114" w:type="dxa"/>
            <w:gridSpan w:val="7"/>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下游</w:t>
            </w:r>
            <w:r>
              <w:rPr>
                <w:rFonts w:hint="eastAsia" w:ascii="Times New Roman"/>
                <w:sz w:val="21"/>
                <w:szCs w:val="20"/>
              </w:rPr>
              <w:t>超标运移最大距离（m）</w:t>
            </w:r>
          </w:p>
        </w:tc>
        <w:tc>
          <w:tcPr>
            <w:tcW w:w="4115" w:type="dxa"/>
            <w:gridSpan w:val="7"/>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污染晕面积（hm2）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Merge w:val="continue"/>
            <w:vAlign w:val="center"/>
          </w:tcPr>
          <w:p>
            <w:pPr>
              <w:adjustRightInd w:val="0"/>
              <w:spacing w:line="240" w:lineRule="auto"/>
              <w:ind w:firstLine="0" w:firstLineChars="0"/>
              <w:jc w:val="center"/>
              <w:textAlignment w:val="baseline"/>
              <w:rPr>
                <w:rFonts w:ascii="Times New Roman"/>
                <w:sz w:val="21"/>
                <w:szCs w:val="20"/>
              </w:rPr>
            </w:pP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101</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102</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106</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101</w:t>
            </w:r>
          </w:p>
        </w:tc>
        <w:tc>
          <w:tcPr>
            <w:tcW w:w="587"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102</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103</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104</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105</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106</w:t>
            </w:r>
          </w:p>
        </w:tc>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5" w:type="dxa"/>
            <w:left w:w="15" w:type="dxa"/>
            <w:bottom w:w="15" w:type="dxa"/>
            <w:right w:w="15" w:type="dxa"/>
          </w:tblCellMar>
        </w:tblPrEx>
        <w:trPr>
          <w:trHeight w:val="301" w:hRule="atLeast"/>
        </w:trPr>
        <w:tc>
          <w:tcPr>
            <w:tcW w:w="588" w:type="dxa"/>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100</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60.3</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34.54</w:t>
            </w:r>
          </w:p>
        </w:tc>
        <w:tc>
          <w:tcPr>
            <w:tcW w:w="587"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38.45</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46.35</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33.21</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72.31</w:t>
            </w:r>
          </w:p>
        </w:tc>
        <w:tc>
          <w:tcPr>
            <w:tcW w:w="587"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50.55</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0.35</w:t>
            </w:r>
          </w:p>
        </w:tc>
        <w:tc>
          <w:tcPr>
            <w:tcW w:w="587"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0.15</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0.21</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0.28</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0.14</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0.33</w:t>
            </w:r>
          </w:p>
        </w:tc>
        <w:tc>
          <w:tcPr>
            <w:tcW w:w="588" w:type="dxa"/>
            <w:vAlign w:val="bottom"/>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0.24</w:t>
            </w:r>
          </w:p>
        </w:tc>
      </w:tr>
    </w:tbl>
    <w:p>
      <w:pPr>
        <w:ind w:firstLine="0" w:firstLineChars="0"/>
        <w:jc w:val="center"/>
      </w:pPr>
      <w:r>
        <w:rPr>
          <w:rFonts w:hint="eastAsia"/>
        </w:rPr>
        <w:drawing>
          <wp:inline distT="0" distB="0" distL="0" distR="0">
            <wp:extent cx="5572125" cy="4752975"/>
            <wp:effectExtent l="19050" t="19050" r="9525" b="9525"/>
            <wp:docPr id="39" name="图片 39" descr="100天—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00天—母图"/>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572125" cy="4752975"/>
                    </a:xfrm>
                    <a:prstGeom prst="rect">
                      <a:avLst/>
                    </a:prstGeom>
                    <a:noFill/>
                    <a:ln>
                      <a:solidFill>
                        <a:schemeClr val="tx1"/>
                      </a:solid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ascii="Times New Roman" w:hAnsi="Times New Roman"/>
          <w:b/>
          <w:sz w:val="21"/>
        </w:rPr>
        <w:t>图</w:t>
      </w:r>
      <w:r>
        <w:rPr>
          <w:rFonts w:hint="eastAsia" w:ascii="Times New Roman" w:hAnsi="Times New Roman"/>
          <w:b/>
          <w:sz w:val="21"/>
        </w:rPr>
        <w:t>5.1-5</w:t>
      </w:r>
      <w:r>
        <w:rPr>
          <w:rFonts w:ascii="Times New Roman" w:hAnsi="Times New Roman"/>
          <w:b/>
          <w:sz w:val="21"/>
        </w:rPr>
        <w:t xml:space="preserve"> 氯化物100天迁移预测图（整体）</w:t>
      </w:r>
    </w:p>
    <w:p>
      <w:pPr>
        <w:ind w:firstLine="0" w:firstLineChars="0"/>
        <w:jc w:val="center"/>
        <w:rPr>
          <w:rFonts w:ascii="宋体" w:hAnsi="宋体"/>
          <w:b/>
        </w:rPr>
      </w:pPr>
      <w:r>
        <w:rPr>
          <w:rFonts w:hint="eastAsia" w:ascii="宋体" w:hAnsi="宋体"/>
          <w:b/>
        </w:rPr>
        <w:drawing>
          <wp:inline distT="0" distB="0" distL="0" distR="0">
            <wp:extent cx="5467350" cy="8410575"/>
            <wp:effectExtent l="19050" t="19050" r="0" b="9525"/>
            <wp:docPr id="38" name="图片 38" descr="合并（1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合并（100天）"/>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467350" cy="8410575"/>
                    </a:xfrm>
                    <a:prstGeom prst="rect">
                      <a:avLst/>
                    </a:prstGeom>
                    <a:noFill/>
                    <a:ln>
                      <a:solidFill>
                        <a:schemeClr val="tx1"/>
                      </a:solidFill>
                    </a:ln>
                  </pic:spPr>
                </pic:pic>
              </a:graphicData>
            </a:graphic>
          </wp:inline>
        </w:drawing>
      </w:r>
    </w:p>
    <w:p>
      <w:pPr>
        <w:spacing w:after="156" w:afterLines="50" w:line="240" w:lineRule="auto"/>
        <w:ind w:firstLine="0" w:firstLineChars="0"/>
        <w:jc w:val="center"/>
        <w:rPr>
          <w:rFonts w:ascii="Times New Roman" w:hAnsi="Times New Roman"/>
          <w:szCs w:val="24"/>
        </w:rPr>
      </w:pPr>
      <w:r>
        <w:rPr>
          <w:rFonts w:hint="eastAsia" w:ascii="Times New Roman" w:hAnsi="Times New Roman"/>
          <w:b/>
          <w:sz w:val="21"/>
        </w:rPr>
        <w:t>图5.1-5  氯化物100天迁移预测图（放大）</w:t>
      </w:r>
    </w:p>
    <w:p>
      <w:pPr>
        <w:ind w:firstLine="480"/>
        <w:rPr>
          <w:rFonts w:ascii="Times New Roman" w:hAnsi="Times New Roman"/>
          <w:szCs w:val="24"/>
        </w:rPr>
      </w:pPr>
      <w:r>
        <w:rPr>
          <w:rFonts w:hint="eastAsia" w:ascii="Times New Roman" w:hAnsi="Times New Roman"/>
          <w:szCs w:val="24"/>
        </w:rPr>
        <w:t>（4）建设期地下水影响评价</w:t>
      </w:r>
    </w:p>
    <w:p>
      <w:pPr>
        <w:ind w:firstLine="480"/>
        <w:rPr>
          <w:rFonts w:ascii="Times New Roman" w:hAnsi="Times New Roman"/>
          <w:szCs w:val="24"/>
        </w:rPr>
      </w:pPr>
      <w:r>
        <w:rPr>
          <w:rFonts w:hint="eastAsia" w:ascii="Times New Roman" w:hAnsi="Times New Roman"/>
          <w:szCs w:val="24"/>
        </w:rPr>
        <w:t>由前述分析可知，建设期对地下水影响主要由各井场泥浆池等事故状态渗漏以及各井场压裂液储存罐事故状态渗漏这两个污染源组成。对此，分别进行了地下水数值模拟研究，通过运用数值法来模拟预测污染源事故状态对地下水及环境保护目标的影响。现分述如下：</w:t>
      </w:r>
    </w:p>
    <w:p>
      <w:pPr>
        <w:ind w:firstLine="480"/>
        <w:rPr>
          <w:rFonts w:ascii="Times New Roman" w:hAnsi="Times New Roman"/>
          <w:szCs w:val="24"/>
        </w:rPr>
      </w:pPr>
      <w:r>
        <w:rPr>
          <w:rFonts w:hint="eastAsia" w:ascii="Times New Roman" w:hAnsi="Times New Roman"/>
          <w:szCs w:val="24"/>
        </w:rPr>
        <w:t>①建设期各井场泥浆池等底板破裂对地下水的影响评价</w:t>
      </w:r>
    </w:p>
    <w:p>
      <w:pPr>
        <w:ind w:firstLine="480"/>
        <w:rPr>
          <w:rFonts w:ascii="Times New Roman" w:hAnsi="Times New Roman"/>
          <w:szCs w:val="24"/>
        </w:rPr>
      </w:pPr>
      <w:r>
        <w:rPr>
          <w:rFonts w:hint="eastAsia" w:ascii="Times New Roman" w:hAnsi="Times New Roman"/>
          <w:szCs w:val="24"/>
        </w:rPr>
        <w:t>本次评价模拟了建设期各井场泥浆池等钻井废水在事故发生后的100天、1000天、5000天以及服务年限7300天四个时间节点对地下水的影响情况。由模拟预测结果可知：在不考虑包气带垂向运动以及化学反应和吸附的作用下，各井场污染晕的范围在逐步扩大，顺着地下水流向的距离也在不断增大，但是污染晕的最大浓度在逐步降低，并且随着时间的推移，整体向下游移动。</w:t>
      </w:r>
    </w:p>
    <w:p>
      <w:pPr>
        <w:ind w:firstLine="480"/>
        <w:rPr>
          <w:rFonts w:ascii="Times New Roman" w:hAnsi="Times New Roman"/>
          <w:szCs w:val="24"/>
        </w:rPr>
      </w:pPr>
      <w:r>
        <w:rPr>
          <w:rFonts w:hint="eastAsia" w:ascii="Times New Roman" w:hAnsi="Times New Roman"/>
          <w:szCs w:val="24"/>
        </w:rPr>
        <w:t>由模拟结果可知：在整个服务年限的运移时间内，各井场污染晕范围始终没有波及到各村分散居民用水水源以及赵家坪水源地潜水井二级保护区。加之本次模拟没有考虑化学反应、吸附等地下水净化作用，实际情况要好于模拟结果，因此，建设期各井场泥浆池等事故状态下池底破裂对地下水及水源地影响较小，且影响时间有限。</w:t>
      </w:r>
    </w:p>
    <w:p>
      <w:pPr>
        <w:ind w:firstLine="480"/>
        <w:rPr>
          <w:rFonts w:ascii="Times New Roman" w:hAnsi="Times New Roman"/>
          <w:szCs w:val="24"/>
        </w:rPr>
      </w:pPr>
      <w:r>
        <w:rPr>
          <w:rFonts w:hint="eastAsia" w:ascii="Times New Roman" w:hAnsi="Times New Roman"/>
          <w:szCs w:val="24"/>
        </w:rPr>
        <w:t>②建设期各井场压裂液储存池底板破裂对地下水的影响评价</w:t>
      </w:r>
    </w:p>
    <w:p>
      <w:pPr>
        <w:ind w:firstLine="480"/>
        <w:rPr>
          <w:rFonts w:ascii="Times New Roman" w:hAnsi="Times New Roman"/>
          <w:szCs w:val="24"/>
        </w:rPr>
      </w:pPr>
      <w:r>
        <w:rPr>
          <w:rFonts w:hint="eastAsia" w:ascii="Times New Roman" w:hAnsi="Times New Roman"/>
          <w:szCs w:val="24"/>
        </w:rPr>
        <w:t>本次模拟的建设期各井场压裂液储存池压裂液返排液在事故发生后的100天、1000天、5000天以及服务年限7300天四个时间节点对地下水的影响情况。由模拟预测结果可知：在不考虑包气带垂向运动以及化学反应和吸附的作用下，各井场污染晕的范围在逐步扩大，顺着地下水流向的距离也在不断增大，但是污染晕的最大浓度在逐步降低，并且随着时间的推移，整体向下游移动。</w:t>
      </w:r>
    </w:p>
    <w:p>
      <w:pPr>
        <w:ind w:firstLine="480"/>
        <w:rPr>
          <w:rFonts w:ascii="Times New Roman" w:hAnsi="Times New Roman"/>
          <w:szCs w:val="24"/>
        </w:rPr>
      </w:pPr>
      <w:r>
        <w:rPr>
          <w:rFonts w:hint="eastAsia" w:ascii="Times New Roman" w:hAnsi="Times New Roman"/>
          <w:szCs w:val="24"/>
        </w:rPr>
        <w:t>由模拟结果可知：在整个服务年限的运移时间内，各井场污染晕范围始终没有波及到各村分散居民用水水源以及赵家坪水源地潜水井二级保护区。加之本次模拟没有考虑化学反应、吸附等地下水净化作用，实际情况要好于模拟结果，因此，建设期各井场压裂液储存池事故状态下池底破裂对地下水及水源地影响较小，且影响时间有限。</w:t>
      </w:r>
    </w:p>
    <w:p>
      <w:pPr>
        <w:ind w:firstLine="480"/>
        <w:rPr>
          <w:rFonts w:ascii="Times New Roman" w:hAnsi="Times New Roman"/>
          <w:szCs w:val="24"/>
        </w:rPr>
      </w:pPr>
      <w:r>
        <w:rPr>
          <w:rFonts w:hint="eastAsia" w:ascii="Times New Roman" w:hAnsi="Times New Roman"/>
          <w:szCs w:val="24"/>
        </w:rPr>
        <w:t>综上所述，对于建设期而言，事故状态下各污染因素污染地下水的过程是暂时的，有限的。因此，在确保有防渗要求的建筑物达到防渗等级的条件并且采取一定的环保措施后，项目建设阶段是可行的。</w:t>
      </w:r>
    </w:p>
    <w:p>
      <w:pPr>
        <w:ind w:firstLine="0" w:firstLineChars="0"/>
        <w:outlineLvl w:val="2"/>
        <w:rPr>
          <w:rFonts w:ascii="Times New Roman" w:hAnsi="Times New Roman"/>
          <w:b/>
          <w:sz w:val="28"/>
          <w:szCs w:val="28"/>
        </w:rPr>
      </w:pPr>
      <w:bookmarkStart w:id="81" w:name="_Toc524624612"/>
      <w:r>
        <w:rPr>
          <w:rFonts w:hint="eastAsia" w:ascii="Times New Roman" w:hAnsi="Times New Roman"/>
          <w:b/>
          <w:sz w:val="28"/>
          <w:szCs w:val="28"/>
        </w:rPr>
        <w:t>5.1.3 建设期声环境影响分析</w:t>
      </w:r>
      <w:bookmarkEnd w:id="81"/>
    </w:p>
    <w:p>
      <w:pPr>
        <w:ind w:firstLine="480"/>
        <w:rPr>
          <w:rFonts w:ascii="Times New Roman" w:hAnsi="Times New Roman"/>
        </w:rPr>
      </w:pPr>
      <w:r>
        <w:rPr>
          <w:rFonts w:ascii="Times New Roman"/>
        </w:rPr>
        <w:t>本项目钻前工程噪声源主要为施工场地使用的设备产生的噪声，噪声值在</w:t>
      </w:r>
      <w:r>
        <w:rPr>
          <w:rFonts w:ascii="Times New Roman" w:hAnsi="Times New Roman"/>
        </w:rPr>
        <w:t>83~90dB(A)</w:t>
      </w:r>
      <w:r>
        <w:rPr>
          <w:rFonts w:ascii="Times New Roman"/>
        </w:rPr>
        <w:t>之间。本项目的钻前工程施工量少，而且施工时间短，所需设备数量有限，根据现场踏勘，项目井场附件无居民聚居区，其余地方也无敏感点，因此本项目产生的钻前施工噪声基本无污染，也不会产生扰民现象。</w:t>
      </w:r>
    </w:p>
    <w:p>
      <w:pPr>
        <w:ind w:firstLine="480"/>
        <w:rPr>
          <w:rFonts w:ascii="Times New Roman"/>
        </w:rPr>
      </w:pPr>
      <w:r>
        <w:rPr>
          <w:rFonts w:ascii="Times New Roman"/>
        </w:rPr>
        <w:t>（1）噪声衰减模式</w:t>
      </w:r>
    </w:p>
    <w:p>
      <w:pPr>
        <w:ind w:firstLine="480"/>
        <w:rPr>
          <w:rFonts w:ascii="Times New Roman"/>
        </w:rPr>
      </w:pPr>
      <w:r>
        <w:rPr>
          <w:rFonts w:ascii="Times New Roman"/>
        </w:rPr>
        <w:t>项目噪声源主要来源于柴油发电机组、各类泵和火炬等，针对源强采取相应的降噪措施，采取降噪措施后其噪声值在75~90dB(A)之间，见表5</w:t>
      </w:r>
      <w:r>
        <w:rPr>
          <w:rFonts w:hint="eastAsia" w:ascii="Times New Roman"/>
        </w:rPr>
        <w:t>.1</w:t>
      </w:r>
      <w:r>
        <w:rPr>
          <w:rFonts w:ascii="Times New Roman"/>
        </w:rPr>
        <w:t>-</w:t>
      </w:r>
      <w:r>
        <w:rPr>
          <w:rFonts w:hint="eastAsia" w:ascii="Times New Roman"/>
        </w:rPr>
        <w:t>5</w:t>
      </w:r>
      <w:r>
        <w:rPr>
          <w:rFonts w:ascii="Times New Roman"/>
        </w:rPr>
        <w:t>。</w:t>
      </w:r>
    </w:p>
    <w:p>
      <w:pPr>
        <w:pStyle w:val="40"/>
        <w:spacing w:line="500" w:lineRule="exact"/>
        <w:ind w:left="397" w:firstLine="200" w:firstLineChars="0"/>
        <w:jc w:val="center"/>
        <w:rPr>
          <w:sz w:val="21"/>
          <w:szCs w:val="21"/>
        </w:rPr>
      </w:pPr>
      <w:r>
        <w:rPr>
          <w:b/>
          <w:sz w:val="21"/>
          <w:szCs w:val="21"/>
        </w:rPr>
        <w:t>表5</w:t>
      </w:r>
      <w:r>
        <w:rPr>
          <w:rFonts w:hint="eastAsia"/>
          <w:b/>
          <w:sz w:val="21"/>
          <w:szCs w:val="21"/>
        </w:rPr>
        <w:t>.1</w:t>
      </w:r>
      <w:r>
        <w:rPr>
          <w:b/>
          <w:sz w:val="21"/>
          <w:szCs w:val="21"/>
        </w:rPr>
        <w:t>-</w:t>
      </w:r>
      <w:r>
        <w:rPr>
          <w:rFonts w:hint="eastAsia"/>
          <w:b/>
          <w:sz w:val="21"/>
          <w:szCs w:val="21"/>
        </w:rPr>
        <w:t>5</w:t>
      </w:r>
      <w:r>
        <w:rPr>
          <w:b/>
          <w:sz w:val="21"/>
          <w:szCs w:val="21"/>
        </w:rPr>
        <w:t xml:space="preserve"> 各种机械设备的噪声值</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0"/>
        <w:gridCol w:w="2185"/>
        <w:gridCol w:w="2321"/>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序号</w:t>
            </w:r>
          </w:p>
        </w:tc>
        <w:tc>
          <w:tcPr>
            <w:tcW w:w="128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噪声源</w:t>
            </w:r>
          </w:p>
        </w:tc>
        <w:tc>
          <w:tcPr>
            <w:tcW w:w="136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降噪措施</w:t>
            </w:r>
          </w:p>
        </w:tc>
        <w:tc>
          <w:tcPr>
            <w:tcW w:w="1250"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1</w:t>
            </w:r>
          </w:p>
        </w:tc>
        <w:tc>
          <w:tcPr>
            <w:tcW w:w="128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泥浆泵</w:t>
            </w:r>
          </w:p>
        </w:tc>
        <w:tc>
          <w:tcPr>
            <w:tcW w:w="136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加衬弹性垫料</w:t>
            </w:r>
          </w:p>
        </w:tc>
        <w:tc>
          <w:tcPr>
            <w:tcW w:w="125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2</w:t>
            </w:r>
          </w:p>
        </w:tc>
        <w:tc>
          <w:tcPr>
            <w:tcW w:w="128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压裂液泵</w:t>
            </w:r>
          </w:p>
        </w:tc>
        <w:tc>
          <w:tcPr>
            <w:tcW w:w="136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加衬弹性垫料</w:t>
            </w:r>
          </w:p>
        </w:tc>
        <w:tc>
          <w:tcPr>
            <w:tcW w:w="125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3</w:t>
            </w:r>
          </w:p>
        </w:tc>
        <w:tc>
          <w:tcPr>
            <w:tcW w:w="128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柴油发电机</w:t>
            </w:r>
          </w:p>
        </w:tc>
        <w:tc>
          <w:tcPr>
            <w:tcW w:w="136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隔声屏障、消声器</w:t>
            </w:r>
          </w:p>
        </w:tc>
        <w:tc>
          <w:tcPr>
            <w:tcW w:w="125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w:t>
            </w:r>
          </w:p>
        </w:tc>
        <w:tc>
          <w:tcPr>
            <w:tcW w:w="128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振动筛</w:t>
            </w:r>
          </w:p>
        </w:tc>
        <w:tc>
          <w:tcPr>
            <w:tcW w:w="136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加衬弹性垫料</w:t>
            </w:r>
          </w:p>
        </w:tc>
        <w:tc>
          <w:tcPr>
            <w:tcW w:w="125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8"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5</w:t>
            </w:r>
          </w:p>
        </w:tc>
        <w:tc>
          <w:tcPr>
            <w:tcW w:w="128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火炬</w:t>
            </w:r>
          </w:p>
        </w:tc>
        <w:tc>
          <w:tcPr>
            <w:tcW w:w="1361"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挡风罩</w:t>
            </w:r>
          </w:p>
        </w:tc>
        <w:tc>
          <w:tcPr>
            <w:tcW w:w="1250" w:type="pct"/>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85</w:t>
            </w:r>
          </w:p>
        </w:tc>
      </w:tr>
    </w:tbl>
    <w:p>
      <w:pPr>
        <w:spacing w:before="156" w:beforeLines="50"/>
        <w:ind w:firstLine="480"/>
        <w:rPr>
          <w:rFonts w:ascii="Times New Roman"/>
        </w:rPr>
      </w:pPr>
      <w:r>
        <w:rPr>
          <w:rFonts w:ascii="Times New Roman"/>
        </w:rPr>
        <w:t>钻井和压裂过程的噪声源为点源，井场所在位置一般较空旷，噪声向外传播的过程中，仅考虑几何发散衰减。因此本次噪声衰减预测采用《环境影响评价技术导则声环境》（HJ2.4-2009）推荐的点声源几何发散衰减的基本公式：</w:t>
      </w:r>
    </w:p>
    <w:p>
      <w:pPr>
        <w:spacing w:line="500" w:lineRule="exact"/>
        <w:ind w:firstLine="480"/>
        <w:jc w:val="center"/>
        <w:rPr>
          <w:rFonts w:ascii="Times New Roman" w:hAnsi="Times New Roman"/>
        </w:rPr>
      </w:pPr>
      <w:r>
        <w:rPr>
          <w:rFonts w:ascii="Times New Roman" w:hAnsi="Times New Roman"/>
        </w:rPr>
        <w:t>L</w:t>
      </w:r>
      <w:r>
        <w:rPr>
          <w:rFonts w:ascii="Times New Roman" w:hAnsi="Times New Roman"/>
          <w:vertAlign w:val="subscript"/>
        </w:rPr>
        <w:t>2</w:t>
      </w:r>
      <w:r>
        <w:rPr>
          <w:rFonts w:ascii="Times New Roman" w:hAnsi="Times New Roman"/>
        </w:rPr>
        <w:t>=L</w:t>
      </w:r>
      <w:r>
        <w:rPr>
          <w:rFonts w:ascii="Times New Roman" w:hAnsi="Times New Roman"/>
          <w:vertAlign w:val="subscript"/>
        </w:rPr>
        <w:t>1</w:t>
      </w:r>
      <w:r>
        <w:rPr>
          <w:rFonts w:ascii="Times New Roman" w:hAnsi="Times New Roman"/>
        </w:rPr>
        <w:t>-20Lg(r</w:t>
      </w:r>
      <w:r>
        <w:rPr>
          <w:rFonts w:ascii="Times New Roman" w:hAnsi="Times New Roman"/>
          <w:vertAlign w:val="subscript"/>
        </w:rPr>
        <w:t>2</w:t>
      </w:r>
      <w:r>
        <w:rPr>
          <w:rFonts w:ascii="Times New Roman" w:hAnsi="Times New Roman"/>
        </w:rPr>
        <w:t>/r</w:t>
      </w:r>
      <w:r>
        <w:rPr>
          <w:rFonts w:ascii="Times New Roman" w:hAnsi="Times New Roman"/>
          <w:vertAlign w:val="subscript"/>
        </w:rPr>
        <w:t>1</w:t>
      </w:r>
      <w:r>
        <w:rPr>
          <w:rFonts w:ascii="Times New Roman" w:hAnsi="Times New Roman"/>
        </w:rPr>
        <w:t>)</w:t>
      </w:r>
    </w:p>
    <w:p>
      <w:pPr>
        <w:spacing w:line="500" w:lineRule="exact"/>
        <w:ind w:firstLine="480"/>
        <w:rPr>
          <w:rFonts w:ascii="Times New Roman" w:hAnsi="Times New Roman"/>
        </w:rPr>
      </w:pPr>
      <w:r>
        <w:rPr>
          <w:rFonts w:ascii="Times New Roman"/>
        </w:rPr>
        <w:t>式中：</w:t>
      </w:r>
      <w:r>
        <w:rPr>
          <w:rFonts w:ascii="Times New Roman" w:hAnsi="Times New Roman"/>
        </w:rPr>
        <w:t>L</w:t>
      </w:r>
      <w:r>
        <w:rPr>
          <w:rFonts w:ascii="Times New Roman" w:hAnsi="Times New Roman"/>
          <w:vertAlign w:val="subscript"/>
        </w:rPr>
        <w:t>2</w:t>
      </w:r>
      <w:r>
        <w:rPr>
          <w:rFonts w:ascii="Times New Roman" w:hAnsi="Times New Roman"/>
        </w:rPr>
        <w:t>-----</w:t>
      </w:r>
      <w:r>
        <w:rPr>
          <w:rFonts w:ascii="Times New Roman"/>
        </w:rPr>
        <w:t>距离声源为</w:t>
      </w:r>
      <w:r>
        <w:rPr>
          <w:rFonts w:ascii="Times New Roman" w:hAnsi="Times New Roman"/>
        </w:rPr>
        <w:t>r</w:t>
      </w:r>
      <w:r>
        <w:rPr>
          <w:rFonts w:ascii="Times New Roman" w:hAnsi="Times New Roman"/>
          <w:vertAlign w:val="subscript"/>
        </w:rPr>
        <w:t>2</w:t>
      </w:r>
      <w:r>
        <w:rPr>
          <w:rFonts w:ascii="Times New Roman"/>
        </w:rPr>
        <w:t>处的声级，</w:t>
      </w:r>
      <w:r>
        <w:rPr>
          <w:rFonts w:ascii="Times New Roman" w:hAnsi="Times New Roman"/>
        </w:rPr>
        <w:t>dB</w:t>
      </w:r>
      <w:r>
        <w:rPr>
          <w:rFonts w:ascii="Times New Roman"/>
        </w:rPr>
        <w:t>（</w:t>
      </w:r>
      <w:r>
        <w:rPr>
          <w:rFonts w:ascii="Times New Roman" w:hAnsi="Times New Roman"/>
        </w:rPr>
        <w:t>A</w:t>
      </w:r>
      <w:r>
        <w:rPr>
          <w:rFonts w:ascii="Times New Roman"/>
        </w:rPr>
        <w:t>）；</w:t>
      </w:r>
    </w:p>
    <w:p>
      <w:pPr>
        <w:spacing w:line="500" w:lineRule="exact"/>
        <w:ind w:firstLine="480"/>
        <w:rPr>
          <w:rFonts w:ascii="Times New Roman" w:hAnsi="Times New Roman"/>
        </w:rPr>
      </w:pPr>
      <w:r>
        <w:rPr>
          <w:rFonts w:ascii="Times New Roman" w:hAnsi="Times New Roman"/>
        </w:rPr>
        <w:t>r</w:t>
      </w:r>
      <w:r>
        <w:rPr>
          <w:rFonts w:ascii="Times New Roman" w:hAnsi="Times New Roman"/>
          <w:vertAlign w:val="subscript"/>
        </w:rPr>
        <w:t>1</w:t>
      </w:r>
      <w:r>
        <w:rPr>
          <w:rFonts w:ascii="Times New Roman"/>
        </w:rPr>
        <w:t>、</w:t>
      </w:r>
      <w:r>
        <w:rPr>
          <w:rFonts w:ascii="Times New Roman" w:hAnsi="Times New Roman"/>
        </w:rPr>
        <w:t>r</w:t>
      </w:r>
      <w:r>
        <w:rPr>
          <w:rFonts w:ascii="Times New Roman" w:hAnsi="Times New Roman"/>
          <w:vertAlign w:val="subscript"/>
        </w:rPr>
        <w:t>2</w:t>
      </w:r>
      <w:r>
        <w:rPr>
          <w:rFonts w:ascii="Times New Roman" w:hAnsi="Times New Roman"/>
        </w:rPr>
        <w:t>---</w:t>
      </w:r>
      <w:r>
        <w:rPr>
          <w:rFonts w:ascii="Times New Roman"/>
        </w:rPr>
        <w:t>距离声源的距离，</w:t>
      </w:r>
      <w:r>
        <w:rPr>
          <w:rFonts w:ascii="Times New Roman" w:hAnsi="Times New Roman"/>
        </w:rPr>
        <w:t>m</w:t>
      </w:r>
      <w:r>
        <w:rPr>
          <w:rFonts w:ascii="Times New Roman"/>
        </w:rPr>
        <w:t>。</w:t>
      </w:r>
    </w:p>
    <w:p>
      <w:pPr>
        <w:spacing w:line="500" w:lineRule="exact"/>
        <w:ind w:firstLine="480"/>
        <w:rPr>
          <w:rFonts w:ascii="Times New Roman" w:hAnsi="Times New Roman"/>
        </w:rPr>
      </w:pPr>
      <w:r>
        <w:rPr>
          <w:rFonts w:ascii="Times New Roman"/>
        </w:rPr>
        <w:t>计算时，</w:t>
      </w:r>
      <w:r>
        <w:rPr>
          <w:rFonts w:ascii="Times New Roman" w:hAnsi="Times New Roman"/>
        </w:rPr>
        <w:t>r</w:t>
      </w:r>
      <w:r>
        <w:rPr>
          <w:rFonts w:ascii="Times New Roman" w:hAnsi="Times New Roman"/>
          <w:vertAlign w:val="subscript"/>
        </w:rPr>
        <w:t>1</w:t>
      </w:r>
      <w:r>
        <w:rPr>
          <w:rFonts w:ascii="Times New Roman" w:hAnsi="Times New Roman"/>
        </w:rPr>
        <w:t>=1</w:t>
      </w:r>
      <w:r>
        <w:rPr>
          <w:rFonts w:ascii="Times New Roman"/>
        </w:rPr>
        <w:t>米。</w:t>
      </w:r>
    </w:p>
    <w:p>
      <w:pPr>
        <w:spacing w:line="500" w:lineRule="exact"/>
        <w:ind w:firstLine="480"/>
        <w:rPr>
          <w:rFonts w:ascii="Times New Roman" w:hAnsi="Times New Roman"/>
        </w:rPr>
      </w:pPr>
      <w:r>
        <w:rPr>
          <w:rFonts w:ascii="Times New Roman" w:hAnsi="Times New Roman"/>
        </w:rPr>
        <w:t>L</w:t>
      </w:r>
      <w:r>
        <w:rPr>
          <w:rFonts w:ascii="Times New Roman" w:hAnsi="Times New Roman"/>
          <w:vertAlign w:val="subscript"/>
        </w:rPr>
        <w:t>1</w:t>
      </w:r>
      <w:r>
        <w:rPr>
          <w:rFonts w:ascii="Times New Roman" w:hAnsi="Times New Roman"/>
        </w:rPr>
        <w:t>----</w:t>
      </w:r>
      <w:r>
        <w:rPr>
          <w:rFonts w:ascii="Times New Roman"/>
        </w:rPr>
        <w:t>距离声源</w:t>
      </w:r>
      <w:r>
        <w:rPr>
          <w:rFonts w:ascii="Times New Roman" w:hAnsi="Times New Roman"/>
        </w:rPr>
        <w:t>r</w:t>
      </w:r>
      <w:r>
        <w:rPr>
          <w:rFonts w:ascii="Times New Roman" w:hAnsi="Times New Roman"/>
          <w:vertAlign w:val="subscript"/>
        </w:rPr>
        <w:t>1</w:t>
      </w:r>
      <w:r>
        <w:rPr>
          <w:rFonts w:ascii="Times New Roman"/>
        </w:rPr>
        <w:t>处的声级，</w:t>
      </w:r>
      <w:r>
        <w:rPr>
          <w:rFonts w:ascii="Times New Roman" w:hAnsi="Times New Roman"/>
        </w:rPr>
        <w:t>dB</w:t>
      </w:r>
      <w:r>
        <w:rPr>
          <w:rFonts w:ascii="Times New Roman"/>
        </w:rPr>
        <w:t>（</w:t>
      </w:r>
      <w:r>
        <w:rPr>
          <w:rFonts w:ascii="Times New Roman" w:hAnsi="Times New Roman"/>
        </w:rPr>
        <w:t>A</w:t>
      </w:r>
      <w:r>
        <w:rPr>
          <w:rFonts w:ascii="Times New Roman"/>
        </w:rPr>
        <w:t>）；</w:t>
      </w:r>
    </w:p>
    <w:p>
      <w:pPr>
        <w:spacing w:line="500" w:lineRule="exact"/>
        <w:ind w:firstLine="480"/>
        <w:rPr>
          <w:rFonts w:ascii="Times New Roman" w:hAnsi="Times New Roman"/>
        </w:rPr>
      </w:pPr>
      <w:r>
        <w:rPr>
          <w:rFonts w:ascii="Times New Roman"/>
        </w:rPr>
        <w:t>本项目设备作业时噪声值随距离衰减值见表</w:t>
      </w:r>
      <w:r>
        <w:rPr>
          <w:rFonts w:ascii="Times New Roman" w:hAnsi="Times New Roman"/>
        </w:rPr>
        <w:t>5.1-</w:t>
      </w:r>
      <w:r>
        <w:rPr>
          <w:rFonts w:hint="eastAsia" w:ascii="Times New Roman" w:hAnsi="Times New Roman"/>
        </w:rPr>
        <w:t>6</w:t>
      </w:r>
      <w:r>
        <w:rPr>
          <w:rFonts w:ascii="Times New Roman"/>
        </w:rPr>
        <w:t>。</w:t>
      </w:r>
    </w:p>
    <w:p>
      <w:pPr>
        <w:pStyle w:val="40"/>
        <w:spacing w:line="500" w:lineRule="exact"/>
        <w:ind w:left="397" w:firstLine="200" w:firstLineChars="0"/>
        <w:jc w:val="center"/>
        <w:rPr>
          <w:b/>
          <w:sz w:val="21"/>
          <w:szCs w:val="21"/>
        </w:rPr>
      </w:pPr>
      <w:r>
        <w:rPr>
          <w:b/>
          <w:sz w:val="21"/>
          <w:szCs w:val="21"/>
        </w:rPr>
        <w:t>表5.1-</w:t>
      </w:r>
      <w:r>
        <w:rPr>
          <w:rFonts w:hint="eastAsia"/>
          <w:b/>
          <w:sz w:val="21"/>
          <w:szCs w:val="21"/>
        </w:rPr>
        <w:t>6</w:t>
      </w:r>
      <w:r>
        <w:rPr>
          <w:b/>
          <w:sz w:val="21"/>
          <w:szCs w:val="21"/>
        </w:rPr>
        <w:t xml:space="preserve"> 设备噪声衰减一览表噪声级dB（A）</w:t>
      </w:r>
    </w:p>
    <w:tbl>
      <w:tblPr>
        <w:tblStyle w:val="1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9"/>
        <w:gridCol w:w="1021"/>
        <w:gridCol w:w="1082"/>
        <w:gridCol w:w="698"/>
        <w:gridCol w:w="742"/>
        <w:gridCol w:w="675"/>
        <w:gridCol w:w="686"/>
        <w:gridCol w:w="799"/>
        <w:gridCol w:w="799"/>
        <w:gridCol w:w="799"/>
        <w:gridCol w:w="79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6" w:hRule="atLeast"/>
          <w:jc w:val="center"/>
        </w:trPr>
        <w:tc>
          <w:tcPr>
            <w:tcW w:w="252"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序号</w:t>
            </w:r>
          </w:p>
        </w:tc>
        <w:tc>
          <w:tcPr>
            <w:tcW w:w="599"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声源</w:t>
            </w:r>
          </w:p>
        </w:tc>
        <w:tc>
          <w:tcPr>
            <w:tcW w:w="635" w:type="pct"/>
            <w:vMerge w:val="restart"/>
            <w:vAlign w:val="center"/>
          </w:tcPr>
          <w:p>
            <w:pPr>
              <w:adjustRightInd w:val="0"/>
              <w:spacing w:line="240" w:lineRule="auto"/>
              <w:ind w:right="-26" w:rightChars="-11" w:firstLine="0" w:firstLineChars="0"/>
              <w:jc w:val="center"/>
              <w:textAlignment w:val="baseline"/>
              <w:rPr>
                <w:rFonts w:ascii="Times New Roman" w:hAnsi="Times New Roman"/>
                <w:sz w:val="21"/>
                <w:szCs w:val="20"/>
              </w:rPr>
            </w:pPr>
            <w:r>
              <w:rPr>
                <w:rFonts w:ascii="Times New Roman" w:hAnsi="Times New Roman"/>
                <w:sz w:val="21"/>
                <w:szCs w:val="20"/>
              </w:rPr>
              <w:t>噪声强度</w:t>
            </w:r>
          </w:p>
        </w:tc>
        <w:tc>
          <w:tcPr>
            <w:tcW w:w="3514" w:type="pct"/>
            <w:gridSpan w:val="8"/>
            <w:vAlign w:val="center"/>
          </w:tcPr>
          <w:p>
            <w:pPr>
              <w:widowControl/>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距声源不同距离处的声级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11" w:hRule="atLeast"/>
          <w:jc w:val="center"/>
        </w:trPr>
        <w:tc>
          <w:tcPr>
            <w:tcW w:w="252"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599"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635"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40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20m</w:t>
            </w:r>
          </w:p>
        </w:tc>
        <w:tc>
          <w:tcPr>
            <w:tcW w:w="4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40m</w:t>
            </w:r>
          </w:p>
        </w:tc>
        <w:tc>
          <w:tcPr>
            <w:tcW w:w="3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60m</w:t>
            </w:r>
          </w:p>
        </w:tc>
        <w:tc>
          <w:tcPr>
            <w:tcW w:w="40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80m</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100m</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200m</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300m</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500m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252" w:type="pct"/>
            <w:tcBorders>
              <w:top w:val="single" w:color="auto" w:sz="4" w:space="0"/>
              <w:bottom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1</w:t>
            </w:r>
          </w:p>
        </w:tc>
        <w:tc>
          <w:tcPr>
            <w:tcW w:w="599" w:type="pct"/>
            <w:tcBorders>
              <w:bottom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泥浆泵</w:t>
            </w:r>
          </w:p>
        </w:tc>
        <w:tc>
          <w:tcPr>
            <w:tcW w:w="635"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80</w:t>
            </w:r>
          </w:p>
        </w:tc>
        <w:tc>
          <w:tcPr>
            <w:tcW w:w="409"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57</w:t>
            </w:r>
          </w:p>
        </w:tc>
        <w:tc>
          <w:tcPr>
            <w:tcW w:w="435"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51</w:t>
            </w:r>
          </w:p>
        </w:tc>
        <w:tc>
          <w:tcPr>
            <w:tcW w:w="396"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47</w:t>
            </w:r>
          </w:p>
        </w:tc>
        <w:tc>
          <w:tcPr>
            <w:tcW w:w="402"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45</w:t>
            </w:r>
          </w:p>
        </w:tc>
        <w:tc>
          <w:tcPr>
            <w:tcW w:w="468"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43</w:t>
            </w:r>
          </w:p>
        </w:tc>
        <w:tc>
          <w:tcPr>
            <w:tcW w:w="468" w:type="pct"/>
            <w:vMerge w:val="restar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37</w:t>
            </w:r>
          </w:p>
        </w:tc>
        <w:tc>
          <w:tcPr>
            <w:tcW w:w="468" w:type="pct"/>
            <w:vMerge w:val="restar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c>
          <w:tcPr>
            <w:tcW w:w="468" w:type="pct"/>
            <w:vMerge w:val="restar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52" w:type="pct"/>
            <w:tcBorders>
              <w:top w:val="single" w:color="auto" w:sz="4" w:space="0"/>
              <w:bottom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w:t>
            </w:r>
          </w:p>
        </w:tc>
        <w:tc>
          <w:tcPr>
            <w:tcW w:w="599" w:type="pct"/>
            <w:tcBorders>
              <w:top w:val="single" w:color="auto" w:sz="4" w:space="0"/>
              <w:bottom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压裂泵</w:t>
            </w:r>
          </w:p>
        </w:tc>
        <w:tc>
          <w:tcPr>
            <w:tcW w:w="635"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409"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35"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396"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02"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shd w:val="clear" w:color="auto" w:fill="auto"/>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shd w:val="clear" w:color="auto" w:fill="auto"/>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 w:hRule="atLeast"/>
          <w:jc w:val="center"/>
        </w:trPr>
        <w:tc>
          <w:tcPr>
            <w:tcW w:w="252" w:type="pct"/>
            <w:tcBorders>
              <w:top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w:t>
            </w:r>
          </w:p>
        </w:tc>
        <w:tc>
          <w:tcPr>
            <w:tcW w:w="599" w:type="pct"/>
            <w:tcBorders>
              <w:top w:val="single" w:color="auto" w:sz="4" w:space="0"/>
            </w:tcBorders>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振动筛</w:t>
            </w:r>
          </w:p>
        </w:tc>
        <w:tc>
          <w:tcPr>
            <w:tcW w:w="635" w:type="pct"/>
            <w:vMerge w:val="continue"/>
            <w:vAlign w:val="center"/>
          </w:tcPr>
          <w:p>
            <w:pPr>
              <w:adjustRightInd w:val="0"/>
              <w:spacing w:line="240" w:lineRule="auto"/>
              <w:ind w:firstLine="0" w:firstLineChars="0"/>
              <w:jc w:val="center"/>
              <w:textAlignment w:val="baseline"/>
              <w:rPr>
                <w:rFonts w:ascii="Times New Roman" w:hAnsi="Times New Roman"/>
                <w:sz w:val="21"/>
                <w:szCs w:val="20"/>
              </w:rPr>
            </w:pPr>
          </w:p>
        </w:tc>
        <w:tc>
          <w:tcPr>
            <w:tcW w:w="409"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35"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396"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02"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shd w:val="clear" w:color="auto" w:fill="auto"/>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c>
          <w:tcPr>
            <w:tcW w:w="468" w:type="pct"/>
            <w:vMerge w:val="continue"/>
            <w:shd w:val="clear" w:color="auto" w:fill="auto"/>
            <w:vAlign w:val="center"/>
          </w:tcPr>
          <w:p>
            <w:pPr>
              <w:adjustRightInd w:val="0"/>
              <w:spacing w:line="240" w:lineRule="auto"/>
              <w:ind w:left="-91" w:leftChars="-38" w:firstLine="0" w:firstLineChars="0"/>
              <w:jc w:val="center"/>
              <w:textAlignment w:val="baseline"/>
              <w:rPr>
                <w:rFonts w:ascii="Times New Roman" w:hAnsi="Times New Roman"/>
                <w:sz w:val="21"/>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2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w:t>
            </w:r>
          </w:p>
        </w:tc>
        <w:tc>
          <w:tcPr>
            <w:tcW w:w="59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柴油发电机</w:t>
            </w:r>
          </w:p>
        </w:tc>
        <w:tc>
          <w:tcPr>
            <w:tcW w:w="6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75</w:t>
            </w:r>
          </w:p>
        </w:tc>
        <w:tc>
          <w:tcPr>
            <w:tcW w:w="40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49</w:t>
            </w:r>
          </w:p>
        </w:tc>
        <w:tc>
          <w:tcPr>
            <w:tcW w:w="4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43</w:t>
            </w:r>
          </w:p>
        </w:tc>
        <w:tc>
          <w:tcPr>
            <w:tcW w:w="3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39</w:t>
            </w:r>
          </w:p>
        </w:tc>
        <w:tc>
          <w:tcPr>
            <w:tcW w:w="40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5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w:t>
            </w:r>
          </w:p>
        </w:tc>
        <w:tc>
          <w:tcPr>
            <w:tcW w:w="59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火炬</w:t>
            </w:r>
          </w:p>
        </w:tc>
        <w:tc>
          <w:tcPr>
            <w:tcW w:w="6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85</w:t>
            </w:r>
          </w:p>
        </w:tc>
        <w:tc>
          <w:tcPr>
            <w:tcW w:w="40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59</w:t>
            </w:r>
          </w:p>
        </w:tc>
        <w:tc>
          <w:tcPr>
            <w:tcW w:w="435"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53</w:t>
            </w:r>
          </w:p>
        </w:tc>
        <w:tc>
          <w:tcPr>
            <w:tcW w:w="396"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49</w:t>
            </w:r>
          </w:p>
        </w:tc>
        <w:tc>
          <w:tcPr>
            <w:tcW w:w="40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47</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45</w:t>
            </w:r>
          </w:p>
        </w:tc>
        <w:tc>
          <w:tcPr>
            <w:tcW w:w="46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39</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35</w:t>
            </w:r>
          </w:p>
        </w:tc>
        <w:tc>
          <w:tcPr>
            <w:tcW w:w="468" w:type="pct"/>
            <w:shd w:val="clear" w:color="auto" w:fill="auto"/>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31</w:t>
            </w:r>
          </w:p>
        </w:tc>
      </w:tr>
    </w:tbl>
    <w:p>
      <w:pPr>
        <w:pStyle w:val="40"/>
        <w:spacing w:line="360" w:lineRule="auto"/>
        <w:ind w:firstLine="480"/>
      </w:pPr>
      <w:r>
        <w:t>（2）噪声预测模式</w:t>
      </w:r>
    </w:p>
    <w:p>
      <w:pPr>
        <w:pStyle w:val="40"/>
        <w:spacing w:line="360" w:lineRule="auto"/>
        <w:ind w:left="397" w:firstLine="496"/>
        <w:rPr>
          <w:spacing w:val="4"/>
        </w:rPr>
      </w:pPr>
      <w:r>
        <w:rPr>
          <w:spacing w:val="4"/>
        </w:rPr>
        <w:t>由于预测点距声源远远大于声源本身的尺寸，各噪声源设备辐射的噪声在户外传播可视为点声源。因此采用《环境影响评价技术导则声环境》（HJ2.4-2009）中推荐的工业噪声室外声源预测模式和多声源噪声叠加公式进行预测。</w:t>
      </w:r>
    </w:p>
    <w:p>
      <w:pPr>
        <w:pStyle w:val="40"/>
        <w:spacing w:line="360" w:lineRule="auto"/>
        <w:ind w:left="397" w:firstLine="496"/>
        <w:rPr>
          <w:spacing w:val="4"/>
        </w:rPr>
      </w:pPr>
      <w:r>
        <w:rPr>
          <w:spacing w:val="4"/>
        </w:rPr>
        <w:t>预测点等效声级贡献值计算公式如下：</w:t>
      </w:r>
    </w:p>
    <w:p>
      <w:pPr>
        <w:tabs>
          <w:tab w:val="left" w:pos="0"/>
        </w:tabs>
        <w:spacing w:line="460" w:lineRule="exact"/>
        <w:ind w:firstLine="2410" w:firstLineChars="972"/>
        <w:rPr>
          <w:rFonts w:ascii="Times New Roman" w:hAnsi="Times New Roman"/>
          <w:spacing w:val="4"/>
          <w:szCs w:val="24"/>
        </w:rPr>
      </w:pPr>
      <w:r>
        <w:rPr>
          <w:rFonts w:ascii="Times New Roman" w:hAnsi="Times New Roman"/>
          <w:spacing w:val="4"/>
        </w:rPr>
        <w:t>Lp（r）=Lp（r0）—（Adiv+Aatm+Abar+Agr+Amisc）</w:t>
      </w:r>
    </w:p>
    <w:p>
      <w:pPr>
        <w:tabs>
          <w:tab w:val="left" w:pos="0"/>
        </w:tabs>
        <w:spacing w:line="460" w:lineRule="exact"/>
        <w:ind w:firstLine="496"/>
        <w:rPr>
          <w:rFonts w:ascii="Times New Roman" w:hAnsi="Times New Roman"/>
          <w:i/>
          <w:spacing w:val="4"/>
          <w:vertAlign w:val="subscript"/>
        </w:rPr>
      </w:pPr>
      <w:r>
        <w:rPr>
          <w:rFonts w:ascii="Times New Roman" w:hAnsi="Times New Roman"/>
          <w:spacing w:val="4"/>
        </w:rPr>
        <w:t>本次噪声预测计算将从偏保守角度出发，仅考虑声波随距离的衰减</w:t>
      </w:r>
      <w:r>
        <w:rPr>
          <w:rFonts w:ascii="Times New Roman" w:hAnsi="Times New Roman"/>
          <w:i/>
          <w:spacing w:val="4"/>
        </w:rPr>
        <w:t>A</w:t>
      </w:r>
      <w:r>
        <w:rPr>
          <w:rFonts w:ascii="Times New Roman" w:hAnsi="Times New Roman"/>
          <w:i/>
          <w:spacing w:val="4"/>
          <w:vertAlign w:val="subscript"/>
        </w:rPr>
        <w:t>div</w:t>
      </w:r>
    </w:p>
    <w:p>
      <w:pPr>
        <w:tabs>
          <w:tab w:val="left" w:pos="0"/>
        </w:tabs>
        <w:spacing w:line="460" w:lineRule="exact"/>
        <w:ind w:firstLine="496"/>
        <w:rPr>
          <w:rFonts w:ascii="Times New Roman" w:hAnsi="Times New Roman"/>
          <w:spacing w:val="4"/>
        </w:rPr>
      </w:pPr>
      <w:r>
        <w:rPr>
          <w:rFonts w:ascii="Times New Roman" w:hAnsi="Times New Roman"/>
          <w:spacing w:val="4"/>
        </w:rPr>
        <w:t>对单个点声源的几何衰减用以下公式计算：</w:t>
      </w:r>
    </w:p>
    <w:p>
      <w:pPr>
        <w:tabs>
          <w:tab w:val="left" w:pos="0"/>
        </w:tabs>
        <w:spacing w:line="460" w:lineRule="exact"/>
        <w:ind w:firstLine="2410" w:firstLineChars="972"/>
        <w:rPr>
          <w:rFonts w:ascii="Times New Roman" w:hAnsi="Times New Roman"/>
          <w:spacing w:val="4"/>
        </w:rPr>
      </w:pPr>
      <w:r>
        <w:rPr>
          <w:rFonts w:ascii="Times New Roman" w:hAnsi="Times New Roman"/>
          <w:spacing w:val="4"/>
        </w:rPr>
        <w:t>L</w:t>
      </w:r>
      <w:r>
        <w:rPr>
          <w:rFonts w:ascii="Times New Roman" w:hAnsi="Times New Roman"/>
          <w:spacing w:val="4"/>
          <w:vertAlign w:val="subscript"/>
        </w:rPr>
        <w:t>p</w:t>
      </w:r>
      <w:r>
        <w:rPr>
          <w:rFonts w:ascii="Times New Roman" w:hAnsi="Times New Roman"/>
          <w:spacing w:val="4"/>
        </w:rPr>
        <w:t>（r）= L</w:t>
      </w:r>
      <w:r>
        <w:rPr>
          <w:rFonts w:ascii="Times New Roman" w:hAnsi="Times New Roman"/>
          <w:spacing w:val="4"/>
          <w:vertAlign w:val="subscript"/>
        </w:rPr>
        <w:t>p</w:t>
      </w:r>
      <w:r>
        <w:rPr>
          <w:rFonts w:ascii="Times New Roman" w:hAnsi="Times New Roman"/>
          <w:spacing w:val="4"/>
        </w:rPr>
        <w:t>（r</w:t>
      </w:r>
      <w:r>
        <w:rPr>
          <w:rFonts w:ascii="Times New Roman" w:hAnsi="Times New Roman"/>
          <w:spacing w:val="4"/>
          <w:vertAlign w:val="subscript"/>
        </w:rPr>
        <w:t>0</w:t>
      </w:r>
      <w:r>
        <w:rPr>
          <w:rFonts w:ascii="Times New Roman" w:hAnsi="Times New Roman"/>
          <w:spacing w:val="4"/>
        </w:rPr>
        <w:t>）-20lg(r/r</w:t>
      </w:r>
      <w:r>
        <w:rPr>
          <w:rFonts w:ascii="Times New Roman" w:hAnsi="Times New Roman"/>
          <w:spacing w:val="4"/>
          <w:vertAlign w:val="subscript"/>
        </w:rPr>
        <w:t>0</w:t>
      </w:r>
      <w:r>
        <w:rPr>
          <w:rFonts w:ascii="Times New Roman" w:hAnsi="Times New Roman"/>
          <w:spacing w:val="4"/>
        </w:rPr>
        <w:t>)</w:t>
      </w:r>
    </w:p>
    <w:p>
      <w:pPr>
        <w:tabs>
          <w:tab w:val="left" w:pos="0"/>
        </w:tabs>
        <w:spacing w:line="460" w:lineRule="exact"/>
        <w:ind w:firstLine="480"/>
        <w:rPr>
          <w:rFonts w:ascii="Times New Roman" w:hAnsi="Times New Roman"/>
          <w:spacing w:val="4"/>
        </w:rPr>
      </w:pPr>
      <w:r>
        <w:rPr>
          <w:rFonts w:ascii="Times New Roman" w:hAnsi="Times New Roman"/>
        </w:rPr>
        <w:drawing>
          <wp:anchor distT="0" distB="0" distL="114300" distR="114300" simplePos="0" relativeHeight="251659264" behindDoc="0" locked="0" layoutInCell="1" allowOverlap="1">
            <wp:simplePos x="0" y="0"/>
            <wp:positionH relativeFrom="column">
              <wp:posOffset>1527810</wp:posOffset>
            </wp:positionH>
            <wp:positionV relativeFrom="paragraph">
              <wp:posOffset>261620</wp:posOffset>
            </wp:positionV>
            <wp:extent cx="1219200" cy="418465"/>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219200" cy="418465"/>
                    </a:xfrm>
                    <a:prstGeom prst="rect">
                      <a:avLst/>
                    </a:prstGeom>
                    <a:noFill/>
                  </pic:spPr>
                </pic:pic>
              </a:graphicData>
            </a:graphic>
          </wp:anchor>
        </w:drawing>
      </w:r>
      <w:r>
        <w:rPr>
          <w:rFonts w:ascii="Times New Roman" w:hAnsi="Times New Roman"/>
          <w:spacing w:val="4"/>
        </w:rPr>
        <w:t>两个以上的多个噪声源同时存在时，总声级计算公式为：</w:t>
      </w:r>
    </w:p>
    <w:p>
      <w:pPr>
        <w:tabs>
          <w:tab w:val="left" w:pos="0"/>
        </w:tabs>
        <w:spacing w:line="460" w:lineRule="exact"/>
        <w:ind w:firstLine="496"/>
        <w:rPr>
          <w:rFonts w:ascii="Times New Roman" w:hAnsi="Times New Roman"/>
          <w:spacing w:val="4"/>
        </w:rPr>
      </w:pPr>
    </w:p>
    <w:p>
      <w:pPr>
        <w:tabs>
          <w:tab w:val="left" w:pos="0"/>
        </w:tabs>
        <w:spacing w:line="460" w:lineRule="exact"/>
        <w:ind w:firstLine="496"/>
        <w:rPr>
          <w:rFonts w:ascii="Times New Roman" w:hAnsi="Times New Roman"/>
          <w:spacing w:val="4"/>
        </w:rPr>
      </w:pPr>
      <w:r>
        <w:rPr>
          <w:rFonts w:ascii="Times New Roman" w:hAnsi="Times New Roman"/>
          <w:spacing w:val="4"/>
        </w:rPr>
        <w:t>现状监测值与预测贡献值叠加的预测总声级计算公式为：</w:t>
      </w:r>
    </w:p>
    <w:p>
      <w:pPr>
        <w:tabs>
          <w:tab w:val="left" w:pos="0"/>
        </w:tabs>
        <w:spacing w:line="460" w:lineRule="exact"/>
        <w:ind w:firstLine="480"/>
        <w:rPr>
          <w:rFonts w:ascii="Times New Roman" w:hAnsi="Times New Roman"/>
          <w:spacing w:val="4"/>
        </w:rPr>
      </w:pPr>
      <w:r>
        <w:rPr>
          <w:rFonts w:ascii="Times New Roman" w:hAnsi="Times New Roman"/>
        </w:rPr>
        <w:drawing>
          <wp:anchor distT="0" distB="0" distL="114300" distR="114300" simplePos="0" relativeHeight="251660288" behindDoc="0" locked="0" layoutInCell="1" allowOverlap="1">
            <wp:simplePos x="0" y="0"/>
            <wp:positionH relativeFrom="column">
              <wp:posOffset>1352550</wp:posOffset>
            </wp:positionH>
            <wp:positionV relativeFrom="paragraph">
              <wp:posOffset>45085</wp:posOffset>
            </wp:positionV>
            <wp:extent cx="1623060" cy="243205"/>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623060" cy="243205"/>
                    </a:xfrm>
                    <a:prstGeom prst="rect">
                      <a:avLst/>
                    </a:prstGeom>
                    <a:noFill/>
                  </pic:spPr>
                </pic:pic>
              </a:graphicData>
            </a:graphic>
          </wp:anchor>
        </w:drawing>
      </w:r>
    </w:p>
    <w:p>
      <w:pPr>
        <w:pStyle w:val="40"/>
        <w:spacing w:line="360" w:lineRule="auto"/>
        <w:ind w:left="397" w:firstLine="496"/>
        <w:rPr>
          <w:spacing w:val="4"/>
        </w:rPr>
      </w:pPr>
      <w:r>
        <w:rPr>
          <w:spacing w:val="4"/>
        </w:rPr>
        <w:t>以上式中：</w:t>
      </w:r>
    </w:p>
    <w:p>
      <w:pPr>
        <w:pStyle w:val="40"/>
        <w:spacing w:line="360" w:lineRule="auto"/>
        <w:ind w:left="397" w:firstLine="496"/>
        <w:rPr>
          <w:spacing w:val="4"/>
        </w:rPr>
      </w:pPr>
      <w:r>
        <w:rPr>
          <w:spacing w:val="4"/>
        </w:rPr>
        <w:t>r：预测点到声源的距离；</w:t>
      </w:r>
    </w:p>
    <w:p>
      <w:pPr>
        <w:pStyle w:val="40"/>
        <w:spacing w:line="360" w:lineRule="auto"/>
        <w:ind w:left="397" w:firstLine="496"/>
        <w:rPr>
          <w:spacing w:val="4"/>
        </w:rPr>
      </w:pPr>
      <w:r>
        <w:rPr>
          <w:spacing w:val="4"/>
        </w:rPr>
        <w:t>A</w:t>
      </w:r>
      <w:r>
        <w:rPr>
          <w:spacing w:val="4"/>
          <w:vertAlign w:val="subscript"/>
        </w:rPr>
        <w:t>div</w:t>
      </w:r>
      <w:r>
        <w:rPr>
          <w:spacing w:val="4"/>
        </w:rPr>
        <w:t>：距离衰减，dB；</w:t>
      </w:r>
    </w:p>
    <w:p>
      <w:pPr>
        <w:pStyle w:val="40"/>
        <w:spacing w:line="360" w:lineRule="auto"/>
        <w:ind w:left="397" w:firstLine="496"/>
        <w:rPr>
          <w:spacing w:val="4"/>
        </w:rPr>
      </w:pPr>
      <w:r>
        <w:rPr>
          <w:spacing w:val="4"/>
        </w:rPr>
        <w:t>A</w:t>
      </w:r>
      <w:r>
        <w:rPr>
          <w:spacing w:val="4"/>
          <w:vertAlign w:val="subscript"/>
        </w:rPr>
        <w:t>atm</w:t>
      </w:r>
      <w:r>
        <w:rPr>
          <w:spacing w:val="4"/>
        </w:rPr>
        <w:t>：空气吸收衰减，dB；</w:t>
      </w:r>
    </w:p>
    <w:p>
      <w:pPr>
        <w:pStyle w:val="40"/>
        <w:spacing w:line="360" w:lineRule="auto"/>
        <w:ind w:left="397" w:firstLine="496"/>
        <w:rPr>
          <w:spacing w:val="4"/>
        </w:rPr>
      </w:pPr>
      <w:r>
        <w:rPr>
          <w:spacing w:val="4"/>
        </w:rPr>
        <w:t>A</w:t>
      </w:r>
      <w:r>
        <w:rPr>
          <w:spacing w:val="4"/>
          <w:vertAlign w:val="subscript"/>
        </w:rPr>
        <w:t>bar</w:t>
      </w:r>
      <w:r>
        <w:rPr>
          <w:spacing w:val="4"/>
        </w:rPr>
        <w:t>：遮挡物衰减，dB；</w:t>
      </w:r>
    </w:p>
    <w:p>
      <w:pPr>
        <w:pStyle w:val="40"/>
        <w:spacing w:line="360" w:lineRule="auto"/>
        <w:ind w:left="397" w:firstLine="496"/>
        <w:rPr>
          <w:spacing w:val="4"/>
        </w:rPr>
      </w:pPr>
      <w:r>
        <w:rPr>
          <w:spacing w:val="4"/>
        </w:rPr>
        <w:t>A</w:t>
      </w:r>
      <w:r>
        <w:rPr>
          <w:spacing w:val="4"/>
          <w:vertAlign w:val="subscript"/>
        </w:rPr>
        <w:t>gr</w:t>
      </w:r>
      <w:r>
        <w:rPr>
          <w:spacing w:val="4"/>
        </w:rPr>
        <w:t xml:space="preserve">：地面效应，dB； </w:t>
      </w:r>
    </w:p>
    <w:p>
      <w:pPr>
        <w:pStyle w:val="40"/>
        <w:spacing w:line="360" w:lineRule="auto"/>
        <w:ind w:left="397" w:firstLine="496"/>
        <w:rPr>
          <w:spacing w:val="4"/>
        </w:rPr>
      </w:pPr>
      <w:r>
        <w:rPr>
          <w:spacing w:val="4"/>
        </w:rPr>
        <w:t>A</w:t>
      </w:r>
      <w:r>
        <w:rPr>
          <w:spacing w:val="4"/>
          <w:vertAlign w:val="subscript"/>
        </w:rPr>
        <w:t>misc</w:t>
      </w:r>
      <w:r>
        <w:rPr>
          <w:spacing w:val="4"/>
        </w:rPr>
        <w:t>：其他多方面效应，dB；</w:t>
      </w:r>
    </w:p>
    <w:p>
      <w:pPr>
        <w:pStyle w:val="40"/>
        <w:spacing w:line="360" w:lineRule="auto"/>
        <w:ind w:left="397" w:firstLine="496"/>
        <w:rPr>
          <w:spacing w:val="4"/>
        </w:rPr>
      </w:pPr>
      <w:r>
        <w:rPr>
          <w:spacing w:val="4"/>
        </w:rPr>
        <w:t>L（r）：声源衰减至r处的声压级，dB；</w:t>
      </w:r>
    </w:p>
    <w:p>
      <w:pPr>
        <w:pStyle w:val="40"/>
        <w:spacing w:line="360" w:lineRule="auto"/>
        <w:ind w:left="397" w:firstLine="496"/>
        <w:rPr>
          <w:spacing w:val="4"/>
        </w:rPr>
      </w:pPr>
      <w:r>
        <w:rPr>
          <w:spacing w:val="4"/>
        </w:rPr>
        <w:t>Lp（r</w:t>
      </w:r>
      <w:r>
        <w:rPr>
          <w:spacing w:val="4"/>
          <w:vertAlign w:val="subscript"/>
        </w:rPr>
        <w:t>0</w:t>
      </w:r>
      <w:r>
        <w:rPr>
          <w:spacing w:val="4"/>
        </w:rPr>
        <w:t>）：声源在参考距离r0处的声压级；</w:t>
      </w:r>
    </w:p>
    <w:p>
      <w:pPr>
        <w:pStyle w:val="40"/>
        <w:spacing w:line="360" w:lineRule="auto"/>
        <w:ind w:left="397" w:firstLine="496"/>
        <w:rPr>
          <w:spacing w:val="4"/>
        </w:rPr>
      </w:pPr>
      <w:r>
        <w:rPr>
          <w:spacing w:val="4"/>
        </w:rPr>
        <w:t>r</w:t>
      </w:r>
      <w:r>
        <w:rPr>
          <w:spacing w:val="4"/>
          <w:vertAlign w:val="subscript"/>
        </w:rPr>
        <w:t>0</w:t>
      </w:r>
      <w:r>
        <w:rPr>
          <w:spacing w:val="4"/>
        </w:rPr>
        <w:t>：预测参考距离，m；</w:t>
      </w:r>
    </w:p>
    <w:p>
      <w:pPr>
        <w:pStyle w:val="40"/>
        <w:spacing w:line="360" w:lineRule="auto"/>
        <w:ind w:left="397" w:firstLine="496"/>
        <w:rPr>
          <w:spacing w:val="4"/>
        </w:rPr>
      </w:pPr>
      <w:r>
        <w:rPr>
          <w:spacing w:val="4"/>
        </w:rPr>
        <w:t>L</w:t>
      </w:r>
      <w:r>
        <w:rPr>
          <w:spacing w:val="4"/>
          <w:vertAlign w:val="subscript"/>
        </w:rPr>
        <w:t>0</w:t>
      </w:r>
      <w:r>
        <w:rPr>
          <w:spacing w:val="4"/>
        </w:rPr>
        <w:t>：预测点的噪声现状值，dB。</w:t>
      </w:r>
    </w:p>
    <w:p>
      <w:pPr>
        <w:pStyle w:val="40"/>
        <w:spacing w:line="360" w:lineRule="auto"/>
        <w:ind w:left="397" w:firstLine="496"/>
      </w:pPr>
      <w:r>
        <w:rPr>
          <w:spacing w:val="4"/>
        </w:rPr>
        <w:t>本次噪声预测计算从偏保守出发，只考虑声波随距离的衰减</w:t>
      </w:r>
      <w:r>
        <w:rPr>
          <w:i/>
          <w:spacing w:val="4"/>
        </w:rPr>
        <w:t>A</w:t>
      </w:r>
      <w:r>
        <w:rPr>
          <w:i/>
          <w:spacing w:val="4"/>
          <w:vertAlign w:val="subscript"/>
        </w:rPr>
        <w:t>div</w:t>
      </w:r>
      <w:r>
        <w:rPr>
          <w:spacing w:val="4"/>
        </w:rPr>
        <w:t>，以保证实际效果优于预测结果。</w:t>
      </w:r>
    </w:p>
    <w:p>
      <w:pPr>
        <w:pStyle w:val="40"/>
        <w:spacing w:line="360" w:lineRule="auto"/>
        <w:ind w:firstLine="480"/>
      </w:pPr>
      <w:r>
        <w:t>（3）噪声预测结果</w:t>
      </w:r>
    </w:p>
    <w:p>
      <w:pPr>
        <w:ind w:firstLine="480"/>
      </w:pPr>
      <w:r>
        <w:rPr>
          <w:rFonts w:hint="eastAsia"/>
        </w:rPr>
        <w:t>井场</w:t>
      </w:r>
      <w:r>
        <w:t>周边最近村庄为</w:t>
      </w:r>
      <w:r>
        <w:rPr>
          <w:rFonts w:hint="eastAsia"/>
        </w:rPr>
        <w:t>LX-105井场北</w:t>
      </w:r>
      <w:r>
        <w:t>侧</w:t>
      </w:r>
      <w:r>
        <w:rPr>
          <w:rFonts w:hint="eastAsia"/>
        </w:rPr>
        <w:t>235</w:t>
      </w:r>
      <w:r>
        <w:t>m处的</w:t>
      </w:r>
      <w:r>
        <w:rPr>
          <w:rFonts w:hint="eastAsia"/>
        </w:rPr>
        <w:t>张家庄</w:t>
      </w:r>
      <w:r>
        <w:t>村，本次预测仅对</w:t>
      </w:r>
      <w:r>
        <w:rPr>
          <w:rFonts w:hint="eastAsia"/>
        </w:rPr>
        <w:t>张家庄村</w:t>
      </w:r>
      <w:r>
        <w:t>进行预测。</w:t>
      </w:r>
    </w:p>
    <w:p>
      <w:pPr>
        <w:tabs>
          <w:tab w:val="center" w:pos="4396"/>
        </w:tabs>
        <w:ind w:firstLine="480"/>
      </w:pPr>
      <w:r>
        <w:rPr>
          <w:rFonts w:ascii="宋体" w:hAnsi="宋体" w:cs="宋体"/>
        </w:rPr>
        <w:t>①</w:t>
      </w:r>
      <w:r>
        <w:t>钻井期声环境影响分析</w:t>
      </w:r>
      <w:r>
        <w:tab/>
      </w:r>
    </w:p>
    <w:p>
      <w:pPr>
        <w:ind w:firstLine="480"/>
        <w:rPr>
          <w:rFonts w:ascii="Times New Roman" w:hAnsi="Times New Roman"/>
        </w:rPr>
      </w:pPr>
      <w:r>
        <w:rPr>
          <w:rFonts w:ascii="Times New Roman" w:hAnsi="Times New Roman"/>
        </w:rPr>
        <w:t>钻井期昼间和夜间均作业，运转设备有泥浆泵、振动筛和柴油发电机，利用噪声衰减模式和噪声预测模式，噪声预测结果见表5.1-</w:t>
      </w:r>
      <w:r>
        <w:rPr>
          <w:rFonts w:hint="eastAsia" w:ascii="Times New Roman" w:hAnsi="Times New Roman"/>
        </w:rPr>
        <w:t>7</w:t>
      </w:r>
      <w:r>
        <w:rPr>
          <w:rFonts w:ascii="Times New Roman" w:hAnsi="Times New Roman"/>
        </w:rPr>
        <w:t>。</w:t>
      </w:r>
    </w:p>
    <w:p>
      <w:pPr>
        <w:pStyle w:val="40"/>
        <w:spacing w:line="500" w:lineRule="exact"/>
        <w:ind w:left="397" w:firstLine="200" w:firstLineChars="0"/>
        <w:jc w:val="center"/>
        <w:rPr>
          <w:b/>
          <w:sz w:val="21"/>
          <w:szCs w:val="21"/>
        </w:rPr>
      </w:pPr>
      <w:r>
        <w:rPr>
          <w:b/>
          <w:sz w:val="21"/>
          <w:szCs w:val="21"/>
        </w:rPr>
        <w:t>表5.1-</w:t>
      </w:r>
      <w:r>
        <w:rPr>
          <w:rFonts w:hint="eastAsia"/>
          <w:b/>
          <w:sz w:val="21"/>
          <w:szCs w:val="21"/>
        </w:rPr>
        <w:t>7</w:t>
      </w:r>
      <w:r>
        <w:rPr>
          <w:b/>
          <w:sz w:val="21"/>
          <w:szCs w:val="21"/>
        </w:rPr>
        <w:t xml:space="preserve"> 钻井期噪声影响预测单位：dB</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1005"/>
        <w:gridCol w:w="1754"/>
        <w:gridCol w:w="1754"/>
        <w:gridCol w:w="2255"/>
        <w:gridCol w:w="1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3"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项目</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背景值</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泥浆泵贡献值</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振动筛贡献值</w:t>
            </w:r>
          </w:p>
        </w:tc>
        <w:tc>
          <w:tcPr>
            <w:tcW w:w="132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柴油发电机贡献值</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3"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昼间</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46.</w:t>
            </w:r>
            <w:r>
              <w:rPr>
                <w:rFonts w:hint="eastAsia" w:ascii="Times New Roman" w:hAnsi="Times New Roman"/>
                <w:sz w:val="21"/>
                <w:szCs w:val="20"/>
              </w:rPr>
              <w:t>7</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33.2</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33.2</w:t>
            </w:r>
          </w:p>
        </w:tc>
        <w:tc>
          <w:tcPr>
            <w:tcW w:w="132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28.2</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47.</w:t>
            </w:r>
            <w:r>
              <w:rPr>
                <w:rFonts w:hint="eastAsia" w:ascii="Times New Roman" w:hAnsi="Times New Roman"/>
                <w:sz w:val="21"/>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3"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夜间</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42.</w:t>
            </w:r>
            <w:r>
              <w:rPr>
                <w:rFonts w:hint="eastAsia" w:ascii="Times New Roman" w:hAnsi="Times New Roman"/>
                <w:sz w:val="21"/>
                <w:szCs w:val="20"/>
              </w:rPr>
              <w:t>6</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33.2</w:t>
            </w:r>
          </w:p>
        </w:tc>
        <w:tc>
          <w:tcPr>
            <w:tcW w:w="1028"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33.2</w:t>
            </w:r>
          </w:p>
        </w:tc>
        <w:tc>
          <w:tcPr>
            <w:tcW w:w="1322"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28.2</w:t>
            </w:r>
          </w:p>
        </w:tc>
        <w:tc>
          <w:tcPr>
            <w:tcW w:w="589" w:type="pct"/>
            <w:vAlign w:val="center"/>
          </w:tcPr>
          <w:p>
            <w:pPr>
              <w:adjustRightInd w:val="0"/>
              <w:spacing w:line="240" w:lineRule="auto"/>
              <w:ind w:firstLine="0" w:firstLineChars="0"/>
              <w:jc w:val="center"/>
              <w:textAlignment w:val="baseline"/>
              <w:rPr>
                <w:rFonts w:ascii="Times New Roman" w:hAnsi="Times New Roman"/>
                <w:sz w:val="21"/>
                <w:szCs w:val="20"/>
              </w:rPr>
            </w:pPr>
            <w:r>
              <w:rPr>
                <w:rFonts w:ascii="Times New Roman" w:hAnsi="Times New Roman"/>
                <w:sz w:val="21"/>
                <w:szCs w:val="20"/>
              </w:rPr>
              <w:t>43.</w:t>
            </w:r>
            <w:r>
              <w:rPr>
                <w:rFonts w:hint="eastAsia" w:ascii="Times New Roman" w:hAnsi="Times New Roman"/>
                <w:sz w:val="21"/>
                <w:szCs w:val="20"/>
              </w:rPr>
              <w:t>6</w:t>
            </w:r>
          </w:p>
        </w:tc>
      </w:tr>
    </w:tbl>
    <w:p>
      <w:pPr>
        <w:spacing w:before="156" w:beforeLines="50" w:line="500" w:lineRule="exact"/>
        <w:ind w:firstLine="480"/>
        <w:rPr>
          <w:rFonts w:ascii="Times New Roman" w:hAnsi="Times New Roman"/>
        </w:rPr>
      </w:pPr>
      <w:r>
        <w:rPr>
          <w:rFonts w:ascii="Times New Roman" w:hAnsi="Times New Roman"/>
        </w:rPr>
        <w:t>钻井期张家庄村昼间噪声预测值为47.</w:t>
      </w:r>
      <w:r>
        <w:rPr>
          <w:rFonts w:hint="eastAsia" w:ascii="Times New Roman" w:hAnsi="Times New Roman"/>
        </w:rPr>
        <w:t>2</w:t>
      </w:r>
      <w:r>
        <w:rPr>
          <w:rFonts w:ascii="Times New Roman" w:hAnsi="Times New Roman"/>
        </w:rPr>
        <w:t>dB，夜间噪声预测值为43.</w:t>
      </w:r>
      <w:r>
        <w:rPr>
          <w:rFonts w:hint="eastAsia" w:ascii="Times New Roman" w:hAnsi="Times New Roman"/>
        </w:rPr>
        <w:t>6</w:t>
      </w:r>
      <w:r>
        <w:rPr>
          <w:rFonts w:ascii="Times New Roman" w:hAnsi="Times New Roman"/>
        </w:rPr>
        <w:t xml:space="preserve"> dB，满足《声环境质量标准》（GB3096-2008）中1类标准。</w:t>
      </w:r>
    </w:p>
    <w:p>
      <w:pPr>
        <w:ind w:firstLine="480"/>
      </w:pPr>
      <w:r>
        <w:rPr>
          <w:rFonts w:ascii="宋体" w:hAnsi="宋体" w:cs="宋体"/>
        </w:rPr>
        <w:t>②</w:t>
      </w:r>
      <w:r>
        <w:t>压裂期声环境影响分析</w:t>
      </w:r>
    </w:p>
    <w:p>
      <w:pPr>
        <w:ind w:firstLine="480"/>
        <w:rPr>
          <w:rFonts w:ascii="宋体" w:hAnsi="宋体" w:cs="宋体"/>
        </w:rPr>
      </w:pPr>
      <w:r>
        <w:rPr>
          <w:rFonts w:ascii="宋体" w:hAnsi="宋体" w:cs="宋体"/>
        </w:rPr>
        <w:t>压裂期仅昼间作业，运转设备有压裂泵和柴油发电机，利用噪声衰减模式和噪声预测模式，噪声预测结果见表5.1-</w:t>
      </w:r>
      <w:r>
        <w:rPr>
          <w:rFonts w:hint="eastAsia" w:ascii="宋体" w:hAnsi="宋体" w:cs="宋体"/>
        </w:rPr>
        <w:t>8</w:t>
      </w:r>
      <w:r>
        <w:rPr>
          <w:rFonts w:ascii="宋体" w:hAnsi="宋体" w:cs="宋体"/>
        </w:rPr>
        <w:t>。</w:t>
      </w:r>
    </w:p>
    <w:p>
      <w:pPr>
        <w:pStyle w:val="40"/>
        <w:spacing w:line="500" w:lineRule="exact"/>
        <w:ind w:left="397" w:firstLine="200" w:firstLineChars="0"/>
        <w:jc w:val="center"/>
        <w:rPr>
          <w:b/>
        </w:rPr>
      </w:pPr>
      <w:r>
        <w:rPr>
          <w:b/>
          <w:sz w:val="21"/>
          <w:szCs w:val="21"/>
        </w:rPr>
        <w:t>表5</w:t>
      </w:r>
      <w:r>
        <w:rPr>
          <w:rFonts w:hint="eastAsia"/>
          <w:b/>
          <w:sz w:val="21"/>
          <w:szCs w:val="21"/>
        </w:rPr>
        <w:t>.1</w:t>
      </w:r>
      <w:r>
        <w:rPr>
          <w:b/>
          <w:sz w:val="21"/>
          <w:szCs w:val="21"/>
        </w:rPr>
        <w:t>-</w:t>
      </w:r>
      <w:r>
        <w:rPr>
          <w:rFonts w:hint="eastAsia"/>
          <w:b/>
          <w:sz w:val="21"/>
          <w:szCs w:val="21"/>
        </w:rPr>
        <w:t>8</w:t>
      </w:r>
      <w:r>
        <w:rPr>
          <w:b/>
          <w:sz w:val="21"/>
          <w:szCs w:val="21"/>
        </w:rPr>
        <w:t xml:space="preserve"> 压裂期噪声影响预测单位：dB</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266"/>
        <w:gridCol w:w="2207"/>
        <w:gridCol w:w="2838"/>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项目</w:t>
            </w:r>
          </w:p>
        </w:tc>
        <w:tc>
          <w:tcPr>
            <w:tcW w:w="742"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背景值</w:t>
            </w:r>
          </w:p>
        </w:tc>
        <w:tc>
          <w:tcPr>
            <w:tcW w:w="1294"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压裂泵</w:t>
            </w:r>
          </w:p>
        </w:tc>
        <w:tc>
          <w:tcPr>
            <w:tcW w:w="1664"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柴油发电机贡献值</w:t>
            </w:r>
          </w:p>
        </w:tc>
        <w:tc>
          <w:tcPr>
            <w:tcW w:w="74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昼间</w:t>
            </w:r>
          </w:p>
        </w:tc>
        <w:tc>
          <w:tcPr>
            <w:tcW w:w="742" w:type="pct"/>
            <w:vAlign w:val="center"/>
          </w:tcPr>
          <w:p>
            <w:pPr>
              <w:adjustRightInd w:val="0"/>
              <w:spacing w:line="240" w:lineRule="auto"/>
              <w:ind w:firstLine="0" w:firstLineChars="0"/>
              <w:jc w:val="center"/>
              <w:textAlignment w:val="baseline"/>
              <w:rPr>
                <w:rFonts w:ascii="Times New Roman"/>
                <w:sz w:val="21"/>
                <w:szCs w:val="20"/>
              </w:rPr>
            </w:pPr>
            <w:r>
              <w:rPr>
                <w:rFonts w:hint="eastAsia" w:ascii="Times New Roman"/>
                <w:sz w:val="21"/>
                <w:szCs w:val="20"/>
              </w:rPr>
              <w:t>46.7</w:t>
            </w:r>
          </w:p>
        </w:tc>
        <w:tc>
          <w:tcPr>
            <w:tcW w:w="1294"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33.2</w:t>
            </w:r>
          </w:p>
        </w:tc>
        <w:tc>
          <w:tcPr>
            <w:tcW w:w="1664"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28.2</w:t>
            </w:r>
          </w:p>
        </w:tc>
        <w:tc>
          <w:tcPr>
            <w:tcW w:w="74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w:t>
            </w:r>
            <w:r>
              <w:rPr>
                <w:rFonts w:hint="eastAsia" w:ascii="Times New Roman"/>
                <w:sz w:val="21"/>
                <w:szCs w:val="20"/>
              </w:rPr>
              <w:t>7.0</w:t>
            </w:r>
          </w:p>
        </w:tc>
      </w:tr>
    </w:tbl>
    <w:p>
      <w:pPr>
        <w:spacing w:line="500" w:lineRule="exact"/>
        <w:ind w:firstLine="480"/>
        <w:rPr>
          <w:rFonts w:ascii="Times New Roman" w:hAnsi="Times New Roman"/>
        </w:rPr>
      </w:pPr>
      <w:r>
        <w:rPr>
          <w:rFonts w:ascii="Times New Roman"/>
        </w:rPr>
        <w:t>压裂期</w:t>
      </w:r>
      <w:r>
        <w:rPr>
          <w:rFonts w:hint="eastAsia" w:ascii="Times New Roman"/>
        </w:rPr>
        <w:t>张家庄村</w:t>
      </w:r>
      <w:r>
        <w:rPr>
          <w:rFonts w:ascii="Times New Roman"/>
        </w:rPr>
        <w:t>昼间噪声预测值为</w:t>
      </w:r>
      <w:r>
        <w:rPr>
          <w:rFonts w:ascii="Times New Roman" w:hAnsi="Times New Roman"/>
        </w:rPr>
        <w:t>4</w:t>
      </w:r>
      <w:r>
        <w:rPr>
          <w:rFonts w:hint="eastAsia" w:ascii="Times New Roman" w:hAnsi="Times New Roman"/>
        </w:rPr>
        <w:t>7.0</w:t>
      </w:r>
      <w:r>
        <w:rPr>
          <w:rFonts w:ascii="Times New Roman" w:hAnsi="Times New Roman"/>
        </w:rPr>
        <w:t>dB</w:t>
      </w:r>
      <w:r>
        <w:rPr>
          <w:rFonts w:ascii="Times New Roman"/>
        </w:rPr>
        <w:t>，满足《声环境质量标准》（</w:t>
      </w:r>
      <w:r>
        <w:rPr>
          <w:rFonts w:ascii="Times New Roman" w:hAnsi="Times New Roman"/>
        </w:rPr>
        <w:t>GB3096-2008</w:t>
      </w:r>
      <w:r>
        <w:rPr>
          <w:rFonts w:ascii="Times New Roman"/>
        </w:rPr>
        <w:t>）中</w:t>
      </w:r>
      <w:r>
        <w:rPr>
          <w:rFonts w:ascii="Times New Roman" w:hAnsi="Times New Roman"/>
        </w:rPr>
        <w:t>1</w:t>
      </w:r>
      <w:r>
        <w:rPr>
          <w:rFonts w:ascii="Times New Roman"/>
        </w:rPr>
        <w:t>类标准。</w:t>
      </w:r>
    </w:p>
    <w:p>
      <w:pPr>
        <w:ind w:firstLine="480"/>
        <w:rPr>
          <w:rFonts w:ascii="宋体" w:hAnsi="宋体" w:cs="宋体"/>
        </w:rPr>
      </w:pPr>
      <w:r>
        <w:rPr>
          <w:rFonts w:hint="eastAsia" w:ascii="宋体" w:hAnsi="宋体" w:cs="宋体"/>
        </w:rPr>
        <w:t>张家庄</w:t>
      </w:r>
      <w:r>
        <w:rPr>
          <w:rFonts w:ascii="宋体" w:hAnsi="宋体" w:cs="宋体"/>
        </w:rPr>
        <w:t>村是距离井</w:t>
      </w:r>
      <w:r>
        <w:rPr>
          <w:rFonts w:hint="eastAsia" w:ascii="宋体" w:hAnsi="宋体" w:cs="宋体"/>
        </w:rPr>
        <w:t>场</w:t>
      </w:r>
      <w:r>
        <w:rPr>
          <w:rFonts w:ascii="宋体" w:hAnsi="宋体" w:cs="宋体"/>
        </w:rPr>
        <w:t>最近的村庄，其他村庄距离井场距离均大于2</w:t>
      </w:r>
      <w:r>
        <w:rPr>
          <w:rFonts w:hint="eastAsia" w:ascii="宋体" w:hAnsi="宋体" w:cs="宋体"/>
        </w:rPr>
        <w:t>35</w:t>
      </w:r>
      <w:r>
        <w:rPr>
          <w:rFonts w:ascii="宋体" w:hAnsi="宋体" w:cs="宋体"/>
        </w:rPr>
        <w:t>m，通过类比分析，本项目25口井开发井建设期间对周边村庄噪声均能满足《声环境质量标准》（GB3096-2008）中</w:t>
      </w:r>
      <w:r>
        <w:rPr>
          <w:rFonts w:hint="eastAsia" w:ascii="宋体" w:hAnsi="宋体" w:cs="宋体"/>
        </w:rPr>
        <w:t>1</w:t>
      </w:r>
      <w:r>
        <w:rPr>
          <w:rFonts w:ascii="宋体" w:hAnsi="宋体" w:cs="宋体"/>
        </w:rPr>
        <w:t>类标准。因此，本项目建设期对周边声环境影响较小。</w:t>
      </w:r>
    </w:p>
    <w:p>
      <w:pPr>
        <w:ind w:firstLine="480"/>
        <w:rPr>
          <w:rFonts w:ascii="宋体" w:hAnsi="宋体" w:cs="宋体"/>
        </w:rPr>
      </w:pPr>
      <w:r>
        <w:rPr>
          <w:rFonts w:ascii="宋体" w:hAnsi="宋体" w:cs="宋体"/>
        </w:rPr>
        <w:t>③试气期噪声影响预测</w:t>
      </w:r>
    </w:p>
    <w:p>
      <w:pPr>
        <w:ind w:firstLine="480"/>
        <w:rPr>
          <w:rFonts w:ascii="宋体" w:hAnsi="宋体" w:cs="宋体"/>
        </w:rPr>
      </w:pPr>
      <w:r>
        <w:rPr>
          <w:rFonts w:ascii="宋体" w:hAnsi="宋体" w:cs="宋体"/>
        </w:rPr>
        <w:t>试气期噪声源主要为放空火炬，火炬使用时间只有20天。距离放空火炬最近村庄为LX-105井场北侧235m处的张家庄村。利用噪声衰减模式和噪声预测模式，噪声预测结果见表5</w:t>
      </w:r>
      <w:r>
        <w:rPr>
          <w:rFonts w:hint="eastAsia" w:ascii="宋体" w:hAnsi="宋体" w:cs="宋体"/>
        </w:rPr>
        <w:t>.1</w:t>
      </w:r>
      <w:r>
        <w:rPr>
          <w:rFonts w:ascii="宋体" w:hAnsi="宋体" w:cs="宋体"/>
        </w:rPr>
        <w:t>-</w:t>
      </w:r>
      <w:r>
        <w:rPr>
          <w:rFonts w:hint="eastAsia" w:ascii="宋体" w:hAnsi="宋体" w:cs="宋体"/>
        </w:rPr>
        <w:t>9</w:t>
      </w:r>
      <w:r>
        <w:rPr>
          <w:rFonts w:ascii="宋体" w:hAnsi="宋体" w:cs="宋体"/>
        </w:rPr>
        <w:t>。</w:t>
      </w:r>
    </w:p>
    <w:p>
      <w:pPr>
        <w:pStyle w:val="40"/>
        <w:spacing w:line="500" w:lineRule="exact"/>
        <w:ind w:left="397" w:firstLine="200" w:firstLineChars="0"/>
        <w:jc w:val="center"/>
        <w:rPr>
          <w:b/>
          <w:sz w:val="21"/>
          <w:szCs w:val="21"/>
        </w:rPr>
      </w:pPr>
      <w:r>
        <w:rPr>
          <w:b/>
          <w:sz w:val="21"/>
          <w:szCs w:val="21"/>
        </w:rPr>
        <w:t>表5</w:t>
      </w:r>
      <w:r>
        <w:rPr>
          <w:rFonts w:hint="eastAsia"/>
          <w:b/>
          <w:sz w:val="21"/>
          <w:szCs w:val="21"/>
        </w:rPr>
        <w:t>.1</w:t>
      </w:r>
      <w:r>
        <w:rPr>
          <w:b/>
          <w:sz w:val="21"/>
          <w:szCs w:val="21"/>
        </w:rPr>
        <w:t>-</w:t>
      </w:r>
      <w:r>
        <w:rPr>
          <w:rFonts w:hint="eastAsia"/>
          <w:b/>
          <w:sz w:val="21"/>
          <w:szCs w:val="21"/>
        </w:rPr>
        <w:t>9</w:t>
      </w:r>
      <w:r>
        <w:rPr>
          <w:b/>
          <w:sz w:val="21"/>
          <w:szCs w:val="21"/>
        </w:rPr>
        <w:t xml:space="preserve"> 井场噪声影响预测单位：dB（A）</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1897"/>
        <w:gridCol w:w="3308"/>
        <w:gridCol w:w="1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项目</w:t>
            </w:r>
          </w:p>
        </w:tc>
        <w:tc>
          <w:tcPr>
            <w:tcW w:w="1112"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背景值</w:t>
            </w:r>
          </w:p>
        </w:tc>
        <w:tc>
          <w:tcPr>
            <w:tcW w:w="193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火炬</w:t>
            </w:r>
          </w:p>
        </w:tc>
        <w:tc>
          <w:tcPr>
            <w:tcW w:w="111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昼间</w:t>
            </w:r>
          </w:p>
        </w:tc>
        <w:tc>
          <w:tcPr>
            <w:tcW w:w="1112"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46.7</w:t>
            </w:r>
          </w:p>
        </w:tc>
        <w:tc>
          <w:tcPr>
            <w:tcW w:w="193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37.6</w:t>
            </w:r>
          </w:p>
        </w:tc>
        <w:tc>
          <w:tcPr>
            <w:tcW w:w="111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夜间</w:t>
            </w:r>
          </w:p>
        </w:tc>
        <w:tc>
          <w:tcPr>
            <w:tcW w:w="1112"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42.6</w:t>
            </w:r>
          </w:p>
        </w:tc>
        <w:tc>
          <w:tcPr>
            <w:tcW w:w="1939"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37.</w:t>
            </w:r>
            <w:r>
              <w:rPr>
                <w:rFonts w:hint="eastAsia" w:ascii="Times New Roman"/>
                <w:sz w:val="21"/>
                <w:szCs w:val="20"/>
              </w:rPr>
              <w:t>6</w:t>
            </w:r>
          </w:p>
        </w:tc>
        <w:tc>
          <w:tcPr>
            <w:tcW w:w="1111" w:type="pct"/>
            <w:vAlign w:val="center"/>
          </w:tcPr>
          <w:p>
            <w:pPr>
              <w:adjustRightInd w:val="0"/>
              <w:spacing w:line="240" w:lineRule="auto"/>
              <w:ind w:firstLine="0" w:firstLineChars="0"/>
              <w:jc w:val="center"/>
              <w:textAlignment w:val="baseline"/>
              <w:rPr>
                <w:rFonts w:ascii="Times New Roman"/>
                <w:sz w:val="21"/>
                <w:szCs w:val="20"/>
              </w:rPr>
            </w:pPr>
            <w:r>
              <w:rPr>
                <w:rFonts w:ascii="Times New Roman"/>
                <w:sz w:val="21"/>
                <w:szCs w:val="20"/>
              </w:rPr>
              <w:t>43.7</w:t>
            </w:r>
          </w:p>
        </w:tc>
      </w:tr>
    </w:tbl>
    <w:p>
      <w:pPr>
        <w:spacing w:line="500" w:lineRule="exact"/>
        <w:ind w:firstLine="480"/>
        <w:rPr>
          <w:rFonts w:ascii="Times New Roman"/>
        </w:rPr>
      </w:pPr>
      <w:r>
        <w:rPr>
          <w:rFonts w:ascii="Times New Roman"/>
        </w:rPr>
        <w:t>张家庄村昼间噪声预测值为47.2dB，夜间噪声预测值为43.7 dB，满足《声环境质量标准》（GB3096-2008）中</w:t>
      </w:r>
      <w:r>
        <w:rPr>
          <w:rFonts w:hint="eastAsia" w:ascii="Times New Roman"/>
        </w:rPr>
        <w:t>1</w:t>
      </w:r>
      <w:r>
        <w:rPr>
          <w:rFonts w:ascii="Times New Roman"/>
        </w:rPr>
        <w:t>类标准。</w:t>
      </w:r>
    </w:p>
    <w:p>
      <w:pPr>
        <w:ind w:firstLine="0" w:firstLineChars="0"/>
        <w:outlineLvl w:val="2"/>
        <w:rPr>
          <w:rFonts w:ascii="Times New Roman" w:hAnsi="Times New Roman"/>
          <w:b/>
          <w:sz w:val="28"/>
          <w:szCs w:val="28"/>
        </w:rPr>
      </w:pPr>
      <w:bookmarkStart w:id="82" w:name="_Toc524624613"/>
      <w:r>
        <w:rPr>
          <w:rFonts w:hint="eastAsia" w:ascii="Times New Roman" w:hAnsi="Times New Roman"/>
          <w:b/>
          <w:sz w:val="28"/>
          <w:szCs w:val="28"/>
        </w:rPr>
        <w:t>5.1.4 建设期固体废物环境影响分析</w:t>
      </w:r>
      <w:bookmarkEnd w:id="82"/>
    </w:p>
    <w:p>
      <w:pPr>
        <w:ind w:firstLine="480"/>
        <w:rPr>
          <w:rFonts w:ascii="宋体" w:hAnsi="宋体" w:cs="宋体"/>
        </w:rPr>
      </w:pPr>
      <w:r>
        <w:rPr>
          <w:rFonts w:ascii="宋体" w:hAnsi="宋体" w:cs="宋体"/>
        </w:rPr>
        <w:t>建设期固体废物主要有钻前工程期间产生的土石方和钻井工程期间产生的废弃泥浆和岩屑、危险废物以及生活垃圾。</w:t>
      </w:r>
    </w:p>
    <w:p>
      <w:pPr>
        <w:ind w:firstLine="480"/>
        <w:rPr>
          <w:rFonts w:ascii="宋体" w:hAnsi="宋体" w:cs="宋体"/>
        </w:rPr>
      </w:pPr>
      <w:r>
        <w:rPr>
          <w:rFonts w:ascii="宋体" w:hAnsi="宋体" w:cs="宋体"/>
        </w:rPr>
        <w:t>（1）土石方</w:t>
      </w:r>
    </w:p>
    <w:p>
      <w:pPr>
        <w:ind w:firstLine="480"/>
        <w:rPr>
          <w:rFonts w:ascii="Times New Roman" w:hAnsi="Times New Roman"/>
        </w:rPr>
      </w:pPr>
      <w:r>
        <w:rPr>
          <w:rFonts w:ascii="Times New Roman"/>
        </w:rPr>
        <w:t>本项目建设期管线开挖土石方量为</w:t>
      </w:r>
      <w:r>
        <w:rPr>
          <w:rFonts w:hint="eastAsia" w:ascii="Times New Roman" w:hAnsi="Times New Roman"/>
        </w:rPr>
        <w:t>480</w:t>
      </w:r>
      <w:r>
        <w:rPr>
          <w:rFonts w:ascii="Times New Roman"/>
        </w:rPr>
        <w:t>万</w:t>
      </w:r>
      <w:r>
        <w:rPr>
          <w:rFonts w:ascii="Times New Roman" w:hAnsi="Times New Roman"/>
        </w:rPr>
        <w:t>m</w:t>
      </w:r>
      <w:r>
        <w:rPr>
          <w:rFonts w:ascii="Times New Roman" w:hAnsi="Times New Roman"/>
          <w:vertAlign w:val="superscript"/>
        </w:rPr>
        <w:t>3</w:t>
      </w:r>
      <w:r>
        <w:rPr>
          <w:rFonts w:ascii="Times New Roman"/>
        </w:rPr>
        <w:t>，待管线铺设好后全部回填，不产生弃土；开挖泥浆坑共产生土石方量为</w:t>
      </w:r>
      <w:r>
        <w:rPr>
          <w:rFonts w:hint="eastAsia" w:ascii="Times New Roman" w:hAnsi="Times New Roman"/>
        </w:rPr>
        <w:t>6000</w:t>
      </w:r>
      <w:r>
        <w:rPr>
          <w:rFonts w:ascii="Times New Roman" w:hAnsi="Times New Roman"/>
        </w:rPr>
        <w:t>m</w:t>
      </w:r>
      <w:r>
        <w:rPr>
          <w:rFonts w:ascii="Times New Roman" w:hAnsi="Times New Roman"/>
          <w:vertAlign w:val="superscript"/>
        </w:rPr>
        <w:t>3</w:t>
      </w:r>
      <w:r>
        <w:rPr>
          <w:rFonts w:ascii="Times New Roman"/>
        </w:rPr>
        <w:t>，其用于泥浆池周围构筑土坝建设和井场填方，剩余土石方堆存于表土堆场，表土堆场有相应的防止水土流失的措施，待完井后可用于泥浆池土方回填和井场土地复垦，对周围环境影响较小。</w:t>
      </w:r>
    </w:p>
    <w:p>
      <w:pPr>
        <w:ind w:firstLine="480"/>
        <w:rPr>
          <w:rFonts w:ascii="Times New Roman" w:hAnsi="Times New Roman"/>
        </w:rPr>
      </w:pPr>
      <w:r>
        <w:rPr>
          <w:rFonts w:ascii="Times New Roman"/>
        </w:rPr>
        <w:t>（</w:t>
      </w:r>
      <w:r>
        <w:rPr>
          <w:rFonts w:ascii="Times New Roman" w:hAnsi="Times New Roman"/>
        </w:rPr>
        <w:t>2</w:t>
      </w:r>
      <w:r>
        <w:rPr>
          <w:rFonts w:ascii="Times New Roman"/>
        </w:rPr>
        <w:t>）废弃泥浆和岩屑</w:t>
      </w:r>
    </w:p>
    <w:p>
      <w:pPr>
        <w:ind w:firstLine="480"/>
        <w:rPr>
          <w:rFonts w:ascii="Times New Roman" w:hAnsi="Times New Roman"/>
        </w:rPr>
      </w:pPr>
      <w:r>
        <w:rPr>
          <w:rFonts w:ascii="Times New Roman"/>
        </w:rPr>
        <w:t>废弃泥浆的主要成分为膨润土、烧碱和水，废弃泥浆和岩屑均属于一般废物。废弃泥浆和岩屑排入井场的泥浆池中，待完井后进行固化，然后在井场内就地填埋处理。根据调查，废弃泥浆和岩屑固化处理后，其中的污染物浓度大大降低，不会造成上覆土的污染，不会对环境产生影响。</w:t>
      </w:r>
    </w:p>
    <w:p>
      <w:pPr>
        <w:ind w:firstLine="480"/>
        <w:rPr>
          <w:rFonts w:ascii="Times New Roman" w:hAnsi="Times New Roman"/>
        </w:rPr>
      </w:pPr>
      <w:r>
        <w:rPr>
          <w:rFonts w:ascii="Times New Roman"/>
        </w:rPr>
        <w:t>（</w:t>
      </w:r>
      <w:r>
        <w:rPr>
          <w:rFonts w:ascii="Times New Roman" w:hAnsi="Times New Roman"/>
        </w:rPr>
        <w:t>3</w:t>
      </w:r>
      <w:r>
        <w:rPr>
          <w:rFonts w:ascii="Times New Roman"/>
        </w:rPr>
        <w:t>）生活垃圾</w:t>
      </w:r>
    </w:p>
    <w:p>
      <w:pPr>
        <w:ind w:firstLine="480"/>
        <w:rPr>
          <w:rFonts w:ascii="Times New Roman" w:hAnsi="Times New Roman"/>
        </w:rPr>
      </w:pPr>
      <w:r>
        <w:rPr>
          <w:rFonts w:ascii="Times New Roman"/>
        </w:rPr>
        <w:t>建设期生活垃圾暂存于防渗、防雨的垃圾桶中，定期由封闭式车辆运至当地政府指定的垃圾场统一处理，对周边外环境影响较小。</w:t>
      </w:r>
    </w:p>
    <w:p>
      <w:pPr>
        <w:ind w:firstLine="480"/>
        <w:rPr>
          <w:rFonts w:ascii="Times New Roman" w:hAnsi="Times New Roman"/>
        </w:rPr>
      </w:pPr>
      <w:r>
        <w:rPr>
          <w:rFonts w:ascii="Times New Roman"/>
        </w:rPr>
        <w:t>（</w:t>
      </w:r>
      <w:r>
        <w:rPr>
          <w:rFonts w:ascii="Times New Roman" w:hAnsi="Times New Roman"/>
        </w:rPr>
        <w:t>4</w:t>
      </w:r>
      <w:r>
        <w:rPr>
          <w:rFonts w:ascii="Times New Roman"/>
        </w:rPr>
        <w:t>）危险废物</w:t>
      </w:r>
    </w:p>
    <w:p>
      <w:pPr>
        <w:ind w:firstLine="480"/>
        <w:rPr>
          <w:rFonts w:ascii="Times New Roman" w:hAnsi="Times New Roman"/>
        </w:rPr>
      </w:pPr>
      <w:r>
        <w:rPr>
          <w:rFonts w:ascii="Times New Roman"/>
        </w:rPr>
        <w:t>按照《国家危险废物名录》，本项目产生的废矿物油和油棉纱属于危险废物（</w:t>
      </w:r>
      <w:r>
        <w:rPr>
          <w:rFonts w:ascii="Times New Roman" w:hAnsi="Times New Roman"/>
        </w:rPr>
        <w:t>HW08</w:t>
      </w:r>
      <w:r>
        <w:rPr>
          <w:rFonts w:ascii="Times New Roman"/>
        </w:rPr>
        <w:t>）。评价要求在每个井场内按照《危险废物贮存污染控制标准》（</w:t>
      </w:r>
      <w:r>
        <w:rPr>
          <w:rFonts w:ascii="Times New Roman" w:hAnsi="Times New Roman"/>
        </w:rPr>
        <w:t>GB18597-2001</w:t>
      </w:r>
      <w:r>
        <w:rPr>
          <w:rFonts w:ascii="Times New Roman"/>
        </w:rPr>
        <w:t>）的要求，在站内设专门区域放高密度聚乙烯塑料桶收集废油，区域设围堰、搭防雨篷、地面作防渗处理。废矿物油和油棉纱暂存应严格按照《危险废物贮存污染控制标准》（</w:t>
      </w:r>
      <w:r>
        <w:rPr>
          <w:rFonts w:ascii="Times New Roman" w:hAnsi="Times New Roman"/>
        </w:rPr>
        <w:t>GB18597-2001</w:t>
      </w:r>
      <w:r>
        <w:rPr>
          <w:rFonts w:ascii="Times New Roman"/>
        </w:rPr>
        <w:t>）和《危险废物收集、贮存、运输技术规范》（</w:t>
      </w:r>
      <w:r>
        <w:rPr>
          <w:rFonts w:ascii="Times New Roman" w:hAnsi="Times New Roman"/>
        </w:rPr>
        <w:t>HJ2025-2012</w:t>
      </w:r>
      <w:r>
        <w:rPr>
          <w:rFonts w:ascii="Times New Roman"/>
        </w:rPr>
        <w:t>）中的有关规定进行处置。待完井后统一由</w:t>
      </w:r>
      <w:r>
        <w:rPr>
          <w:rFonts w:hint="eastAsia" w:ascii="Times New Roman"/>
        </w:rPr>
        <w:t>广陵金隅水泥有限公司</w:t>
      </w:r>
      <w:r>
        <w:rPr>
          <w:rFonts w:ascii="Times New Roman"/>
        </w:rPr>
        <w:t>按照危废转运要求将危险废物</w:t>
      </w:r>
      <w:r>
        <w:rPr>
          <w:rFonts w:hint="eastAsia" w:ascii="Times New Roman"/>
        </w:rPr>
        <w:t>收集处置</w:t>
      </w:r>
    </w:p>
    <w:p>
      <w:pPr>
        <w:ind w:firstLine="480"/>
        <w:rPr>
          <w:rFonts w:ascii="Times New Roman" w:hAnsi="Times New Roman"/>
          <w:szCs w:val="24"/>
        </w:rPr>
      </w:pPr>
      <w:r>
        <w:rPr>
          <w:rFonts w:ascii="Times New Roman"/>
        </w:rPr>
        <w:t>采取以上措施后项目产生的固体废物均得到了合理处置，对周边环境影响较小。</w:t>
      </w:r>
    </w:p>
    <w:p>
      <w:pPr>
        <w:ind w:firstLine="0" w:firstLineChars="0"/>
        <w:outlineLvl w:val="2"/>
        <w:rPr>
          <w:rFonts w:ascii="Times New Roman" w:hAnsi="Times New Roman"/>
          <w:b/>
          <w:sz w:val="28"/>
          <w:szCs w:val="28"/>
        </w:rPr>
      </w:pPr>
      <w:bookmarkStart w:id="83" w:name="_Toc524624614"/>
      <w:r>
        <w:rPr>
          <w:rFonts w:hint="eastAsia" w:ascii="Times New Roman" w:hAnsi="Times New Roman"/>
          <w:b/>
          <w:sz w:val="28"/>
          <w:szCs w:val="28"/>
        </w:rPr>
        <w:t>5.1.5 建设期生态环境影响分析</w:t>
      </w:r>
      <w:bookmarkEnd w:id="83"/>
    </w:p>
    <w:p>
      <w:pPr>
        <w:ind w:firstLine="480"/>
        <w:rPr>
          <w:rFonts w:ascii="Times New Roman" w:hAnsi="Times New Roman"/>
          <w:szCs w:val="24"/>
        </w:rPr>
      </w:pPr>
      <w:r>
        <w:rPr>
          <w:rFonts w:hint="eastAsia" w:ascii="Times New Roman" w:hAnsi="Times New Roman"/>
          <w:szCs w:val="24"/>
        </w:rPr>
        <w:t>建设期对当地生态环境的破坏主要表现在钻井、场地挖填、地面建构筑物及输气管线、道路建设时对土地扰动作用，造成地貌的改变、植被的破坏、短期内使水土流失加剧，对局部生态环境有不利影响。</w:t>
      </w:r>
    </w:p>
    <w:p>
      <w:pPr>
        <w:ind w:firstLine="480"/>
        <w:rPr>
          <w:rFonts w:ascii="Times New Roman" w:hAnsi="Times New Roman"/>
          <w:szCs w:val="24"/>
        </w:rPr>
      </w:pPr>
      <w:r>
        <w:rPr>
          <w:rFonts w:hint="eastAsia" w:ascii="Times New Roman" w:hAnsi="Times New Roman"/>
          <w:szCs w:val="24"/>
        </w:rPr>
        <w:t>（1）土地利用影响分析</w:t>
      </w:r>
    </w:p>
    <w:p>
      <w:pPr>
        <w:ind w:firstLine="480"/>
        <w:rPr>
          <w:rFonts w:ascii="Times New Roman" w:hAnsi="Times New Roman"/>
          <w:szCs w:val="24"/>
        </w:rPr>
      </w:pPr>
      <w:r>
        <w:rPr>
          <w:rFonts w:hint="eastAsia" w:ascii="Times New Roman" w:hAnsi="Times New Roman"/>
          <w:szCs w:val="24"/>
        </w:rPr>
        <w:t>本项目井场和集气站占地以荒地为主，不占用基本农田等保护用地。临时占地在占用完毕后都可在较短时间内恢复。根据现场调查，项目的井场和集气站选址占地在当地现有土地利用类型中所占比例很小，不会导致区域土地利用格局的变化，对区域土地利用格局产生的影响甚微。</w:t>
      </w:r>
    </w:p>
    <w:p>
      <w:pPr>
        <w:ind w:firstLine="480"/>
        <w:rPr>
          <w:rFonts w:ascii="Times New Roman" w:hAnsi="Times New Roman"/>
          <w:szCs w:val="24"/>
        </w:rPr>
      </w:pPr>
      <w:r>
        <w:rPr>
          <w:rFonts w:hint="eastAsia" w:ascii="Times New Roman" w:hAnsi="Times New Roman"/>
          <w:szCs w:val="24"/>
        </w:rPr>
        <w:t>（2）土壤影响分析</w:t>
      </w:r>
    </w:p>
    <w:p>
      <w:pPr>
        <w:ind w:firstLine="480"/>
        <w:rPr>
          <w:szCs w:val="24"/>
        </w:rPr>
      </w:pPr>
      <w:r>
        <w:rPr>
          <w:rFonts w:hint="eastAsia"/>
          <w:szCs w:val="24"/>
        </w:rPr>
        <w:t>建设</w:t>
      </w:r>
      <w:r>
        <w:rPr>
          <w:szCs w:val="24"/>
        </w:rPr>
        <w:t>期工程对土壤的影响主要表现为对土壤理化性质和土壤肥力的影响</w:t>
      </w:r>
      <w:r>
        <w:rPr>
          <w:rFonts w:hint="eastAsia"/>
          <w:szCs w:val="24"/>
        </w:rPr>
        <w:t>两</w:t>
      </w:r>
      <w:r>
        <w:rPr>
          <w:szCs w:val="24"/>
        </w:rPr>
        <w:t>个方面。</w:t>
      </w:r>
    </w:p>
    <w:p>
      <w:pPr>
        <w:ind w:firstLine="480"/>
        <w:rPr>
          <w:szCs w:val="24"/>
        </w:rPr>
      </w:pPr>
      <w:r>
        <w:rPr>
          <w:szCs w:val="24"/>
        </w:rPr>
        <w:t>① 土壤理化性质影响</w:t>
      </w:r>
    </w:p>
    <w:p>
      <w:pPr>
        <w:ind w:firstLine="480"/>
        <w:rPr>
          <w:szCs w:val="24"/>
        </w:rPr>
      </w:pPr>
      <w:r>
        <w:rPr>
          <w:szCs w:val="24"/>
        </w:rPr>
        <w:t>施工过程中，土石方开挖、堆放、回填及材料堆放、人工践踏、机械设备碾压等活动对土壤理化性质影响较大。</w:t>
      </w:r>
    </w:p>
    <w:p>
      <w:pPr>
        <w:ind w:firstLine="480"/>
        <w:rPr>
          <w:szCs w:val="24"/>
        </w:rPr>
      </w:pPr>
      <w:r>
        <w:rPr>
          <w:szCs w:val="24"/>
        </w:rPr>
        <w:t>② 土壤肥力影响</w:t>
      </w:r>
    </w:p>
    <w:p>
      <w:pPr>
        <w:ind w:firstLine="480"/>
        <w:rPr>
          <w:szCs w:val="24"/>
        </w:rPr>
      </w:pPr>
      <w:r>
        <w:rPr>
          <w:szCs w:val="24"/>
        </w:rPr>
        <w:t>土壤中的有机质、氮、磷、钾等养分含量，均表现为表土层远高于心土层；施工期土石方的开挖与回填，将扰动甚至打乱原土体构型，使土壤肥力状况受到较大的影响。据资料统计，即使在实行分层堆放、分层回填措施下，土壤的有机质也将下降42.6～46.5%左右，氮下降27～50.6%，磷下降33.3～46.0%，钾下降26.3～32.5%，这表明即使对表层土实行分层堆放和分层覆土，工程开挖对土壤养分仍具有明显的影响。本项目区土地利用类型现状以荒草地为主。因此在土石方开挖、回填过程中，必须严格对表层土实行分层堆放和分层回填，尽量减小因工程开挖施工对土壤养分的影响。</w:t>
      </w:r>
    </w:p>
    <w:p>
      <w:pPr>
        <w:ind w:firstLine="480"/>
        <w:rPr>
          <w:rFonts w:ascii="Times New Roman" w:hAnsi="Times New Roman"/>
          <w:szCs w:val="24"/>
        </w:rPr>
      </w:pPr>
      <w:r>
        <w:rPr>
          <w:rFonts w:hint="eastAsia" w:ascii="Times New Roman" w:hAnsi="Times New Roman"/>
          <w:szCs w:val="24"/>
        </w:rPr>
        <w:t>对场地平整产生的剥离表层土在井场的临时土石方堆存点集中临时堆放，完井后用于场地复垦和泥浆池回填用土。剥离表层土临时堆场地设置截排水沟等严格的水保措施防止水土流失。通过井场内排水沟、地表硬化处理和泥浆池采取防渗处理，钻井废水和泥浆对土壤影响很小；井场地面采用碎石和混凝土敷设，有效保护占地原表层土壤。完井后，随着生态保护和临时占地植被恢复措施的进行，井场对土壤的影响将得到尽快恢复。</w:t>
      </w:r>
    </w:p>
    <w:p>
      <w:pPr>
        <w:ind w:firstLine="480"/>
        <w:rPr>
          <w:rFonts w:ascii="Times New Roman" w:hAnsi="Times New Roman"/>
          <w:szCs w:val="24"/>
        </w:rPr>
      </w:pPr>
      <w:r>
        <w:rPr>
          <w:rFonts w:hint="eastAsia" w:ascii="Times New Roman" w:hAnsi="Times New Roman"/>
          <w:szCs w:val="24"/>
        </w:rPr>
        <w:t>（3）植被影响分析</w:t>
      </w:r>
    </w:p>
    <w:p>
      <w:pPr>
        <w:ind w:firstLine="480"/>
        <w:rPr>
          <w:rFonts w:ascii="Times New Roman" w:hAnsi="Times New Roman"/>
          <w:szCs w:val="24"/>
        </w:rPr>
      </w:pPr>
      <w:r>
        <w:rPr>
          <w:rFonts w:hint="eastAsia" w:ascii="Times New Roman" w:hAnsi="Times New Roman"/>
          <w:szCs w:val="24"/>
        </w:rPr>
        <w:t>本项目占地无基本农田和天然林地，区域内未发现珍惜保护植物。井场占地以荒草地为主，主要植被为灌草木。建设期对植被的影响主要为对用地范围内原有植物的剥离、清理及占压。在井场施工过程中，土壤开挖区范围内植物的地上部分与根系均被清除，施工带的植被由于挖掘土石的堆放、人员的践踏、施工车辆和机具的碾压而受到不同程度的破坏，会造成植被地上部分破坏甚至死亡。</w:t>
      </w:r>
    </w:p>
    <w:p>
      <w:pPr>
        <w:ind w:firstLine="480"/>
        <w:rPr>
          <w:rFonts w:ascii="Times New Roman" w:hAnsi="Times New Roman"/>
          <w:szCs w:val="24"/>
        </w:rPr>
      </w:pPr>
      <w:r>
        <w:rPr>
          <w:rFonts w:hint="eastAsia" w:ascii="Times New Roman" w:hAnsi="Times New Roman"/>
          <w:szCs w:val="24"/>
        </w:rPr>
        <w:t>对植被的影响，因具体工程类型的不同而有所差异，其中集气站、井场等站场建设对植被的影响呈点状分布，而进场道路和采气管线影响则呈线状分布。从工程类别的影响来看，集气站、进站道路等永久占地原有植被全部遭到破坏，代之出现的是人工栽植的绿化植被；井场施工用地及井场道路用地在建设期间，原有植被也全部遭到破坏；管线施工用地和井场施工影响临时用地则大部分在1～3年内可得到恢复。</w:t>
      </w:r>
    </w:p>
    <w:p>
      <w:pPr>
        <w:ind w:firstLine="480"/>
        <w:rPr>
          <w:rFonts w:ascii="Times New Roman" w:hAnsi="Times New Roman"/>
          <w:szCs w:val="24"/>
        </w:rPr>
      </w:pPr>
      <w:r>
        <w:rPr>
          <w:rFonts w:hint="eastAsia" w:ascii="Times New Roman" w:hAnsi="Times New Roman"/>
          <w:szCs w:val="24"/>
        </w:rPr>
        <w:t>（4）动物影响分析</w:t>
      </w:r>
    </w:p>
    <w:p>
      <w:pPr>
        <w:ind w:firstLine="480"/>
        <w:rPr>
          <w:rFonts w:ascii="Times New Roman" w:hAnsi="Times New Roman"/>
          <w:szCs w:val="24"/>
        </w:rPr>
      </w:pPr>
      <w:r>
        <w:rPr>
          <w:rFonts w:hint="eastAsia" w:ascii="Times New Roman" w:hAnsi="Times New Roman"/>
          <w:szCs w:val="24"/>
        </w:rPr>
        <w:t>评价区野外动物种类为黄土丘陵沟壑区以及当地居民常见的种类。项目建设期对动物的影响主要是运输、施工噪声、人为活动以及井场火炬燃烧对该区常见的野兔、老鼠及麻雀等鸟类的栖息活动会产生一定的干扰，将使这些种类迁徒转移到临近其它未受干扰的区域，但由于各井场用地范围小，施工时间短，同时气井建成后，则会尽快部署开发工程充分利用煤成气资源，火炬燃烧时间不会太久，因此对野生动物的影响不大。</w:t>
      </w:r>
    </w:p>
    <w:p>
      <w:pPr>
        <w:ind w:firstLine="480"/>
        <w:rPr>
          <w:rFonts w:ascii="Times New Roman" w:hAnsi="Times New Roman"/>
          <w:szCs w:val="24"/>
        </w:rPr>
      </w:pPr>
      <w:r>
        <w:rPr>
          <w:rFonts w:hint="eastAsia" w:ascii="Times New Roman" w:hAnsi="Times New Roman"/>
          <w:szCs w:val="24"/>
        </w:rPr>
        <w:t>（5）水土流失影响分析</w:t>
      </w:r>
    </w:p>
    <w:p>
      <w:pPr>
        <w:ind w:firstLine="480"/>
        <w:rPr>
          <w:rFonts w:ascii="Times New Roman" w:hAnsi="Times New Roman"/>
          <w:szCs w:val="24"/>
        </w:rPr>
      </w:pPr>
      <w:r>
        <w:rPr>
          <w:rFonts w:hint="eastAsia" w:ascii="Times New Roman" w:hAnsi="Times New Roman"/>
          <w:szCs w:val="24"/>
        </w:rPr>
        <w:t>建设期由于需开挖土石方，将对地表进行剥离、挖掘和堆积，使原来的地表结构、土地利用类型、局部地貌发生变化。施工场地为自然地面和经过切坡、开挖后的地面，单位面积的悬浮物冲刷量和流失量较大。遇到雨天，因地表水流会带走泥沙，水土流失加剧。开挖土石方的临时堆放也会产生一定的水土流失。本项目开挖面积小，建设期段，土石方就近占地进行临时堆放，无转运丢弃，实际新增水土流失量小。本项目土石方最终可做到挖填平衡。土石方临时堆放场设置挡土墙，可有效减少水土流失。同时，应利用土工布或塑料膜遮盖或采用水泥砂浆抹面的方法来减少水土流失。完钻后用于回填泥浆池等池体，并作表层的覆土复植用，对临时堆放场地也进行复垦。</w:t>
      </w:r>
    </w:p>
    <w:p>
      <w:pPr>
        <w:ind w:firstLine="480"/>
        <w:rPr>
          <w:rFonts w:ascii="Times New Roman" w:hAnsi="Times New Roman"/>
          <w:szCs w:val="24"/>
        </w:rPr>
      </w:pPr>
      <w:r>
        <w:rPr>
          <w:rFonts w:hint="eastAsia" w:ascii="Times New Roman" w:hAnsi="Times New Roman"/>
          <w:szCs w:val="24"/>
        </w:rPr>
        <w:t>本项目由于建设期短，占地面积小，土石方可场内平衡，无外运量，工程实际新增的水土流失量小，在环境可接受范围内。</w:t>
      </w:r>
    </w:p>
    <w:p>
      <w:pPr>
        <w:ind w:firstLine="480"/>
        <w:rPr>
          <w:szCs w:val="24"/>
        </w:rPr>
      </w:pPr>
      <w:r>
        <w:rPr>
          <w:rFonts w:hint="eastAsia" w:ascii="Times New Roman" w:hAnsi="Times New Roman"/>
          <w:szCs w:val="24"/>
        </w:rPr>
        <w:t>（6）</w:t>
      </w:r>
      <w:r>
        <w:rPr>
          <w:szCs w:val="24"/>
        </w:rPr>
        <w:t>生态系统影响分析</w:t>
      </w:r>
    </w:p>
    <w:p>
      <w:pPr>
        <w:ind w:firstLine="480"/>
        <w:rPr>
          <w:rFonts w:ascii="Times New Roman" w:hAnsi="Times New Roman"/>
          <w:szCs w:val="24"/>
        </w:rPr>
      </w:pPr>
      <w:r>
        <w:rPr>
          <w:szCs w:val="24"/>
        </w:rPr>
        <w:t>本项目的实施将对草地生态系统、村镇生态系统的结构和功能产生一定影响，但井场用地分散，因此仅对局部生态系统的结构和功能产生临时性影响。从整个评价区来看，该工程不会减少生态系统的数量，不会改变评价区生态系统的完整性和稳定性。评价认为，采取必要的生态保护措施后，对评价区内的各生态系统影响较小</w:t>
      </w:r>
      <w:r>
        <w:rPr>
          <w:rFonts w:hint="eastAsia"/>
          <w:szCs w:val="24"/>
        </w:rPr>
        <w:t>。</w:t>
      </w:r>
    </w:p>
    <w:p>
      <w:pPr>
        <w:spacing w:before="156" w:beforeLines="50" w:after="156" w:afterLines="50"/>
        <w:ind w:firstLine="0" w:firstLineChars="0"/>
        <w:outlineLvl w:val="1"/>
        <w:rPr>
          <w:rFonts w:ascii="Times New Roman" w:hAnsi="Times New Roman"/>
          <w:b/>
          <w:sz w:val="30"/>
          <w:szCs w:val="30"/>
        </w:rPr>
      </w:pPr>
      <w:bookmarkStart w:id="84" w:name="_Toc524624615"/>
      <w:r>
        <w:rPr>
          <w:rFonts w:hint="eastAsia" w:ascii="Times New Roman" w:hAnsi="Times New Roman"/>
          <w:b/>
          <w:sz w:val="30"/>
          <w:szCs w:val="30"/>
        </w:rPr>
        <w:t>5.2 运营期环境影响分析</w:t>
      </w:r>
      <w:bookmarkEnd w:id="84"/>
    </w:p>
    <w:p>
      <w:pPr>
        <w:ind w:firstLine="0" w:firstLineChars="0"/>
        <w:outlineLvl w:val="2"/>
        <w:rPr>
          <w:rFonts w:ascii="Times New Roman" w:hAnsi="Times New Roman"/>
          <w:b/>
          <w:sz w:val="28"/>
          <w:szCs w:val="28"/>
        </w:rPr>
      </w:pPr>
      <w:bookmarkStart w:id="85" w:name="_Toc524624616"/>
      <w:r>
        <w:rPr>
          <w:rFonts w:hint="eastAsia" w:ascii="Times New Roman" w:hAnsi="Times New Roman"/>
          <w:b/>
          <w:sz w:val="28"/>
          <w:szCs w:val="28"/>
        </w:rPr>
        <w:t>5.2.1 运营期大气环境影响分析</w:t>
      </w:r>
      <w:bookmarkEnd w:id="85"/>
    </w:p>
    <w:p>
      <w:pPr>
        <w:ind w:firstLine="0" w:firstLineChars="0"/>
        <w:rPr>
          <w:rFonts w:ascii="Times New Roman" w:hAnsi="Times New Roman"/>
          <w:b/>
          <w:szCs w:val="24"/>
        </w:rPr>
      </w:pPr>
      <w:r>
        <w:rPr>
          <w:rFonts w:hint="eastAsia" w:ascii="Times New Roman" w:hAnsi="Times New Roman"/>
          <w:b/>
          <w:szCs w:val="24"/>
        </w:rPr>
        <w:t>5.2.1.1 燃气锅炉对环境空气的影响</w:t>
      </w:r>
    </w:p>
    <w:p>
      <w:pPr>
        <w:ind w:firstLine="480"/>
        <w:rPr>
          <w:rFonts w:ascii="Times New Roman" w:hAnsi="Times New Roman"/>
          <w:szCs w:val="24"/>
        </w:rPr>
      </w:pPr>
      <w:r>
        <w:rPr>
          <w:rFonts w:hint="eastAsia" w:ascii="Times New Roman" w:hAnsi="Times New Roman"/>
          <w:szCs w:val="24"/>
        </w:rPr>
        <w:t>（1）污染源参数</w:t>
      </w:r>
    </w:p>
    <w:p>
      <w:pPr>
        <w:ind w:firstLine="480"/>
        <w:rPr>
          <w:rFonts w:ascii="Times New Roman" w:hAnsi="Times New Roman"/>
          <w:szCs w:val="24"/>
        </w:rPr>
      </w:pPr>
      <w:r>
        <w:rPr>
          <w:rFonts w:hint="eastAsia" w:ascii="Times New Roman" w:hAnsi="Times New Roman"/>
          <w:szCs w:val="24"/>
        </w:rPr>
        <w:t>本项目LX-103井场净化处理站和LX104井场蒸发处理站各设2台</w:t>
      </w:r>
      <w:r>
        <w:rPr>
          <w:rFonts w:ascii="Times New Roman" w:hAnsi="Times New Roman"/>
          <w:szCs w:val="24"/>
        </w:rPr>
        <w:t>50万大卡/时</w:t>
      </w:r>
      <w:r>
        <w:rPr>
          <w:rFonts w:hint="eastAsia" w:ascii="Times New Roman" w:hAnsi="Times New Roman"/>
          <w:szCs w:val="24"/>
        </w:rPr>
        <w:t>供热燃气锅炉（1开1备）；办公生活区设2台CWNS0.7-85/60-Q燃气锅炉（1开1备），废气主要为NOx，其排放参数详见表5.2-1。</w:t>
      </w:r>
    </w:p>
    <w:p>
      <w:pPr>
        <w:spacing w:line="240" w:lineRule="auto"/>
        <w:ind w:firstLine="0" w:firstLineChars="0"/>
        <w:jc w:val="center"/>
        <w:rPr>
          <w:rFonts w:ascii="Times New Roman" w:hAnsi="Times New Roman"/>
          <w:b/>
          <w:sz w:val="21"/>
        </w:rPr>
      </w:pPr>
      <w:r>
        <w:rPr>
          <w:rFonts w:hint="eastAsia" w:ascii="Times New Roman" w:hAnsi="Times New Roman"/>
          <w:b/>
          <w:sz w:val="21"/>
        </w:rPr>
        <w:t>表5.2-1 燃气锅炉点源参数调查清单</w:t>
      </w:r>
    </w:p>
    <w:tbl>
      <w:tblPr>
        <w:tblStyle w:val="18"/>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59"/>
        <w:gridCol w:w="1276"/>
        <w:gridCol w:w="1162"/>
        <w:gridCol w:w="633"/>
        <w:gridCol w:w="503"/>
        <w:gridCol w:w="621"/>
        <w:gridCol w:w="761"/>
        <w:gridCol w:w="633"/>
        <w:gridCol w:w="633"/>
        <w:gridCol w:w="635"/>
        <w:gridCol w:w="81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60" w:hRule="atLeast"/>
          <w:jc w:val="center"/>
        </w:trPr>
        <w:tc>
          <w:tcPr>
            <w:tcW w:w="504"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名称</w:t>
            </w:r>
          </w:p>
        </w:tc>
        <w:tc>
          <w:tcPr>
            <w:tcW w:w="748"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X</w:t>
            </w:r>
          </w:p>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坐标</w:t>
            </w:r>
          </w:p>
        </w:tc>
        <w:tc>
          <w:tcPr>
            <w:tcW w:w="681"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Y</w:t>
            </w:r>
          </w:p>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坐标</w:t>
            </w:r>
          </w:p>
        </w:tc>
        <w:tc>
          <w:tcPr>
            <w:tcW w:w="371"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排气筒底部拔</w:t>
            </w:r>
          </w:p>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高度</w:t>
            </w:r>
          </w:p>
        </w:tc>
        <w:tc>
          <w:tcPr>
            <w:tcW w:w="295"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排气筒高度</w:t>
            </w:r>
          </w:p>
        </w:tc>
        <w:tc>
          <w:tcPr>
            <w:tcW w:w="364"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排气筒内径</w:t>
            </w:r>
          </w:p>
        </w:tc>
        <w:tc>
          <w:tcPr>
            <w:tcW w:w="446"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烟气出口速度</w:t>
            </w:r>
          </w:p>
        </w:tc>
        <w:tc>
          <w:tcPr>
            <w:tcW w:w="371"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烟气出口温度</w:t>
            </w:r>
          </w:p>
        </w:tc>
        <w:tc>
          <w:tcPr>
            <w:tcW w:w="371"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年排放小时数</w:t>
            </w:r>
          </w:p>
        </w:tc>
        <w:tc>
          <w:tcPr>
            <w:tcW w:w="372" w:type="pct"/>
            <w:vMerge w:val="restar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排放</w:t>
            </w:r>
          </w:p>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工况</w:t>
            </w:r>
          </w:p>
        </w:tc>
        <w:tc>
          <w:tcPr>
            <w:tcW w:w="476" w:type="pct"/>
            <w:tcBorders>
              <w:bottom w:val="single" w:color="auto" w:sz="4" w:space="0"/>
            </w:tcBorders>
            <w:vAlign w:val="center"/>
          </w:tcPr>
          <w:p>
            <w:pPr>
              <w:snapToGrid w:val="0"/>
              <w:spacing w:line="240" w:lineRule="auto"/>
              <w:ind w:firstLine="0" w:firstLineChars="0"/>
              <w:jc w:val="center"/>
              <w:rPr>
                <w:rFonts w:ascii="Times New Roman" w:hAnsi="宋体"/>
                <w:sz w:val="18"/>
                <w:szCs w:val="18"/>
              </w:rPr>
            </w:pPr>
            <w:r>
              <w:rPr>
                <w:rFonts w:ascii="Times New Roman" w:hAnsi="宋体"/>
                <w:sz w:val="18"/>
                <w:szCs w:val="18"/>
              </w:rPr>
              <w:t>评价</w:t>
            </w:r>
            <w:r>
              <w:rPr>
                <w:rFonts w:hint="eastAsia" w:ascii="Times New Roman" w:hAnsi="宋体"/>
                <w:sz w:val="18"/>
                <w:szCs w:val="18"/>
              </w:rPr>
              <w:t>因子源强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5" w:hRule="atLeast"/>
          <w:jc w:val="center"/>
        </w:trPr>
        <w:tc>
          <w:tcPr>
            <w:tcW w:w="504" w:type="pct"/>
            <w:vMerge w:val="continue"/>
            <w:vAlign w:val="center"/>
          </w:tcPr>
          <w:p>
            <w:pPr>
              <w:snapToGrid w:val="0"/>
              <w:spacing w:line="240" w:lineRule="auto"/>
              <w:ind w:firstLine="0" w:firstLineChars="0"/>
              <w:jc w:val="center"/>
              <w:rPr>
                <w:rFonts w:ascii="Times New Roman" w:hAnsi="宋体"/>
                <w:sz w:val="18"/>
                <w:szCs w:val="18"/>
              </w:rPr>
            </w:pPr>
          </w:p>
        </w:tc>
        <w:tc>
          <w:tcPr>
            <w:tcW w:w="748" w:type="pct"/>
            <w:vMerge w:val="continue"/>
            <w:vAlign w:val="center"/>
          </w:tcPr>
          <w:p>
            <w:pPr>
              <w:snapToGrid w:val="0"/>
              <w:spacing w:line="240" w:lineRule="auto"/>
              <w:ind w:firstLine="0" w:firstLineChars="0"/>
              <w:jc w:val="center"/>
              <w:rPr>
                <w:rFonts w:ascii="Times New Roman" w:hAnsi="Times New Roman"/>
                <w:sz w:val="18"/>
                <w:szCs w:val="18"/>
              </w:rPr>
            </w:pPr>
          </w:p>
        </w:tc>
        <w:tc>
          <w:tcPr>
            <w:tcW w:w="681" w:type="pct"/>
            <w:vMerge w:val="continue"/>
            <w:vAlign w:val="center"/>
          </w:tcPr>
          <w:p>
            <w:pPr>
              <w:snapToGrid w:val="0"/>
              <w:spacing w:line="240" w:lineRule="auto"/>
              <w:ind w:firstLine="0" w:firstLineChars="0"/>
              <w:jc w:val="center"/>
              <w:rPr>
                <w:rFonts w:ascii="Times New Roman" w:hAnsi="Times New Roman"/>
                <w:sz w:val="18"/>
                <w:szCs w:val="18"/>
              </w:rPr>
            </w:pPr>
          </w:p>
        </w:tc>
        <w:tc>
          <w:tcPr>
            <w:tcW w:w="371" w:type="pct"/>
            <w:vMerge w:val="continue"/>
            <w:vAlign w:val="center"/>
          </w:tcPr>
          <w:p>
            <w:pPr>
              <w:snapToGrid w:val="0"/>
              <w:spacing w:line="240" w:lineRule="auto"/>
              <w:ind w:firstLine="0" w:firstLineChars="0"/>
              <w:jc w:val="center"/>
              <w:rPr>
                <w:rFonts w:ascii="Times New Roman" w:hAnsi="宋体"/>
                <w:sz w:val="18"/>
                <w:szCs w:val="18"/>
              </w:rPr>
            </w:pPr>
          </w:p>
        </w:tc>
        <w:tc>
          <w:tcPr>
            <w:tcW w:w="295" w:type="pct"/>
            <w:vMerge w:val="continue"/>
            <w:vAlign w:val="center"/>
          </w:tcPr>
          <w:p>
            <w:pPr>
              <w:snapToGrid w:val="0"/>
              <w:spacing w:line="240" w:lineRule="auto"/>
              <w:ind w:firstLine="0" w:firstLineChars="0"/>
              <w:jc w:val="center"/>
              <w:rPr>
                <w:rFonts w:ascii="Times New Roman" w:hAnsi="宋体"/>
                <w:sz w:val="18"/>
                <w:szCs w:val="18"/>
              </w:rPr>
            </w:pPr>
          </w:p>
        </w:tc>
        <w:tc>
          <w:tcPr>
            <w:tcW w:w="364" w:type="pct"/>
            <w:vMerge w:val="continue"/>
            <w:vAlign w:val="center"/>
          </w:tcPr>
          <w:p>
            <w:pPr>
              <w:snapToGrid w:val="0"/>
              <w:spacing w:line="240" w:lineRule="auto"/>
              <w:ind w:firstLine="0" w:firstLineChars="0"/>
              <w:jc w:val="center"/>
              <w:rPr>
                <w:rFonts w:ascii="Times New Roman" w:hAnsi="宋体"/>
                <w:sz w:val="18"/>
                <w:szCs w:val="18"/>
              </w:rPr>
            </w:pPr>
          </w:p>
        </w:tc>
        <w:tc>
          <w:tcPr>
            <w:tcW w:w="446" w:type="pct"/>
            <w:vMerge w:val="continue"/>
            <w:vAlign w:val="center"/>
          </w:tcPr>
          <w:p>
            <w:pPr>
              <w:snapToGrid w:val="0"/>
              <w:spacing w:line="240" w:lineRule="auto"/>
              <w:ind w:firstLine="0" w:firstLineChars="0"/>
              <w:jc w:val="center"/>
              <w:rPr>
                <w:rFonts w:ascii="Times New Roman" w:hAnsi="宋体"/>
                <w:sz w:val="18"/>
                <w:szCs w:val="18"/>
              </w:rPr>
            </w:pPr>
          </w:p>
        </w:tc>
        <w:tc>
          <w:tcPr>
            <w:tcW w:w="371" w:type="pct"/>
            <w:vMerge w:val="continue"/>
            <w:vAlign w:val="center"/>
          </w:tcPr>
          <w:p>
            <w:pPr>
              <w:snapToGrid w:val="0"/>
              <w:spacing w:line="240" w:lineRule="auto"/>
              <w:ind w:firstLine="0" w:firstLineChars="0"/>
              <w:jc w:val="center"/>
              <w:rPr>
                <w:rFonts w:ascii="Times New Roman" w:hAnsi="宋体"/>
                <w:sz w:val="18"/>
                <w:szCs w:val="18"/>
              </w:rPr>
            </w:pPr>
          </w:p>
        </w:tc>
        <w:tc>
          <w:tcPr>
            <w:tcW w:w="371" w:type="pct"/>
            <w:vMerge w:val="continue"/>
            <w:vAlign w:val="center"/>
          </w:tcPr>
          <w:p>
            <w:pPr>
              <w:snapToGrid w:val="0"/>
              <w:spacing w:line="240" w:lineRule="auto"/>
              <w:ind w:firstLine="0" w:firstLineChars="0"/>
              <w:jc w:val="center"/>
              <w:rPr>
                <w:rFonts w:ascii="Times New Roman" w:hAnsi="宋体"/>
                <w:sz w:val="18"/>
                <w:szCs w:val="18"/>
              </w:rPr>
            </w:pPr>
          </w:p>
        </w:tc>
        <w:tc>
          <w:tcPr>
            <w:tcW w:w="372" w:type="pct"/>
            <w:vMerge w:val="continue"/>
            <w:vAlign w:val="center"/>
          </w:tcPr>
          <w:p>
            <w:pPr>
              <w:snapToGrid w:val="0"/>
              <w:spacing w:line="240" w:lineRule="auto"/>
              <w:ind w:firstLine="0" w:firstLineChars="0"/>
              <w:jc w:val="center"/>
              <w:rPr>
                <w:rFonts w:ascii="Times New Roman" w:hAnsi="宋体"/>
                <w:sz w:val="18"/>
                <w:szCs w:val="18"/>
              </w:rPr>
            </w:pPr>
          </w:p>
        </w:tc>
        <w:tc>
          <w:tcPr>
            <w:tcW w:w="476" w:type="pct"/>
            <w:tcBorders>
              <w:top w:val="single" w:color="auto" w:sz="4" w:space="0"/>
            </w:tcBorders>
            <w:vAlign w:val="center"/>
          </w:tcPr>
          <w:p>
            <w:pPr>
              <w:snapToGrid w:val="0"/>
              <w:spacing w:line="240" w:lineRule="auto"/>
              <w:ind w:firstLine="0" w:firstLineChars="0"/>
              <w:jc w:val="center"/>
              <w:rPr>
                <w:rFonts w:ascii="Times New Roman" w:hAnsi="宋体"/>
                <w:sz w:val="18"/>
                <w:szCs w:val="18"/>
              </w:rPr>
            </w:pPr>
            <w:r>
              <w:rPr>
                <w:rFonts w:hint="eastAsia" w:ascii="Times New Roman" w:hAnsi="Times New Roman"/>
                <w:sz w:val="18"/>
                <w:szCs w:val="18"/>
              </w:rPr>
              <w:t>NO</w:t>
            </w:r>
            <w:r>
              <w:rPr>
                <w:rFonts w:hint="eastAsia" w:ascii="Times New Roman" w:hAnsi="Times New Roman"/>
                <w:sz w:val="18"/>
                <w:szCs w:val="18"/>
                <w:vertAlign w:val="subscript"/>
              </w:rPr>
              <w:t>x</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04" w:type="pc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单位</w:t>
            </w:r>
          </w:p>
        </w:tc>
        <w:tc>
          <w:tcPr>
            <w:tcW w:w="748"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m</w:t>
            </w:r>
          </w:p>
        </w:tc>
        <w:tc>
          <w:tcPr>
            <w:tcW w:w="681"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m</w:t>
            </w:r>
          </w:p>
        </w:tc>
        <w:tc>
          <w:tcPr>
            <w:tcW w:w="371"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m</w:t>
            </w:r>
          </w:p>
        </w:tc>
        <w:tc>
          <w:tcPr>
            <w:tcW w:w="295"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m</w:t>
            </w:r>
          </w:p>
        </w:tc>
        <w:tc>
          <w:tcPr>
            <w:tcW w:w="364"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m</w:t>
            </w:r>
          </w:p>
        </w:tc>
        <w:tc>
          <w:tcPr>
            <w:tcW w:w="446" w:type="pct"/>
            <w:vAlign w:val="center"/>
          </w:tcPr>
          <w:p>
            <w:pPr>
              <w:snapToGrid w:val="0"/>
              <w:spacing w:line="240" w:lineRule="auto"/>
              <w:ind w:firstLine="0" w:firstLineChars="0"/>
              <w:jc w:val="center"/>
              <w:rPr>
                <w:rFonts w:ascii="Times New Roman" w:hAnsi="Times New Roman"/>
                <w:sz w:val="18"/>
                <w:szCs w:val="18"/>
              </w:rPr>
            </w:pPr>
            <w:r>
              <w:rPr>
                <w:rFonts w:hint="eastAsia" w:ascii="Times New Roman" w:hAnsi="Times New Roman"/>
                <w:sz w:val="18"/>
                <w:szCs w:val="18"/>
              </w:rPr>
              <w:t>m</w:t>
            </w:r>
            <w:r>
              <w:rPr>
                <w:rFonts w:ascii="Times New Roman" w:hAnsi="Times New Roman"/>
                <w:sz w:val="18"/>
                <w:szCs w:val="18"/>
              </w:rPr>
              <w:t>/s</w:t>
            </w:r>
          </w:p>
        </w:tc>
        <w:tc>
          <w:tcPr>
            <w:tcW w:w="371"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K</w:t>
            </w:r>
          </w:p>
        </w:tc>
        <w:tc>
          <w:tcPr>
            <w:tcW w:w="371"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h</w:t>
            </w:r>
          </w:p>
        </w:tc>
        <w:tc>
          <w:tcPr>
            <w:tcW w:w="372" w:type="pc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正常</w:t>
            </w:r>
          </w:p>
        </w:tc>
        <w:tc>
          <w:tcPr>
            <w:tcW w:w="476" w:type="pct"/>
            <w:vAlign w:val="center"/>
          </w:tcPr>
          <w:p>
            <w:pPr>
              <w:snapToGrid w:val="0"/>
              <w:spacing w:line="240" w:lineRule="auto"/>
              <w:ind w:firstLine="0" w:firstLineChars="0"/>
              <w:jc w:val="center"/>
              <w:rPr>
                <w:rFonts w:ascii="Times New Roman" w:hAnsi="Times New Roman"/>
                <w:sz w:val="18"/>
                <w:szCs w:val="18"/>
              </w:rPr>
            </w:pPr>
            <w:r>
              <w:rPr>
                <w:rFonts w:ascii="Times New Roman" w:hAnsi="Times New Roman"/>
                <w:sz w:val="18"/>
                <w:szCs w:val="18"/>
              </w:rPr>
              <w:t>g/s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04" w:type="pct"/>
            <w:vAlign w:val="center"/>
          </w:tcPr>
          <w:p>
            <w:pPr>
              <w:snapToGrid w:val="0"/>
              <w:spacing w:line="240" w:lineRule="auto"/>
              <w:ind w:firstLine="0" w:firstLineChars="0"/>
              <w:jc w:val="center"/>
              <w:rPr>
                <w:rFonts w:ascii="Times New Roman" w:hAnsi="Times New Roman"/>
                <w:sz w:val="18"/>
                <w:szCs w:val="18"/>
              </w:rPr>
            </w:pPr>
            <w:r>
              <w:rPr>
                <w:rFonts w:hint="eastAsia" w:ascii="Times New Roman" w:hAnsi="宋体"/>
                <w:sz w:val="18"/>
                <w:szCs w:val="18"/>
              </w:rPr>
              <w:t>净化处理站</w:t>
            </w:r>
          </w:p>
        </w:tc>
        <w:tc>
          <w:tcPr>
            <w:tcW w:w="748"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490633.484</w:t>
            </w:r>
          </w:p>
        </w:tc>
        <w:tc>
          <w:tcPr>
            <w:tcW w:w="68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4242847.121</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977</w:t>
            </w:r>
          </w:p>
        </w:tc>
        <w:tc>
          <w:tcPr>
            <w:tcW w:w="295"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15</w:t>
            </w:r>
          </w:p>
        </w:tc>
        <w:tc>
          <w:tcPr>
            <w:tcW w:w="364"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0.2</w:t>
            </w:r>
          </w:p>
        </w:tc>
        <w:tc>
          <w:tcPr>
            <w:tcW w:w="446"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3.1831</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eastAsia="黑体"/>
                <w:sz w:val="18"/>
                <w:szCs w:val="18"/>
              </w:rPr>
              <w:t>383</w:t>
            </w:r>
          </w:p>
        </w:tc>
        <w:tc>
          <w:tcPr>
            <w:tcW w:w="371" w:type="pct"/>
            <w:vAlign w:val="center"/>
          </w:tcPr>
          <w:p>
            <w:pPr>
              <w:spacing w:line="320" w:lineRule="exact"/>
              <w:ind w:firstLine="0" w:firstLineChars="0"/>
              <w:jc w:val="center"/>
              <w:rPr>
                <w:rFonts w:ascii="Times New Roman" w:hAnsi="Times New Roman"/>
                <w:sz w:val="18"/>
                <w:szCs w:val="18"/>
              </w:rPr>
            </w:pPr>
            <w:r>
              <w:rPr>
                <w:rFonts w:hint="eastAsia" w:ascii="Times New Roman" w:hAnsi="Times New Roman"/>
                <w:sz w:val="18"/>
                <w:szCs w:val="18"/>
              </w:rPr>
              <w:t>3600</w:t>
            </w:r>
          </w:p>
        </w:tc>
        <w:tc>
          <w:tcPr>
            <w:tcW w:w="372" w:type="pc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正常</w:t>
            </w:r>
          </w:p>
        </w:tc>
        <w:tc>
          <w:tcPr>
            <w:tcW w:w="476" w:type="pct"/>
            <w:vAlign w:val="center"/>
          </w:tcPr>
          <w:p>
            <w:pPr>
              <w:snapToGrid w:val="0"/>
              <w:spacing w:line="240" w:lineRule="auto"/>
              <w:ind w:firstLine="0" w:firstLineChars="0"/>
              <w:jc w:val="center"/>
              <w:rPr>
                <w:rFonts w:ascii="Times New Roman" w:hAnsi="Times New Roman"/>
                <w:sz w:val="18"/>
                <w:szCs w:val="18"/>
              </w:rPr>
            </w:pPr>
            <w:r>
              <w:rPr>
                <w:rFonts w:hint="eastAsia" w:ascii="Times New Roman" w:hAnsi="Times New Roman"/>
                <w:sz w:val="18"/>
                <w:szCs w:val="18"/>
              </w:rPr>
              <w:t>0.02599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04" w:type="pct"/>
            <w:vAlign w:val="center"/>
          </w:tcPr>
          <w:p>
            <w:pPr>
              <w:snapToGrid w:val="0"/>
              <w:spacing w:line="240" w:lineRule="auto"/>
              <w:ind w:firstLine="0" w:firstLineChars="0"/>
              <w:jc w:val="center"/>
              <w:rPr>
                <w:rFonts w:ascii="Times New Roman" w:hAnsi="宋体"/>
                <w:sz w:val="18"/>
                <w:szCs w:val="18"/>
              </w:rPr>
            </w:pPr>
            <w:r>
              <w:rPr>
                <w:rFonts w:hint="eastAsia" w:ascii="Times New Roman" w:hAnsi="宋体"/>
                <w:sz w:val="18"/>
                <w:szCs w:val="18"/>
              </w:rPr>
              <w:t>蒸发处理站</w:t>
            </w:r>
          </w:p>
        </w:tc>
        <w:tc>
          <w:tcPr>
            <w:tcW w:w="748"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491705.366</w:t>
            </w:r>
          </w:p>
        </w:tc>
        <w:tc>
          <w:tcPr>
            <w:tcW w:w="68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4242383.464</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1041</w:t>
            </w:r>
          </w:p>
        </w:tc>
        <w:tc>
          <w:tcPr>
            <w:tcW w:w="295"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15</w:t>
            </w:r>
          </w:p>
        </w:tc>
        <w:tc>
          <w:tcPr>
            <w:tcW w:w="364"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0.2</w:t>
            </w:r>
          </w:p>
        </w:tc>
        <w:tc>
          <w:tcPr>
            <w:tcW w:w="446"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3.1831</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eastAsia="黑体"/>
                <w:sz w:val="18"/>
                <w:szCs w:val="18"/>
              </w:rPr>
            </w:pPr>
            <w:r>
              <w:rPr>
                <w:rFonts w:hint="eastAsia" w:ascii="Times New Roman" w:hAnsi="Times New Roman" w:eastAsia="黑体"/>
                <w:sz w:val="18"/>
                <w:szCs w:val="18"/>
              </w:rPr>
              <w:t>383</w:t>
            </w:r>
          </w:p>
        </w:tc>
        <w:tc>
          <w:tcPr>
            <w:tcW w:w="371" w:type="pct"/>
            <w:vAlign w:val="center"/>
          </w:tcPr>
          <w:p>
            <w:pPr>
              <w:spacing w:line="320" w:lineRule="exact"/>
              <w:ind w:firstLine="0" w:firstLineChars="0"/>
              <w:jc w:val="center"/>
              <w:rPr>
                <w:rFonts w:ascii="Times New Roman" w:hAnsi="Times New Roman"/>
                <w:sz w:val="18"/>
                <w:szCs w:val="18"/>
              </w:rPr>
            </w:pPr>
            <w:r>
              <w:rPr>
                <w:rFonts w:hint="eastAsia" w:ascii="Times New Roman" w:hAnsi="Times New Roman"/>
                <w:sz w:val="18"/>
                <w:szCs w:val="18"/>
              </w:rPr>
              <w:t>3600</w:t>
            </w:r>
          </w:p>
        </w:tc>
        <w:tc>
          <w:tcPr>
            <w:tcW w:w="372" w:type="pc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正常</w:t>
            </w:r>
          </w:p>
        </w:tc>
        <w:tc>
          <w:tcPr>
            <w:tcW w:w="476" w:type="pct"/>
            <w:vAlign w:val="center"/>
          </w:tcPr>
          <w:p>
            <w:pPr>
              <w:snapToGrid w:val="0"/>
              <w:spacing w:line="240" w:lineRule="auto"/>
              <w:ind w:firstLine="0" w:firstLineChars="0"/>
              <w:jc w:val="center"/>
              <w:rPr>
                <w:rFonts w:ascii="Times New Roman" w:hAnsi="Times New Roman"/>
                <w:sz w:val="18"/>
                <w:szCs w:val="18"/>
              </w:rPr>
            </w:pPr>
            <w:r>
              <w:rPr>
                <w:rFonts w:hint="eastAsia" w:ascii="Times New Roman" w:hAnsi="Times New Roman"/>
                <w:sz w:val="18"/>
                <w:szCs w:val="18"/>
              </w:rPr>
              <w:t>0.02599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04" w:type="pct"/>
            <w:vAlign w:val="center"/>
          </w:tcPr>
          <w:p>
            <w:pPr>
              <w:snapToGrid w:val="0"/>
              <w:spacing w:line="240" w:lineRule="auto"/>
              <w:ind w:firstLine="0" w:firstLineChars="0"/>
              <w:jc w:val="center"/>
              <w:rPr>
                <w:rFonts w:ascii="Times New Roman" w:hAnsi="宋体"/>
                <w:sz w:val="18"/>
                <w:szCs w:val="18"/>
              </w:rPr>
            </w:pPr>
            <w:r>
              <w:rPr>
                <w:rFonts w:hint="eastAsia" w:ascii="Times New Roman" w:hAnsi="宋体"/>
                <w:sz w:val="18"/>
                <w:szCs w:val="18"/>
              </w:rPr>
              <w:t>办公生活区</w:t>
            </w:r>
          </w:p>
        </w:tc>
        <w:tc>
          <w:tcPr>
            <w:tcW w:w="748"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490610.65</w:t>
            </w:r>
          </w:p>
        </w:tc>
        <w:tc>
          <w:tcPr>
            <w:tcW w:w="68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ascii="Times New Roman" w:hAnsi="Times New Roman"/>
                <w:sz w:val="18"/>
                <w:szCs w:val="18"/>
              </w:rPr>
              <w:t>4243268.233</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948</w:t>
            </w:r>
          </w:p>
        </w:tc>
        <w:tc>
          <w:tcPr>
            <w:tcW w:w="295"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15</w:t>
            </w:r>
          </w:p>
        </w:tc>
        <w:tc>
          <w:tcPr>
            <w:tcW w:w="364"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0.438</w:t>
            </w:r>
          </w:p>
        </w:tc>
        <w:tc>
          <w:tcPr>
            <w:tcW w:w="446" w:type="pct"/>
            <w:vAlign w:val="center"/>
          </w:tcPr>
          <w:p>
            <w:pPr>
              <w:autoSpaceDE w:val="0"/>
              <w:autoSpaceDN w:val="0"/>
              <w:spacing w:line="320" w:lineRule="exact"/>
              <w:ind w:firstLine="0" w:firstLineChars="0"/>
              <w:jc w:val="center"/>
              <w:textAlignment w:val="bottom"/>
              <w:rPr>
                <w:rFonts w:ascii="Times New Roman" w:hAnsi="Times New Roman"/>
                <w:sz w:val="18"/>
                <w:szCs w:val="18"/>
              </w:rPr>
            </w:pPr>
            <w:r>
              <w:rPr>
                <w:rFonts w:hint="eastAsia" w:ascii="Times New Roman" w:hAnsi="Times New Roman"/>
                <w:sz w:val="18"/>
                <w:szCs w:val="18"/>
              </w:rPr>
              <w:t>0.4911</w:t>
            </w:r>
          </w:p>
        </w:tc>
        <w:tc>
          <w:tcPr>
            <w:tcW w:w="371" w:type="pct"/>
            <w:vAlign w:val="center"/>
          </w:tcPr>
          <w:p>
            <w:pPr>
              <w:autoSpaceDE w:val="0"/>
              <w:autoSpaceDN w:val="0"/>
              <w:spacing w:line="320" w:lineRule="exact"/>
              <w:ind w:firstLine="0" w:firstLineChars="0"/>
              <w:jc w:val="center"/>
              <w:textAlignment w:val="bottom"/>
              <w:rPr>
                <w:rFonts w:ascii="Times New Roman" w:hAnsi="Times New Roman" w:eastAsia="黑体"/>
                <w:sz w:val="18"/>
                <w:szCs w:val="18"/>
              </w:rPr>
            </w:pPr>
            <w:r>
              <w:rPr>
                <w:rFonts w:hint="eastAsia" w:ascii="Times New Roman" w:hAnsi="Times New Roman" w:eastAsia="黑体"/>
                <w:sz w:val="18"/>
                <w:szCs w:val="18"/>
              </w:rPr>
              <w:t>383</w:t>
            </w:r>
          </w:p>
        </w:tc>
        <w:tc>
          <w:tcPr>
            <w:tcW w:w="371" w:type="pct"/>
            <w:vAlign w:val="center"/>
          </w:tcPr>
          <w:p>
            <w:pPr>
              <w:spacing w:line="320" w:lineRule="exact"/>
              <w:ind w:firstLine="0" w:firstLineChars="0"/>
              <w:jc w:val="center"/>
              <w:rPr>
                <w:rFonts w:ascii="Times New Roman" w:hAnsi="Times New Roman"/>
                <w:sz w:val="18"/>
                <w:szCs w:val="18"/>
              </w:rPr>
            </w:pPr>
            <w:r>
              <w:rPr>
                <w:rFonts w:hint="eastAsia" w:ascii="Times New Roman" w:hAnsi="Times New Roman"/>
                <w:sz w:val="18"/>
                <w:szCs w:val="18"/>
              </w:rPr>
              <w:t>3600</w:t>
            </w:r>
          </w:p>
        </w:tc>
        <w:tc>
          <w:tcPr>
            <w:tcW w:w="372" w:type="pct"/>
            <w:vAlign w:val="center"/>
          </w:tcPr>
          <w:p>
            <w:pPr>
              <w:snapToGrid w:val="0"/>
              <w:spacing w:line="240" w:lineRule="auto"/>
              <w:ind w:firstLine="0" w:firstLineChars="0"/>
              <w:jc w:val="center"/>
              <w:rPr>
                <w:rFonts w:ascii="Times New Roman" w:hAnsi="Times New Roman"/>
                <w:sz w:val="18"/>
                <w:szCs w:val="18"/>
              </w:rPr>
            </w:pPr>
            <w:r>
              <w:rPr>
                <w:rFonts w:ascii="Times New Roman" w:hAnsi="宋体"/>
                <w:sz w:val="18"/>
                <w:szCs w:val="18"/>
              </w:rPr>
              <w:t>正常</w:t>
            </w:r>
          </w:p>
        </w:tc>
        <w:tc>
          <w:tcPr>
            <w:tcW w:w="476" w:type="pct"/>
            <w:vAlign w:val="center"/>
          </w:tcPr>
          <w:p>
            <w:pPr>
              <w:snapToGrid w:val="0"/>
              <w:spacing w:line="240" w:lineRule="auto"/>
              <w:ind w:firstLine="0" w:firstLineChars="0"/>
              <w:jc w:val="center"/>
              <w:rPr>
                <w:rFonts w:ascii="Times New Roman" w:hAnsi="Times New Roman"/>
                <w:sz w:val="18"/>
                <w:szCs w:val="18"/>
              </w:rPr>
            </w:pPr>
            <w:r>
              <w:rPr>
                <w:rFonts w:hint="eastAsia" w:ascii="Times New Roman" w:hAnsi="Times New Roman"/>
                <w:sz w:val="18"/>
                <w:szCs w:val="18"/>
              </w:rPr>
              <w:t>0.01923</w:t>
            </w:r>
          </w:p>
        </w:tc>
      </w:tr>
    </w:tbl>
    <w:p>
      <w:pPr>
        <w:spacing w:before="156" w:beforeLines="50"/>
        <w:ind w:firstLine="480"/>
        <w:rPr>
          <w:rFonts w:ascii="Times New Roman" w:hAnsi="Times New Roman"/>
          <w:szCs w:val="24"/>
        </w:rPr>
      </w:pPr>
      <w:r>
        <w:rPr>
          <w:rFonts w:hint="eastAsia" w:ascii="Times New Roman" w:hAnsi="Times New Roman"/>
          <w:szCs w:val="24"/>
        </w:rPr>
        <w:t>（2）预测结果</w:t>
      </w:r>
    </w:p>
    <w:p>
      <w:pPr>
        <w:ind w:firstLine="480"/>
        <w:rPr>
          <w:rFonts w:ascii="Times New Roman" w:hAnsi="Times New Roman"/>
          <w:szCs w:val="24"/>
        </w:rPr>
      </w:pPr>
      <w:r>
        <w:rPr>
          <w:rFonts w:ascii="Times New Roman" w:hAnsi="宋体"/>
          <w:szCs w:val="24"/>
        </w:rPr>
        <w:t>本项目为三级评价，依据《环境影响评价技术导则  大气环境》</w:t>
      </w:r>
      <w:r>
        <w:rPr>
          <w:rFonts w:hint="eastAsia" w:ascii="Times New Roman" w:hAnsi="宋体"/>
          <w:szCs w:val="24"/>
        </w:rPr>
        <w:t>（</w:t>
      </w:r>
      <w:r>
        <w:rPr>
          <w:rFonts w:ascii="Times New Roman" w:hAnsi="宋体"/>
          <w:szCs w:val="24"/>
        </w:rPr>
        <w:t>HJ2.2-2008</w:t>
      </w:r>
      <w:r>
        <w:rPr>
          <w:rFonts w:hint="eastAsia" w:ascii="Times New Roman" w:hAnsi="宋体"/>
          <w:szCs w:val="24"/>
        </w:rPr>
        <w:t>）</w:t>
      </w:r>
      <w:r>
        <w:rPr>
          <w:rFonts w:ascii="Times New Roman" w:hAnsi="宋体"/>
          <w:szCs w:val="24"/>
        </w:rPr>
        <w:t>推荐模式</w:t>
      </w:r>
      <w:r>
        <w:rPr>
          <w:rFonts w:hint="eastAsia" w:ascii="Times New Roman" w:hAnsi="宋体"/>
          <w:szCs w:val="24"/>
        </w:rPr>
        <w:t>-</w:t>
      </w:r>
      <w:r>
        <w:rPr>
          <w:rFonts w:ascii="Times New Roman" w:hAnsi="宋体"/>
          <w:szCs w:val="24"/>
        </w:rPr>
        <w:t>SCREEN3对</w:t>
      </w:r>
      <w:r>
        <w:rPr>
          <w:rFonts w:hint="eastAsia" w:ascii="Times New Roman" w:hAnsi="宋体"/>
          <w:szCs w:val="24"/>
        </w:rPr>
        <w:t>锅炉烟气</w:t>
      </w:r>
      <w:r>
        <w:rPr>
          <w:rFonts w:ascii="Times New Roman" w:hAnsi="宋体"/>
          <w:szCs w:val="24"/>
        </w:rPr>
        <w:t>影响进行了预测计算</w:t>
      </w:r>
      <w:r>
        <w:rPr>
          <w:rFonts w:hint="eastAsia" w:ascii="Times New Roman" w:hAnsi="宋体"/>
          <w:szCs w:val="24"/>
        </w:rPr>
        <w:t>，预测结果见表</w:t>
      </w:r>
      <w:r>
        <w:rPr>
          <w:rFonts w:hint="eastAsia" w:ascii="Times New Roman" w:hAnsi="Times New Roman"/>
          <w:szCs w:val="24"/>
        </w:rPr>
        <w:t>5.2</w:t>
      </w:r>
      <w:r>
        <w:rPr>
          <w:rFonts w:ascii="Times New Roman" w:hAnsi="Times New Roman"/>
          <w:szCs w:val="24"/>
        </w:rPr>
        <w:t>-</w:t>
      </w:r>
      <w:r>
        <w:rPr>
          <w:rFonts w:hint="eastAsia" w:ascii="Times New Roman" w:hAnsi="Times New Roman"/>
          <w:szCs w:val="24"/>
        </w:rPr>
        <w:t>2。</w:t>
      </w:r>
    </w:p>
    <w:p>
      <w:pPr>
        <w:widowControl/>
        <w:spacing w:line="240" w:lineRule="auto"/>
        <w:ind w:firstLine="422"/>
        <w:jc w:val="center"/>
        <w:rPr>
          <w:rFonts w:ascii="Times New Roman" w:hAnsi="Times New Roman"/>
          <w:b/>
          <w:sz w:val="21"/>
        </w:rPr>
      </w:pPr>
    </w:p>
    <w:p>
      <w:pPr>
        <w:widowControl/>
        <w:spacing w:line="240" w:lineRule="auto"/>
        <w:ind w:firstLine="422"/>
        <w:jc w:val="center"/>
        <w:rPr>
          <w:rFonts w:ascii="Times New Roman" w:hAnsi="Times New Roman"/>
          <w:b/>
          <w:sz w:val="21"/>
        </w:rPr>
      </w:pPr>
    </w:p>
    <w:p>
      <w:pPr>
        <w:widowControl/>
        <w:spacing w:line="240" w:lineRule="auto"/>
        <w:ind w:firstLine="422"/>
        <w:jc w:val="center"/>
        <w:rPr>
          <w:rFonts w:ascii="Times New Roman" w:hAnsi="Times New Roman"/>
          <w:b/>
          <w:sz w:val="21"/>
        </w:rPr>
      </w:pPr>
      <w:r>
        <w:rPr>
          <w:rFonts w:hint="eastAsia" w:ascii="Times New Roman" w:hAnsi="Times New Roman"/>
          <w:b/>
          <w:sz w:val="21"/>
        </w:rPr>
        <w:t>表5.2-2 燃气锅炉烟气估算模式计算结果</w:t>
      </w:r>
    </w:p>
    <w:tbl>
      <w:tblPr>
        <w:tblStyle w:val="18"/>
        <w:tblW w:w="5000" w:type="pct"/>
        <w:jc w:val="center"/>
        <w:tblBorders>
          <w:top w:val="single" w:color="auto" w:sz="8" w:space="0"/>
          <w:left w:val="single" w:color="auto" w:sz="8" w:space="0"/>
          <w:bottom w:val="single" w:color="auto" w:sz="6"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121"/>
        <w:gridCol w:w="980"/>
        <w:gridCol w:w="1120"/>
        <w:gridCol w:w="838"/>
        <w:gridCol w:w="978"/>
        <w:gridCol w:w="1264"/>
        <w:gridCol w:w="1282"/>
      </w:tblGrid>
      <w:tr>
        <w:tblPrEx>
          <w:tblBorders>
            <w:top w:val="single" w:color="auto" w:sz="8" w:space="0"/>
            <w:left w:val="single" w:color="auto" w:sz="8" w:space="0"/>
            <w:bottom w:val="single" w:color="auto" w:sz="6"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Merge w:val="restart"/>
            <w:vAlign w:val="center"/>
          </w:tcPr>
          <w:p>
            <w:pPr>
              <w:spacing w:line="300" w:lineRule="exact"/>
              <w:ind w:firstLine="0" w:firstLineChars="0"/>
              <w:jc w:val="center"/>
              <w:rPr>
                <w:rFonts w:ascii="Times New Roman" w:hAnsi="Times New Roman"/>
                <w:sz w:val="21"/>
              </w:rPr>
            </w:pPr>
            <w:r>
              <w:rPr>
                <w:rFonts w:ascii="Times New Roman" w:hAnsi="宋体"/>
                <w:sz w:val="21"/>
              </w:rPr>
              <w:t>距离中心下风向距离</w:t>
            </w:r>
          </w:p>
        </w:tc>
        <w:tc>
          <w:tcPr>
            <w:tcW w:w="1247" w:type="pct"/>
            <w:gridSpan w:val="2"/>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LX-103井场净化处理站燃气锅炉</w:t>
            </w:r>
          </w:p>
        </w:tc>
        <w:tc>
          <w:tcPr>
            <w:tcW w:w="1163" w:type="pct"/>
            <w:gridSpan w:val="2"/>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LX104井场蒸发处理站燃气锅炉</w:t>
            </w:r>
          </w:p>
        </w:tc>
        <w:tc>
          <w:tcPr>
            <w:tcW w:w="581" w:type="pct"/>
            <w:vMerge w:val="restart"/>
            <w:vAlign w:val="center"/>
          </w:tcPr>
          <w:p>
            <w:pPr>
              <w:spacing w:line="300" w:lineRule="exact"/>
              <w:ind w:firstLine="0" w:firstLineChars="0"/>
              <w:jc w:val="center"/>
              <w:rPr>
                <w:rFonts w:ascii="Times New Roman" w:hAnsi="Times New Roman"/>
                <w:sz w:val="21"/>
              </w:rPr>
            </w:pPr>
            <w:r>
              <w:rPr>
                <w:rFonts w:ascii="Times New Roman" w:hAnsi="宋体"/>
                <w:sz w:val="21"/>
              </w:rPr>
              <w:t>距离中心下风向距离</w:t>
            </w:r>
          </w:p>
        </w:tc>
        <w:tc>
          <w:tcPr>
            <w:tcW w:w="1446" w:type="pct"/>
            <w:gridSpan w:val="2"/>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办公生活区供暖燃气锅炉</w:t>
            </w:r>
          </w:p>
        </w:tc>
      </w:tr>
      <w:tr>
        <w:tblPrEx>
          <w:tblBorders>
            <w:top w:val="single" w:color="auto" w:sz="8" w:space="0"/>
            <w:left w:val="single" w:color="auto" w:sz="8" w:space="0"/>
            <w:bottom w:val="single" w:color="auto" w:sz="6"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Merge w:val="continue"/>
            <w:vAlign w:val="center"/>
          </w:tcPr>
          <w:p>
            <w:pPr>
              <w:spacing w:line="300" w:lineRule="exact"/>
              <w:ind w:firstLine="0" w:firstLineChars="0"/>
              <w:jc w:val="center"/>
              <w:rPr>
                <w:rFonts w:ascii="Times New Roman" w:hAnsi="Times New Roman"/>
                <w:sz w:val="21"/>
              </w:rPr>
            </w:pPr>
          </w:p>
        </w:tc>
        <w:tc>
          <w:tcPr>
            <w:tcW w:w="1247" w:type="pct"/>
            <w:gridSpan w:val="2"/>
            <w:vAlign w:val="center"/>
          </w:tcPr>
          <w:p>
            <w:pPr>
              <w:spacing w:line="300" w:lineRule="exact"/>
              <w:ind w:firstLine="0" w:firstLineChars="0"/>
              <w:jc w:val="center"/>
              <w:rPr>
                <w:rFonts w:ascii="Times New Roman" w:hAnsi="Times New Roman"/>
                <w:sz w:val="21"/>
              </w:rPr>
            </w:pPr>
            <w:r>
              <w:rPr>
                <w:rFonts w:ascii="Times New Roman" w:hAnsi="Times New Roman"/>
                <w:sz w:val="21"/>
              </w:rPr>
              <w:t>NO</w:t>
            </w:r>
            <w:r>
              <w:rPr>
                <w:rFonts w:hint="eastAsia" w:ascii="Times New Roman" w:hAnsi="Times New Roman"/>
                <w:sz w:val="21"/>
                <w:vertAlign w:val="subscript"/>
              </w:rPr>
              <w:t>x</w:t>
            </w:r>
          </w:p>
        </w:tc>
        <w:tc>
          <w:tcPr>
            <w:tcW w:w="1163" w:type="pct"/>
            <w:gridSpan w:val="2"/>
            <w:vAlign w:val="center"/>
          </w:tcPr>
          <w:p>
            <w:pPr>
              <w:spacing w:line="300" w:lineRule="exact"/>
              <w:ind w:firstLine="0" w:firstLineChars="0"/>
              <w:jc w:val="center"/>
              <w:rPr>
                <w:rFonts w:ascii="Times New Roman" w:hAnsi="Times New Roman"/>
                <w:sz w:val="21"/>
              </w:rPr>
            </w:pPr>
            <w:r>
              <w:rPr>
                <w:rFonts w:ascii="Times New Roman" w:hAnsi="Times New Roman"/>
                <w:sz w:val="21"/>
              </w:rPr>
              <w:t>NO</w:t>
            </w:r>
            <w:r>
              <w:rPr>
                <w:rFonts w:hint="eastAsia" w:ascii="Times New Roman" w:hAnsi="Times New Roman"/>
                <w:sz w:val="21"/>
                <w:vertAlign w:val="subscript"/>
              </w:rPr>
              <w:t>x</w:t>
            </w:r>
          </w:p>
        </w:tc>
        <w:tc>
          <w:tcPr>
            <w:tcW w:w="581" w:type="pct"/>
            <w:vMerge w:val="continue"/>
            <w:vAlign w:val="center"/>
          </w:tcPr>
          <w:p>
            <w:pPr>
              <w:spacing w:line="300" w:lineRule="exact"/>
              <w:ind w:firstLine="0" w:firstLineChars="0"/>
              <w:jc w:val="center"/>
              <w:rPr>
                <w:rFonts w:ascii="Times New Roman" w:hAnsi="Times New Roman"/>
                <w:sz w:val="21"/>
              </w:rPr>
            </w:pPr>
          </w:p>
        </w:tc>
        <w:tc>
          <w:tcPr>
            <w:tcW w:w="1446" w:type="pct"/>
            <w:gridSpan w:val="2"/>
            <w:vAlign w:val="center"/>
          </w:tcPr>
          <w:p>
            <w:pPr>
              <w:spacing w:line="300" w:lineRule="exact"/>
              <w:ind w:firstLine="0" w:firstLineChars="0"/>
              <w:jc w:val="center"/>
              <w:rPr>
                <w:rFonts w:ascii="Times New Roman" w:hAnsi="Times New Roman"/>
                <w:sz w:val="21"/>
              </w:rPr>
            </w:pPr>
            <w:r>
              <w:rPr>
                <w:rFonts w:ascii="Times New Roman" w:hAnsi="Times New Roman"/>
                <w:sz w:val="21"/>
              </w:rPr>
              <w:t>NO</w:t>
            </w:r>
            <w:r>
              <w:rPr>
                <w:rFonts w:hint="eastAsia" w:ascii="Times New Roman" w:hAnsi="Times New Roman"/>
                <w:sz w:val="21"/>
                <w:vertAlign w:val="subscript"/>
              </w:rPr>
              <w:t>x</w:t>
            </w:r>
          </w:p>
        </w:tc>
      </w:tr>
      <w:tr>
        <w:tblPrEx>
          <w:tblBorders>
            <w:top w:val="single" w:color="auto" w:sz="8" w:space="0"/>
            <w:left w:val="single" w:color="auto" w:sz="8" w:space="0"/>
            <w:bottom w:val="single" w:color="auto" w:sz="6"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Merge w:val="continue"/>
            <w:tcBorders>
              <w:bottom w:val="single" w:color="auto" w:sz="6" w:space="0"/>
            </w:tcBorders>
            <w:vAlign w:val="center"/>
          </w:tcPr>
          <w:p>
            <w:pPr>
              <w:spacing w:line="300" w:lineRule="exact"/>
              <w:ind w:firstLine="0" w:firstLineChars="0"/>
              <w:jc w:val="center"/>
              <w:rPr>
                <w:rFonts w:ascii="Times New Roman" w:hAnsi="Times New Roman"/>
                <w:sz w:val="21"/>
              </w:rPr>
            </w:pPr>
          </w:p>
        </w:tc>
        <w:tc>
          <w:tcPr>
            <w:tcW w:w="665"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预测浓度</w:t>
            </w:r>
            <w:r>
              <w:rPr>
                <w:rFonts w:ascii="Times New Roman" w:hAnsi="Times New Roman"/>
                <w:sz w:val="21"/>
              </w:rPr>
              <w:t>mg/m</w:t>
            </w:r>
            <w:r>
              <w:rPr>
                <w:rFonts w:ascii="Times New Roman" w:hAnsi="Times New Roman"/>
                <w:sz w:val="21"/>
                <w:vertAlign w:val="superscript"/>
              </w:rPr>
              <w:t>3</w:t>
            </w:r>
          </w:p>
        </w:tc>
        <w:tc>
          <w:tcPr>
            <w:tcW w:w="582"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占标率</w:t>
            </w:r>
          </w:p>
          <w:p>
            <w:pPr>
              <w:spacing w:line="300" w:lineRule="exact"/>
              <w:ind w:firstLine="0" w:firstLineChars="0"/>
              <w:jc w:val="center"/>
              <w:rPr>
                <w:rFonts w:ascii="Times New Roman" w:hAnsi="Times New Roman"/>
                <w:sz w:val="21"/>
              </w:rPr>
            </w:pPr>
            <w:r>
              <w:rPr>
                <w:rFonts w:ascii="Times New Roman" w:hAnsi="Times New Roman"/>
                <w:sz w:val="21"/>
              </w:rPr>
              <w:t>%</w:t>
            </w:r>
          </w:p>
        </w:tc>
        <w:tc>
          <w:tcPr>
            <w:tcW w:w="664"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预测浓度</w:t>
            </w:r>
            <w:r>
              <w:rPr>
                <w:rFonts w:ascii="Times New Roman" w:hAnsi="Times New Roman"/>
                <w:sz w:val="21"/>
              </w:rPr>
              <w:t>mg/m</w:t>
            </w:r>
            <w:r>
              <w:rPr>
                <w:rFonts w:ascii="Times New Roman" w:hAnsi="Times New Roman"/>
                <w:sz w:val="21"/>
                <w:vertAlign w:val="superscript"/>
              </w:rPr>
              <w:t>3</w:t>
            </w:r>
          </w:p>
        </w:tc>
        <w:tc>
          <w:tcPr>
            <w:tcW w:w="499"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占标率</w:t>
            </w:r>
          </w:p>
          <w:p>
            <w:pPr>
              <w:spacing w:line="300" w:lineRule="exact"/>
              <w:ind w:firstLine="0" w:firstLineChars="0"/>
              <w:jc w:val="center"/>
              <w:rPr>
                <w:rFonts w:ascii="Times New Roman" w:hAnsi="Times New Roman"/>
                <w:sz w:val="21"/>
              </w:rPr>
            </w:pPr>
            <w:r>
              <w:rPr>
                <w:rFonts w:ascii="Times New Roman" w:hAnsi="Times New Roman"/>
                <w:sz w:val="21"/>
              </w:rPr>
              <w:t>%</w:t>
            </w:r>
          </w:p>
        </w:tc>
        <w:tc>
          <w:tcPr>
            <w:tcW w:w="581" w:type="pct"/>
            <w:vMerge w:val="continue"/>
            <w:tcBorders>
              <w:bottom w:val="single" w:color="auto" w:sz="6" w:space="0"/>
            </w:tcBorders>
            <w:vAlign w:val="center"/>
          </w:tcPr>
          <w:p>
            <w:pPr>
              <w:spacing w:line="300" w:lineRule="exact"/>
              <w:ind w:firstLine="0" w:firstLineChars="0"/>
              <w:jc w:val="center"/>
              <w:rPr>
                <w:rFonts w:ascii="Times New Roman" w:hAnsi="宋体"/>
                <w:sz w:val="21"/>
              </w:rPr>
            </w:pPr>
          </w:p>
        </w:tc>
        <w:tc>
          <w:tcPr>
            <w:tcW w:w="749"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预测浓度</w:t>
            </w:r>
            <w:r>
              <w:rPr>
                <w:rFonts w:ascii="Times New Roman" w:hAnsi="Times New Roman"/>
                <w:sz w:val="21"/>
              </w:rPr>
              <w:t>mg/m</w:t>
            </w:r>
            <w:r>
              <w:rPr>
                <w:rFonts w:ascii="Times New Roman" w:hAnsi="Times New Roman"/>
                <w:sz w:val="21"/>
                <w:vertAlign w:val="superscript"/>
              </w:rPr>
              <w:t>3</w:t>
            </w:r>
          </w:p>
        </w:tc>
        <w:tc>
          <w:tcPr>
            <w:tcW w:w="698" w:type="pct"/>
            <w:tcBorders>
              <w:bottom w:val="single" w:color="auto" w:sz="6" w:space="0"/>
            </w:tcBorders>
            <w:vAlign w:val="center"/>
          </w:tcPr>
          <w:p>
            <w:pPr>
              <w:spacing w:line="300" w:lineRule="exact"/>
              <w:ind w:firstLine="0" w:firstLineChars="0"/>
              <w:jc w:val="center"/>
              <w:rPr>
                <w:rFonts w:ascii="Times New Roman" w:hAnsi="Times New Roman"/>
                <w:sz w:val="21"/>
              </w:rPr>
            </w:pPr>
            <w:r>
              <w:rPr>
                <w:rFonts w:ascii="Times New Roman" w:hAnsi="宋体"/>
                <w:sz w:val="21"/>
              </w:rPr>
              <w:t>占标率</w:t>
            </w:r>
          </w:p>
          <w:p>
            <w:pPr>
              <w:spacing w:line="300" w:lineRule="exact"/>
              <w:ind w:firstLine="0" w:firstLineChars="0"/>
              <w:jc w:val="center"/>
              <w:rPr>
                <w:rFonts w:ascii="Times New Roman" w:hAnsi="Times New Roman"/>
                <w:sz w:val="21"/>
              </w:rPr>
            </w:pPr>
            <w:r>
              <w:rPr>
                <w:rFonts w:ascii="Times New Roman" w:hAnsi="Times New Roman"/>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w:t>
            </w:r>
          </w:p>
        </w:tc>
        <w:tc>
          <w:tcPr>
            <w:tcW w:w="665"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0</w:t>
            </w:r>
          </w:p>
        </w:tc>
        <w:tc>
          <w:tcPr>
            <w:tcW w:w="58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0</w:t>
            </w:r>
          </w:p>
        </w:tc>
        <w:tc>
          <w:tcPr>
            <w:tcW w:w="664"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0</w:t>
            </w:r>
          </w:p>
        </w:tc>
        <w:tc>
          <w:tcPr>
            <w:tcW w:w="499"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0</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2.92×10</w:t>
            </w:r>
            <w:r>
              <w:rPr>
                <w:rFonts w:hint="eastAsia" w:ascii="Times New Roman" w:hAnsi="Times New Roman"/>
                <w:sz w:val="21"/>
                <w:vertAlign w:val="superscript"/>
              </w:rPr>
              <w:t>-14</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1.216×10</w:t>
            </w:r>
            <w:r>
              <w:rPr>
                <w:rFonts w:hint="eastAsia" w:ascii="Times New Roman" w:hAnsi="Times New Roman"/>
                <w:sz w:val="21"/>
                <w:vertAlign w:val="superscript"/>
              </w:rPr>
              <w:t>-11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0.009463</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3.9129</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0.009463</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3.9129</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0.008768</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3.6533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0.01063</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4.4292</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0.01063</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4.4292</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0.008948</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3.7283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300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0.009607</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4.0029</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0.009607</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4.0029</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300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0.008445</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3.5188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400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0.008747</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3.6446</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0.008747</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3.6446</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400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0.007214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3.0058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500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0.007315</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3.0479</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0.007315</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3.0479</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500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0.005838</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2.4325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600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0.006029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2.5121</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0.006029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2.5121</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600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0.004720</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1.9667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700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0.004997</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2.0821</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0.004997</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2.0821</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700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0.003864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1.6100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800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0.004188</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1.745</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0.004188</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1.745</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800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0.003211</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1.3379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900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0.003553</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1.4804</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0.003553</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1.4804</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900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0.002746</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1.1442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0.003072</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1.2800</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0.003072</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1.2800</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1000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0.002820</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1.1750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1100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0.003132</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1.3050</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0.003132</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1.3050</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1100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0.002811</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1.1713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1200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0.003139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1.3079</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0.003139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1.3079</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1200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0.002764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1.1517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1300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0.003109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1.2954</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0.003109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1.2954</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1300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0.002694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1.1225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1400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0.003053</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1.2721</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0.003053</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1.2721</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1400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0.002610</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1.0875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1500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0.002979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1.2413</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0.002979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1.2413</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1500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0.002518</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1600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0.002895</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1.2063</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0.002895</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1.2063</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1600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0.002423</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1.0096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1700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0.002804</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1.1683</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0.002804</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1.1683</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1700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0.002326</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0.9692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1800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0.002710</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1.1292</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0.002710</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1.1292</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1800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0.002231</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0.9296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1900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0.002616</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1.0900</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0.002616</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1.0900</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1900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0.002139</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0.8913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2000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0.002522</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1.0508</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0.002522</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1.0508</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2000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0.002050</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0.8542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2100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0.002429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1.0121</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0.002429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1.0121</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2100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0.001964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0.8183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2200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0.002339</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0.9746</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0.002339</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0.9746</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2200</w:t>
            </w:r>
          </w:p>
        </w:tc>
        <w:tc>
          <w:tcPr>
            <w:tcW w:w="74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0.001884</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0.7850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2300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0.002253</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0.9388</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0.002253</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0.9388</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2300</w:t>
            </w:r>
          </w:p>
        </w:tc>
        <w:tc>
          <w:tcPr>
            <w:tcW w:w="749"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0.001807</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0.7529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2400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0.002171</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0.9046</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0.002171</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0.9046</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2400</w:t>
            </w:r>
          </w:p>
        </w:tc>
        <w:tc>
          <w:tcPr>
            <w:tcW w:w="749"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0.001736</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0.7233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2500</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0.002094</w:t>
            </w:r>
          </w:p>
        </w:tc>
        <w:tc>
          <w:tcPr>
            <w:tcW w:w="582"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0.8725</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0.002094</w:t>
            </w:r>
          </w:p>
        </w:tc>
        <w:tc>
          <w:tcPr>
            <w:tcW w:w="499"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0.8725</w:t>
            </w:r>
          </w:p>
        </w:tc>
        <w:tc>
          <w:tcPr>
            <w:tcW w:w="581"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2500</w:t>
            </w:r>
          </w:p>
        </w:tc>
        <w:tc>
          <w:tcPr>
            <w:tcW w:w="749"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0.001668</w:t>
            </w:r>
          </w:p>
        </w:tc>
        <w:tc>
          <w:tcPr>
            <w:tcW w:w="698"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0.6950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62"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178</w:t>
            </w:r>
          </w:p>
        </w:tc>
        <w:tc>
          <w:tcPr>
            <w:tcW w:w="665"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0.01086</w:t>
            </w:r>
          </w:p>
        </w:tc>
        <w:tc>
          <w:tcPr>
            <w:tcW w:w="582"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4.525</w:t>
            </w:r>
          </w:p>
        </w:tc>
        <w:tc>
          <w:tcPr>
            <w:tcW w:w="664"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0.01086</w:t>
            </w:r>
          </w:p>
        </w:tc>
        <w:tc>
          <w:tcPr>
            <w:tcW w:w="499"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4.525</w:t>
            </w:r>
          </w:p>
        </w:tc>
        <w:tc>
          <w:tcPr>
            <w:tcW w:w="581"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162</w:t>
            </w:r>
          </w:p>
        </w:tc>
        <w:tc>
          <w:tcPr>
            <w:tcW w:w="749" w:type="pct"/>
          </w:tcPr>
          <w:p>
            <w:pPr>
              <w:spacing w:line="300" w:lineRule="exact"/>
              <w:ind w:firstLine="0" w:firstLineChars="0"/>
              <w:jc w:val="center"/>
              <w:outlineLvl w:val="0"/>
              <w:rPr>
                <w:rFonts w:ascii="Times New Roman" w:hAnsi="Times New Roman"/>
                <w:sz w:val="21"/>
              </w:rPr>
            </w:pPr>
            <w:bookmarkStart w:id="86" w:name="_Toc524624617"/>
            <w:bookmarkStart w:id="87" w:name="_Toc523325709"/>
            <w:r>
              <w:rPr>
                <w:rFonts w:hint="eastAsia" w:ascii="Times New Roman" w:hAnsi="Times New Roman"/>
                <w:sz w:val="21"/>
              </w:rPr>
              <w:t>0.009558</w:t>
            </w:r>
            <w:bookmarkEnd w:id="86"/>
            <w:bookmarkEnd w:id="87"/>
          </w:p>
        </w:tc>
        <w:tc>
          <w:tcPr>
            <w:tcW w:w="698" w:type="pct"/>
          </w:tcPr>
          <w:p>
            <w:pPr>
              <w:spacing w:line="300" w:lineRule="exact"/>
              <w:ind w:firstLine="0" w:firstLineChars="0"/>
              <w:jc w:val="center"/>
              <w:outlineLvl w:val="0"/>
              <w:rPr>
                <w:rFonts w:ascii="Times New Roman" w:hAnsi="Times New Roman"/>
                <w:sz w:val="21"/>
              </w:rPr>
            </w:pPr>
            <w:bookmarkStart w:id="88" w:name="_Toc523325710"/>
            <w:bookmarkStart w:id="89" w:name="_Toc524624618"/>
            <w:r>
              <w:rPr>
                <w:rFonts w:hint="eastAsia" w:ascii="Times New Roman" w:hAnsi="Times New Roman"/>
                <w:sz w:val="21"/>
              </w:rPr>
              <w:t>3.9825</w:t>
            </w:r>
            <w:bookmarkEnd w:id="88"/>
            <w:bookmarkEnd w:id="89"/>
          </w:p>
        </w:tc>
      </w:tr>
    </w:tbl>
    <w:p>
      <w:pPr>
        <w:spacing w:before="156" w:beforeLines="50"/>
        <w:ind w:firstLine="480"/>
        <w:rPr>
          <w:rFonts w:ascii="Times New Roman" w:hAnsi="Times New Roman"/>
          <w:szCs w:val="24"/>
        </w:rPr>
      </w:pPr>
      <w:r>
        <w:rPr>
          <w:rFonts w:ascii="Times New Roman" w:hAnsi="宋体"/>
          <w:szCs w:val="24"/>
        </w:rPr>
        <w:t>根据预测结果，在</w:t>
      </w:r>
      <w:r>
        <w:rPr>
          <w:rFonts w:hint="eastAsia" w:ascii="Times New Roman" w:hAnsi="宋体"/>
          <w:szCs w:val="24"/>
        </w:rPr>
        <w:t>LX-103井场净化处理站燃气锅炉</w:t>
      </w:r>
      <w:r>
        <w:rPr>
          <w:rFonts w:ascii="Times New Roman" w:hAnsi="宋体"/>
          <w:szCs w:val="24"/>
        </w:rPr>
        <w:t>烟囱出口的下风向距离为</w:t>
      </w:r>
      <w:r>
        <w:rPr>
          <w:rFonts w:hint="eastAsia" w:ascii="Times New Roman" w:hAnsi="Times New Roman"/>
          <w:szCs w:val="24"/>
        </w:rPr>
        <w:t>178</w:t>
      </w:r>
      <w:r>
        <w:rPr>
          <w:rFonts w:ascii="Times New Roman" w:hAnsi="Times New Roman"/>
          <w:szCs w:val="24"/>
        </w:rPr>
        <w:t>m</w:t>
      </w:r>
      <w:r>
        <w:rPr>
          <w:rFonts w:ascii="Times New Roman" w:hAnsi="宋体"/>
          <w:szCs w:val="24"/>
        </w:rPr>
        <w:t>处</w:t>
      </w:r>
      <w:r>
        <w:rPr>
          <w:rFonts w:hint="eastAsia" w:ascii="Times New Roman" w:hAnsi="宋体"/>
          <w:szCs w:val="24"/>
        </w:rPr>
        <w:t>NOx</w:t>
      </w:r>
      <w:r>
        <w:rPr>
          <w:rFonts w:ascii="Times New Roman" w:hAnsi="宋体"/>
          <w:szCs w:val="24"/>
        </w:rPr>
        <w:t>浓度达到最大值</w:t>
      </w:r>
      <w:r>
        <w:rPr>
          <w:rFonts w:ascii="Times New Roman" w:hAnsi="Times New Roman"/>
          <w:szCs w:val="24"/>
        </w:rPr>
        <w:t>0.0</w:t>
      </w:r>
      <w:r>
        <w:rPr>
          <w:rFonts w:hint="eastAsia" w:ascii="Times New Roman" w:hAnsi="Times New Roman"/>
          <w:szCs w:val="24"/>
        </w:rPr>
        <w:t>1086</w:t>
      </w:r>
      <w:r>
        <w:rPr>
          <w:rFonts w:ascii="Times New Roman" w:hAnsi="Times New Roman"/>
          <w:szCs w:val="24"/>
        </w:rPr>
        <w:t>mg/m</w:t>
      </w:r>
      <w:r>
        <w:rPr>
          <w:rFonts w:ascii="Times New Roman" w:hAnsi="Times New Roman"/>
          <w:szCs w:val="24"/>
          <w:vertAlign w:val="superscript"/>
        </w:rPr>
        <w:t>3</w:t>
      </w:r>
      <w:r>
        <w:rPr>
          <w:rFonts w:ascii="Times New Roman" w:hAnsi="宋体"/>
          <w:szCs w:val="24"/>
        </w:rPr>
        <w:t>，为标准值的</w:t>
      </w:r>
      <w:r>
        <w:rPr>
          <w:rFonts w:hint="eastAsia" w:ascii="Times New Roman" w:hAnsi="Times New Roman"/>
          <w:szCs w:val="24"/>
        </w:rPr>
        <w:t>4.525</w:t>
      </w:r>
      <w:r>
        <w:rPr>
          <w:rFonts w:ascii="Times New Roman" w:hAnsi="Times New Roman"/>
          <w:szCs w:val="24"/>
        </w:rPr>
        <w:t>%</w:t>
      </w:r>
      <w:r>
        <w:rPr>
          <w:rFonts w:ascii="Times New Roman" w:hAnsi="宋体"/>
          <w:szCs w:val="24"/>
        </w:rPr>
        <w:t>；在</w:t>
      </w:r>
      <w:r>
        <w:rPr>
          <w:rFonts w:hint="eastAsia" w:ascii="Times New Roman" w:hAnsi="宋体"/>
          <w:szCs w:val="24"/>
        </w:rPr>
        <w:t>LX104井场蒸发处理站燃气锅炉</w:t>
      </w:r>
      <w:r>
        <w:rPr>
          <w:rFonts w:ascii="Times New Roman" w:hAnsi="宋体"/>
          <w:szCs w:val="24"/>
        </w:rPr>
        <w:t>烟囱出口的下风向距离为</w:t>
      </w:r>
      <w:r>
        <w:rPr>
          <w:rFonts w:hint="eastAsia" w:ascii="Times New Roman" w:hAnsi="Times New Roman"/>
          <w:szCs w:val="24"/>
        </w:rPr>
        <w:t>178</w:t>
      </w:r>
      <w:r>
        <w:rPr>
          <w:rFonts w:ascii="Times New Roman" w:hAnsi="Times New Roman"/>
          <w:szCs w:val="24"/>
        </w:rPr>
        <w:t>m</w:t>
      </w:r>
      <w:r>
        <w:rPr>
          <w:rFonts w:ascii="Times New Roman" w:hAnsi="宋体"/>
          <w:szCs w:val="24"/>
        </w:rPr>
        <w:t>处</w:t>
      </w:r>
      <w:r>
        <w:rPr>
          <w:rFonts w:hint="eastAsia" w:ascii="Times New Roman" w:hAnsi="宋体"/>
          <w:szCs w:val="24"/>
        </w:rPr>
        <w:t>NOx</w:t>
      </w:r>
      <w:r>
        <w:rPr>
          <w:rFonts w:ascii="Times New Roman" w:hAnsi="宋体"/>
          <w:szCs w:val="24"/>
        </w:rPr>
        <w:t>浓度达到最大值</w:t>
      </w:r>
      <w:r>
        <w:rPr>
          <w:rFonts w:ascii="Times New Roman" w:hAnsi="Times New Roman"/>
          <w:szCs w:val="24"/>
        </w:rPr>
        <w:t>0.0</w:t>
      </w:r>
      <w:r>
        <w:rPr>
          <w:rFonts w:hint="eastAsia" w:ascii="Times New Roman" w:hAnsi="Times New Roman"/>
          <w:szCs w:val="24"/>
        </w:rPr>
        <w:t>1086</w:t>
      </w:r>
      <w:r>
        <w:rPr>
          <w:rFonts w:ascii="Times New Roman" w:hAnsi="Times New Roman"/>
          <w:szCs w:val="24"/>
        </w:rPr>
        <w:t>mg/m</w:t>
      </w:r>
      <w:r>
        <w:rPr>
          <w:rFonts w:ascii="Times New Roman" w:hAnsi="Times New Roman"/>
          <w:szCs w:val="24"/>
          <w:vertAlign w:val="superscript"/>
        </w:rPr>
        <w:t>3</w:t>
      </w:r>
      <w:r>
        <w:rPr>
          <w:rFonts w:ascii="Times New Roman" w:hAnsi="宋体"/>
          <w:szCs w:val="24"/>
        </w:rPr>
        <w:t>，为标准值的</w:t>
      </w:r>
      <w:r>
        <w:rPr>
          <w:rFonts w:hint="eastAsia" w:ascii="Times New Roman" w:hAnsi="Times New Roman"/>
          <w:szCs w:val="24"/>
        </w:rPr>
        <w:t>4.525</w:t>
      </w:r>
      <w:r>
        <w:rPr>
          <w:rFonts w:ascii="Times New Roman" w:hAnsi="Times New Roman"/>
          <w:szCs w:val="24"/>
        </w:rPr>
        <w:t>%</w:t>
      </w:r>
      <w:r>
        <w:rPr>
          <w:rFonts w:ascii="Times New Roman" w:hAnsi="宋体"/>
          <w:szCs w:val="24"/>
        </w:rPr>
        <w:t>；在</w:t>
      </w:r>
      <w:r>
        <w:rPr>
          <w:rFonts w:hint="eastAsia" w:ascii="Times New Roman" w:hAnsi="宋体"/>
          <w:szCs w:val="24"/>
        </w:rPr>
        <w:t>办公生活区供暖燃气锅炉</w:t>
      </w:r>
      <w:r>
        <w:rPr>
          <w:rFonts w:ascii="Times New Roman" w:hAnsi="宋体"/>
          <w:szCs w:val="24"/>
        </w:rPr>
        <w:t>烟囱出口的下风向距离为</w:t>
      </w:r>
      <w:r>
        <w:rPr>
          <w:rFonts w:hint="eastAsia" w:ascii="Times New Roman" w:hAnsi="宋体"/>
          <w:szCs w:val="24"/>
        </w:rPr>
        <w:t>162</w:t>
      </w:r>
      <w:r>
        <w:rPr>
          <w:rFonts w:ascii="Times New Roman" w:hAnsi="宋体"/>
          <w:szCs w:val="24"/>
        </w:rPr>
        <w:t>m处</w:t>
      </w:r>
      <w:r>
        <w:rPr>
          <w:rFonts w:hint="eastAsia" w:ascii="Times New Roman" w:hAnsi="宋体"/>
          <w:szCs w:val="24"/>
        </w:rPr>
        <w:t>NOx</w:t>
      </w:r>
      <w:r>
        <w:rPr>
          <w:rFonts w:ascii="Times New Roman" w:hAnsi="宋体"/>
          <w:szCs w:val="24"/>
        </w:rPr>
        <w:t>浓度达到最大值0.0</w:t>
      </w:r>
      <w:r>
        <w:rPr>
          <w:rFonts w:hint="eastAsia" w:ascii="Times New Roman" w:hAnsi="宋体"/>
          <w:szCs w:val="24"/>
        </w:rPr>
        <w:t>09558</w:t>
      </w:r>
      <w:r>
        <w:rPr>
          <w:rFonts w:ascii="Times New Roman" w:hAnsi="宋体"/>
          <w:szCs w:val="24"/>
        </w:rPr>
        <w:t>mg/m</w:t>
      </w:r>
      <w:r>
        <w:rPr>
          <w:rFonts w:ascii="Times New Roman" w:hAnsi="宋体"/>
          <w:szCs w:val="24"/>
          <w:vertAlign w:val="superscript"/>
        </w:rPr>
        <w:t>3</w:t>
      </w:r>
      <w:r>
        <w:rPr>
          <w:rFonts w:ascii="Times New Roman" w:hAnsi="宋体"/>
          <w:szCs w:val="24"/>
        </w:rPr>
        <w:t>，为标准值的</w:t>
      </w:r>
      <w:r>
        <w:rPr>
          <w:rFonts w:hint="eastAsia" w:ascii="Times New Roman" w:hAnsi="宋体"/>
          <w:szCs w:val="24"/>
        </w:rPr>
        <w:t>3.9825</w:t>
      </w:r>
      <w:r>
        <w:rPr>
          <w:rFonts w:ascii="Times New Roman" w:hAnsi="宋体"/>
          <w:szCs w:val="24"/>
        </w:rPr>
        <w:t>%。可以看出，</w:t>
      </w:r>
      <w:r>
        <w:rPr>
          <w:rFonts w:hint="eastAsia" w:ascii="Times New Roman" w:hAnsi="宋体"/>
          <w:szCs w:val="24"/>
        </w:rPr>
        <w:t>项目燃气</w:t>
      </w:r>
      <w:r>
        <w:rPr>
          <w:rFonts w:ascii="Times New Roman" w:hAnsi="宋体"/>
          <w:szCs w:val="24"/>
        </w:rPr>
        <w:t>锅炉烟气对环境空气质量影响较小。</w:t>
      </w:r>
    </w:p>
    <w:p>
      <w:pPr>
        <w:ind w:firstLine="0" w:firstLineChars="0"/>
        <w:rPr>
          <w:rFonts w:ascii="Times New Roman" w:hAnsi="Times New Roman"/>
          <w:b/>
          <w:szCs w:val="24"/>
        </w:rPr>
      </w:pPr>
      <w:r>
        <w:rPr>
          <w:rFonts w:hint="eastAsia" w:ascii="Times New Roman" w:hAnsi="Times New Roman"/>
          <w:b/>
          <w:szCs w:val="24"/>
        </w:rPr>
        <w:t>5.2.1.2 集输过程烃类气体对环境空气的影响</w:t>
      </w:r>
    </w:p>
    <w:p>
      <w:pPr>
        <w:ind w:firstLine="480"/>
        <w:rPr>
          <w:rFonts w:ascii="Times New Roman" w:hAnsi="Times New Roman"/>
          <w:szCs w:val="24"/>
        </w:rPr>
      </w:pPr>
      <w:r>
        <w:rPr>
          <w:rFonts w:ascii="Times New Roman" w:hAnsi="Times New Roman"/>
          <w:szCs w:val="24"/>
        </w:rPr>
        <w:t>烃类气体的挥发损失存在于煤成气生产全过程的各个节点上，主要节点为单井、集气站等。煤成气集输及处理采用全密闭流程，极大的减少了烃类气体的挥发量</w:t>
      </w:r>
      <w:r>
        <w:rPr>
          <w:rFonts w:hint="eastAsia" w:ascii="Times New Roman" w:hAnsi="Times New Roman"/>
          <w:szCs w:val="24"/>
        </w:rPr>
        <w:t>。根据工程分析，生产过程中集气站煤成气最大散逸量为6.4万t/a，</w:t>
      </w:r>
      <w:r>
        <w:rPr>
          <w:rFonts w:ascii="Times New Roman" w:hAnsi="Times New Roman"/>
          <w:szCs w:val="24"/>
        </w:rPr>
        <w:t>其中甲烷</w:t>
      </w:r>
      <w:r>
        <w:rPr>
          <w:rFonts w:hint="eastAsia" w:ascii="Times New Roman" w:hAnsi="Times New Roman"/>
          <w:szCs w:val="24"/>
        </w:rPr>
        <w:t>排放</w:t>
      </w:r>
      <w:r>
        <w:rPr>
          <w:rFonts w:ascii="Times New Roman" w:hAnsi="Times New Roman"/>
          <w:szCs w:val="24"/>
        </w:rPr>
        <w:t>量约为</w:t>
      </w:r>
      <w:r>
        <w:rPr>
          <w:rFonts w:hint="eastAsia" w:ascii="Times New Roman" w:hAnsi="Times New Roman"/>
          <w:szCs w:val="24"/>
        </w:rPr>
        <w:t>6.334</w:t>
      </w:r>
      <w:r>
        <w:rPr>
          <w:rFonts w:ascii="Times New Roman" w:hAnsi="Times New Roman"/>
          <w:szCs w:val="24"/>
        </w:rPr>
        <w:t>万m</w:t>
      </w:r>
      <w:r>
        <w:rPr>
          <w:rFonts w:ascii="Times New Roman" w:hAnsi="Times New Roman"/>
          <w:szCs w:val="24"/>
          <w:vertAlign w:val="superscript"/>
        </w:rPr>
        <w:t>3</w:t>
      </w:r>
      <w:r>
        <w:rPr>
          <w:rFonts w:ascii="Times New Roman" w:hAnsi="Times New Roman"/>
          <w:szCs w:val="24"/>
        </w:rPr>
        <w:t>/a</w:t>
      </w:r>
      <w:r>
        <w:rPr>
          <w:rFonts w:hint="eastAsia" w:ascii="Times New Roman" w:hAnsi="Times New Roman"/>
          <w:szCs w:val="24"/>
        </w:rPr>
        <w:t>，非甲烷</w:t>
      </w:r>
      <w:r>
        <w:rPr>
          <w:rFonts w:ascii="Times New Roman" w:hAnsi="Times New Roman"/>
          <w:szCs w:val="24"/>
        </w:rPr>
        <w:t>总烃</w:t>
      </w:r>
      <w:r>
        <w:rPr>
          <w:rFonts w:hint="eastAsia" w:ascii="Times New Roman" w:hAnsi="Times New Roman"/>
          <w:szCs w:val="24"/>
        </w:rPr>
        <w:t>排放量为0.064</w:t>
      </w:r>
      <w:r>
        <w:rPr>
          <w:rFonts w:ascii="Times New Roman" w:hAnsi="Times New Roman"/>
          <w:szCs w:val="24"/>
        </w:rPr>
        <w:t>万m</w:t>
      </w:r>
      <w:r>
        <w:rPr>
          <w:rFonts w:ascii="Times New Roman" w:hAnsi="Times New Roman"/>
          <w:szCs w:val="24"/>
          <w:vertAlign w:val="superscript"/>
        </w:rPr>
        <w:t>3</w:t>
      </w:r>
      <w:r>
        <w:rPr>
          <w:rFonts w:ascii="Times New Roman" w:hAnsi="Times New Roman"/>
          <w:szCs w:val="24"/>
        </w:rPr>
        <w:t>/a。</w:t>
      </w:r>
    </w:p>
    <w:p>
      <w:pPr>
        <w:ind w:firstLine="480"/>
        <w:rPr>
          <w:rFonts w:ascii="Times New Roman" w:hAnsi="Times New Roman"/>
          <w:szCs w:val="24"/>
        </w:rPr>
      </w:pPr>
      <w:r>
        <w:rPr>
          <w:rFonts w:hint="eastAsia" w:ascii="Times New Roman" w:hAnsi="Times New Roman"/>
          <w:szCs w:val="24"/>
        </w:rPr>
        <w:t>经类比调查可知，井场和集气站非甲烷总烃无组织挥发均满足《大气污染物综合排放标准》（GB16297-1996）中无组织排放监控浓度限值4.0mg/m</w:t>
      </w:r>
      <w:r>
        <w:rPr>
          <w:rFonts w:hint="eastAsia" w:ascii="Times New Roman" w:hAnsi="Times New Roman"/>
          <w:szCs w:val="24"/>
          <w:vertAlign w:val="superscript"/>
        </w:rPr>
        <w:t>3</w:t>
      </w:r>
      <w:r>
        <w:rPr>
          <w:rFonts w:hint="eastAsia" w:ascii="Times New Roman" w:hAnsi="Times New Roman"/>
          <w:szCs w:val="24"/>
        </w:rPr>
        <w:t>的规定，对区域环境不会产生明显影响。</w:t>
      </w:r>
    </w:p>
    <w:p>
      <w:pPr>
        <w:ind w:firstLine="0" w:firstLineChars="0"/>
        <w:outlineLvl w:val="2"/>
        <w:rPr>
          <w:rFonts w:ascii="Times New Roman" w:hAnsi="Times New Roman"/>
          <w:b/>
          <w:sz w:val="28"/>
          <w:szCs w:val="28"/>
        </w:rPr>
      </w:pPr>
      <w:bookmarkStart w:id="90" w:name="_Toc524624619"/>
      <w:r>
        <w:rPr>
          <w:rFonts w:hint="eastAsia" w:ascii="Times New Roman" w:hAnsi="Times New Roman"/>
          <w:b/>
          <w:sz w:val="28"/>
          <w:szCs w:val="28"/>
        </w:rPr>
        <w:t>5.2.2 运营期地表水环境影响分析</w:t>
      </w:r>
      <w:bookmarkEnd w:id="90"/>
    </w:p>
    <w:p>
      <w:pPr>
        <w:ind w:firstLine="480"/>
        <w:rPr>
          <w:rFonts w:ascii="Times New Roman" w:hAnsi="Times New Roman"/>
          <w:szCs w:val="24"/>
        </w:rPr>
      </w:pPr>
      <w:r>
        <w:rPr>
          <w:rFonts w:hint="eastAsia" w:ascii="Times New Roman" w:hAnsi="Times New Roman"/>
          <w:szCs w:val="24"/>
        </w:rPr>
        <w:t>本项目运营期的废水主要包括集气站生产废水和生活废水。</w:t>
      </w:r>
    </w:p>
    <w:p>
      <w:pPr>
        <w:ind w:firstLine="480"/>
        <w:rPr>
          <w:rFonts w:ascii="Times New Roman" w:hAnsi="Times New Roman"/>
          <w:szCs w:val="24"/>
        </w:rPr>
      </w:pPr>
      <w:r>
        <w:rPr>
          <w:rFonts w:hint="eastAsia" w:ascii="Times New Roman" w:hAnsi="Times New Roman"/>
          <w:szCs w:val="24"/>
        </w:rPr>
        <w:t>（1）生产废水对地表水环境的影响</w:t>
      </w:r>
    </w:p>
    <w:p>
      <w:pPr>
        <w:ind w:firstLine="480"/>
        <w:rPr>
          <w:rFonts w:ascii="Times New Roman" w:hAnsi="Times New Roman"/>
          <w:szCs w:val="24"/>
        </w:rPr>
      </w:pPr>
      <w:r>
        <w:rPr>
          <w:rFonts w:ascii="Times New Roman" w:hAnsi="Times New Roman"/>
          <w:szCs w:val="24"/>
        </w:rPr>
        <w:t>集气站生产废水主要为煤成气生产过程中夹带的少量地层水以及冬季防止煤成气中水分结冻的防冻剂Z-6环保型抑制剂。煤成气经生产分离撬分离出的废水中主要污染物为</w:t>
      </w:r>
      <w:r>
        <w:rPr>
          <w:rFonts w:hint="eastAsia" w:ascii="Times New Roman" w:hAnsi="Times New Roman"/>
          <w:szCs w:val="24"/>
        </w:rPr>
        <w:t>SS</w:t>
      </w:r>
      <w:r>
        <w:rPr>
          <w:rFonts w:ascii="Times New Roman" w:hAnsi="Times New Roman"/>
          <w:szCs w:val="24"/>
        </w:rPr>
        <w:t>、氯化物和石油类。根据工程预测，</w:t>
      </w:r>
      <w:r>
        <w:rPr>
          <w:rFonts w:ascii="Times New Roman" w:hAnsi="Times New Roman"/>
          <w:szCs w:val="24"/>
          <w:lang w:val="zh-CN"/>
        </w:rPr>
        <w:t>本项目生产废水产生量为1.6万m</w:t>
      </w:r>
      <w:r>
        <w:rPr>
          <w:rFonts w:ascii="Times New Roman" w:hAnsi="Times New Roman"/>
          <w:szCs w:val="24"/>
          <w:vertAlign w:val="superscript"/>
          <w:lang w:val="zh-CN"/>
        </w:rPr>
        <w:t>3</w:t>
      </w:r>
      <w:r>
        <w:rPr>
          <w:rFonts w:ascii="Times New Roman" w:hAnsi="Times New Roman"/>
          <w:szCs w:val="24"/>
          <w:lang w:val="zh-CN"/>
        </w:rPr>
        <w:t>/a（48.5m</w:t>
      </w:r>
      <w:r>
        <w:rPr>
          <w:rFonts w:ascii="Times New Roman" w:hAnsi="Times New Roman"/>
          <w:szCs w:val="24"/>
          <w:vertAlign w:val="superscript"/>
          <w:lang w:val="zh-CN"/>
        </w:rPr>
        <w:t>3</w:t>
      </w:r>
      <w:r>
        <w:rPr>
          <w:rFonts w:ascii="Times New Roman" w:hAnsi="Times New Roman"/>
          <w:szCs w:val="24"/>
          <w:lang w:val="zh-CN"/>
        </w:rPr>
        <w:t>/d）</w:t>
      </w:r>
      <w:r>
        <w:rPr>
          <w:rFonts w:hint="eastAsia" w:ascii="Times New Roman" w:hAnsi="Times New Roman"/>
          <w:szCs w:val="24"/>
          <w:lang w:val="zh-CN"/>
        </w:rPr>
        <w:t>，</w:t>
      </w:r>
      <w:r>
        <w:rPr>
          <w:rFonts w:ascii="Times New Roman" w:hAnsi="Times New Roman"/>
          <w:szCs w:val="24"/>
          <w:lang w:val="zh-CN"/>
        </w:rPr>
        <w:t>集气站</w:t>
      </w:r>
      <w:r>
        <w:rPr>
          <w:rFonts w:hint="eastAsia" w:ascii="Times New Roman" w:hAnsi="Times New Roman"/>
          <w:szCs w:val="24"/>
          <w:lang w:val="zh-CN"/>
        </w:rPr>
        <w:t>远期达产后</w:t>
      </w:r>
      <w:r>
        <w:rPr>
          <w:rFonts w:ascii="Times New Roman" w:hAnsi="Times New Roman"/>
          <w:szCs w:val="24"/>
          <w:lang w:val="zh-CN"/>
        </w:rPr>
        <w:t>采出废水产生量为3万m</w:t>
      </w:r>
      <w:r>
        <w:rPr>
          <w:rFonts w:ascii="Times New Roman" w:hAnsi="Times New Roman"/>
          <w:szCs w:val="24"/>
          <w:vertAlign w:val="superscript"/>
          <w:lang w:val="zh-CN"/>
        </w:rPr>
        <w:t>3</w:t>
      </w:r>
      <w:r>
        <w:rPr>
          <w:rFonts w:ascii="Times New Roman" w:hAnsi="Times New Roman"/>
          <w:szCs w:val="24"/>
          <w:lang w:val="zh-CN"/>
        </w:rPr>
        <w:t>/a（90.9m</w:t>
      </w:r>
      <w:r>
        <w:rPr>
          <w:rFonts w:ascii="Times New Roman" w:hAnsi="Times New Roman"/>
          <w:szCs w:val="24"/>
          <w:vertAlign w:val="superscript"/>
          <w:lang w:val="zh-CN"/>
        </w:rPr>
        <w:t>3</w:t>
      </w:r>
      <w:r>
        <w:rPr>
          <w:rFonts w:ascii="Times New Roman" w:hAnsi="Times New Roman"/>
          <w:szCs w:val="24"/>
          <w:lang w:val="zh-CN"/>
        </w:rPr>
        <w:t>/d）</w:t>
      </w:r>
      <w:r>
        <w:rPr>
          <w:rFonts w:ascii="Times New Roman" w:hAnsi="Times New Roman"/>
          <w:szCs w:val="24"/>
        </w:rPr>
        <w:t>。</w:t>
      </w:r>
    </w:p>
    <w:p>
      <w:pPr>
        <w:ind w:firstLine="480"/>
        <w:rPr>
          <w:rFonts w:ascii="Times New Roman" w:hAnsi="Times New Roman"/>
          <w:szCs w:val="24"/>
        </w:rPr>
      </w:pPr>
      <w:r>
        <w:rPr>
          <w:rFonts w:ascii="Times New Roman" w:hAnsi="Times New Roman"/>
          <w:szCs w:val="24"/>
        </w:rPr>
        <w:t>从集气站生产分离撬分离出来的采出水经</w:t>
      </w:r>
      <w:r>
        <w:rPr>
          <w:rFonts w:hint="eastAsia" w:ascii="Times New Roman" w:hAnsi="Times New Roman"/>
          <w:szCs w:val="24"/>
        </w:rPr>
        <w:t>废水管线</w:t>
      </w:r>
      <w:r>
        <w:rPr>
          <w:rFonts w:ascii="Times New Roman" w:hAnsi="Times New Roman"/>
          <w:szCs w:val="24"/>
        </w:rPr>
        <w:t>输送至LX-103井场的采出水净化处理站</w:t>
      </w:r>
      <w:r>
        <w:rPr>
          <w:rFonts w:hint="eastAsia" w:ascii="Times New Roman" w:hAnsi="Times New Roman"/>
          <w:szCs w:val="24"/>
        </w:rPr>
        <w:t>，净化处理站处理后的废水经原注醇管线至</w:t>
      </w:r>
      <w:r>
        <w:rPr>
          <w:rFonts w:ascii="Times New Roman" w:hAnsi="Times New Roman"/>
          <w:szCs w:val="24"/>
        </w:rPr>
        <w:t>LX-104井场的蒸发处理站处理，</w:t>
      </w:r>
      <w:r>
        <w:rPr>
          <w:rFonts w:hint="eastAsia" w:ascii="Times New Roman" w:hAnsi="Times New Roman"/>
          <w:szCs w:val="24"/>
        </w:rPr>
        <w:t>废水</w:t>
      </w:r>
      <w:r>
        <w:rPr>
          <w:rFonts w:ascii="Times New Roman" w:hAnsi="Times New Roman"/>
          <w:szCs w:val="24"/>
        </w:rPr>
        <w:t>自然蒸发，Z-6环保型抑制剂</w:t>
      </w:r>
      <w:r>
        <w:rPr>
          <w:rFonts w:hint="eastAsia" w:ascii="Times New Roman" w:hAnsi="Times New Roman"/>
          <w:szCs w:val="24"/>
        </w:rPr>
        <w:t>存于蒸发池内，定期由罐车输送至各井场</w:t>
      </w:r>
      <w:r>
        <w:rPr>
          <w:rFonts w:ascii="Times New Roman" w:hAnsi="Times New Roman"/>
          <w:szCs w:val="24"/>
        </w:rPr>
        <w:t>。本项目生产废水不外排，对周边水体环境影响较小。</w:t>
      </w:r>
    </w:p>
    <w:p>
      <w:pPr>
        <w:ind w:firstLine="480"/>
        <w:rPr>
          <w:rFonts w:ascii="Times New Roman" w:hAnsi="Times New Roman"/>
          <w:szCs w:val="24"/>
        </w:rPr>
      </w:pPr>
      <w:r>
        <w:rPr>
          <w:rFonts w:hint="eastAsia" w:ascii="Times New Roman" w:hAnsi="Times New Roman"/>
          <w:szCs w:val="24"/>
        </w:rPr>
        <w:t>（2）生活废水对地表水环境的影响</w:t>
      </w:r>
    </w:p>
    <w:p>
      <w:pPr>
        <w:snapToGrid w:val="0"/>
        <w:ind w:firstLine="480"/>
        <w:rPr>
          <w:rFonts w:ascii="Times New Roman" w:hAnsi="Times New Roman"/>
          <w:szCs w:val="24"/>
          <w:lang w:val="zh-CN"/>
        </w:rPr>
      </w:pPr>
      <w:r>
        <w:rPr>
          <w:rFonts w:ascii="Times New Roman" w:hAnsi="Times New Roman"/>
          <w:szCs w:val="24"/>
          <w:lang w:val="zh-CN"/>
        </w:rPr>
        <w:t>生活废水主要来源于办公生活区和集气站。</w:t>
      </w:r>
    </w:p>
    <w:p>
      <w:pPr>
        <w:snapToGrid w:val="0"/>
        <w:ind w:firstLine="480"/>
        <w:rPr>
          <w:rFonts w:ascii="Times New Roman" w:hAnsi="Times New Roman"/>
          <w:szCs w:val="24"/>
          <w:lang w:val="zh-CN"/>
        </w:rPr>
      </w:pPr>
      <w:r>
        <w:rPr>
          <w:rFonts w:ascii="Times New Roman" w:hAnsi="Times New Roman"/>
          <w:szCs w:val="24"/>
          <w:lang w:val="zh-CN"/>
        </w:rPr>
        <w:t>办公生活区建设水冲厕，生活废水产生量为</w:t>
      </w:r>
      <w:r>
        <w:rPr>
          <w:rFonts w:hint="eastAsia" w:ascii="Times New Roman" w:hAnsi="Times New Roman"/>
          <w:szCs w:val="24"/>
          <w:lang w:val="zh-CN"/>
        </w:rPr>
        <w:t>20</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/d，主要污染物为COD、SS、NH</w:t>
      </w:r>
      <w:r>
        <w:rPr>
          <w:rFonts w:ascii="Times New Roman" w:hAnsi="Times New Roman"/>
          <w:szCs w:val="24"/>
          <w:vertAlign w:val="subscript"/>
          <w:lang w:val="zh-CN"/>
        </w:rPr>
        <w:t>3</w:t>
      </w:r>
      <w:r>
        <w:rPr>
          <w:rFonts w:ascii="Times New Roman" w:hAnsi="Times New Roman"/>
          <w:szCs w:val="24"/>
          <w:lang w:val="zh-CN"/>
        </w:rPr>
        <w:t>-N和动植物油。食堂废水经隔油池处理后与其他生活废水经管线排入办公生活区生活废水处理站。处理后的达标废水</w:t>
      </w:r>
      <w:r>
        <w:rPr>
          <w:rFonts w:hint="eastAsia" w:ascii="Times New Roman" w:hAnsi="Times New Roman"/>
          <w:szCs w:val="24"/>
          <w:lang w:val="zh-CN"/>
        </w:rPr>
        <w:t>全部</w:t>
      </w:r>
      <w:r>
        <w:rPr>
          <w:rFonts w:ascii="Times New Roman" w:hAnsi="Times New Roman"/>
          <w:szCs w:val="24"/>
          <w:lang w:val="zh-CN"/>
        </w:rPr>
        <w:t>用于</w:t>
      </w:r>
      <w:r>
        <w:rPr>
          <w:rFonts w:hint="eastAsia" w:ascii="Times New Roman" w:hAnsi="Times New Roman"/>
          <w:szCs w:val="24"/>
          <w:lang w:val="zh-CN"/>
        </w:rPr>
        <w:t>办公生活区</w:t>
      </w:r>
      <w:r>
        <w:rPr>
          <w:rFonts w:ascii="Times New Roman" w:hAnsi="Times New Roman"/>
          <w:szCs w:val="24"/>
          <w:lang w:val="zh-CN"/>
        </w:rPr>
        <w:t>绿化和降尘用水。</w:t>
      </w:r>
    </w:p>
    <w:p>
      <w:pPr>
        <w:snapToGrid w:val="0"/>
        <w:ind w:firstLine="480"/>
        <w:rPr>
          <w:rFonts w:ascii="Times New Roman" w:hAnsi="Times New Roman"/>
          <w:szCs w:val="24"/>
        </w:rPr>
      </w:pPr>
      <w:r>
        <w:rPr>
          <w:rFonts w:ascii="Times New Roman" w:hAnsi="Times New Roman"/>
          <w:szCs w:val="24"/>
        </w:rPr>
        <w:t>集气站</w:t>
      </w:r>
      <w:r>
        <w:rPr>
          <w:rFonts w:hint="eastAsia" w:ascii="Times New Roman" w:hAnsi="Times New Roman"/>
          <w:szCs w:val="24"/>
        </w:rPr>
        <w:t>不设</w:t>
      </w:r>
      <w:r>
        <w:rPr>
          <w:rFonts w:ascii="Times New Roman" w:hAnsi="Times New Roman"/>
          <w:szCs w:val="24"/>
        </w:rPr>
        <w:t>旱厕，生活废水主要为盥洗废水，产生量为0.32m</w:t>
      </w:r>
      <w:r>
        <w:rPr>
          <w:rFonts w:ascii="Times New Roman" w:hAnsi="Times New Roman"/>
          <w:szCs w:val="24"/>
          <w:vertAlign w:val="superscript"/>
        </w:rPr>
        <w:t>3</w:t>
      </w:r>
      <w:r>
        <w:rPr>
          <w:rFonts w:ascii="Times New Roman" w:hAnsi="Times New Roman"/>
          <w:szCs w:val="24"/>
        </w:rPr>
        <w:t>/d。盥洗废水作为降尘废水，不外排。</w:t>
      </w:r>
    </w:p>
    <w:p>
      <w:pPr>
        <w:ind w:firstLine="480"/>
        <w:rPr>
          <w:rFonts w:ascii="Times New Roman" w:hAnsi="Times New Roman"/>
          <w:szCs w:val="24"/>
        </w:rPr>
      </w:pPr>
      <w:r>
        <w:rPr>
          <w:rFonts w:hint="eastAsia" w:ascii="Times New Roman" w:hAnsi="Times New Roman"/>
          <w:szCs w:val="24"/>
        </w:rPr>
        <w:t>因此，本项目生活废水不会对周边地表水环境产生影响。</w:t>
      </w:r>
    </w:p>
    <w:p>
      <w:pPr>
        <w:ind w:firstLine="0" w:firstLineChars="0"/>
        <w:outlineLvl w:val="2"/>
        <w:rPr>
          <w:rFonts w:ascii="Times New Roman" w:hAnsi="Times New Roman"/>
          <w:b/>
          <w:sz w:val="28"/>
          <w:szCs w:val="28"/>
        </w:rPr>
      </w:pPr>
      <w:bookmarkStart w:id="91" w:name="_Toc524624620"/>
      <w:r>
        <w:rPr>
          <w:rFonts w:hint="eastAsia" w:ascii="Times New Roman" w:hAnsi="Times New Roman"/>
          <w:b/>
          <w:sz w:val="28"/>
          <w:szCs w:val="28"/>
        </w:rPr>
        <w:t>5.2.3 运营期地下水环境影响分析</w:t>
      </w:r>
      <w:bookmarkEnd w:id="91"/>
    </w:p>
    <w:p>
      <w:pPr>
        <w:ind w:firstLine="0" w:firstLineChars="0"/>
        <w:rPr>
          <w:rFonts w:ascii="Times New Roman" w:hAnsi="Times New Roman"/>
          <w:b/>
          <w:szCs w:val="24"/>
        </w:rPr>
      </w:pPr>
      <w:r>
        <w:rPr>
          <w:rFonts w:ascii="Times New Roman" w:hAnsi="Times New Roman"/>
          <w:b/>
          <w:szCs w:val="24"/>
        </w:rPr>
        <w:t xml:space="preserve">5.2.3.1 </w:t>
      </w:r>
      <w:r>
        <w:rPr>
          <w:rFonts w:hint="eastAsia" w:ascii="Times New Roman" w:hAnsi="Times New Roman"/>
          <w:b/>
          <w:szCs w:val="24"/>
        </w:rPr>
        <w:t>水文地质试验及参数计算</w:t>
      </w:r>
    </w:p>
    <w:p>
      <w:pPr>
        <w:ind w:firstLine="480"/>
        <w:rPr>
          <w:rFonts w:ascii="Times New Roman" w:hAnsi="Times New Roman"/>
          <w:szCs w:val="24"/>
        </w:rPr>
      </w:pPr>
      <w:r>
        <w:rPr>
          <w:rFonts w:hint="eastAsia" w:ascii="Times New Roman" w:hAnsi="Times New Roman"/>
          <w:szCs w:val="24"/>
        </w:rPr>
        <w:t>（1）渗水试验</w:t>
      </w:r>
    </w:p>
    <w:p>
      <w:pPr>
        <w:ind w:firstLine="480"/>
        <w:rPr>
          <w:rFonts w:ascii="Times New Roman" w:hAnsi="Times New Roman"/>
          <w:szCs w:val="24"/>
        </w:rPr>
      </w:pPr>
      <w:r>
        <w:rPr>
          <w:rFonts w:hint="eastAsia" w:ascii="Times New Roman" w:hAnsi="Times New Roman"/>
          <w:szCs w:val="24"/>
        </w:rPr>
        <w:t>1）基本情况</w:t>
      </w:r>
    </w:p>
    <w:p>
      <w:pPr>
        <w:ind w:firstLine="480"/>
        <w:rPr>
          <w:rFonts w:ascii="Times New Roman" w:hAnsi="Times New Roman"/>
          <w:szCs w:val="24"/>
        </w:rPr>
      </w:pPr>
      <w:r>
        <w:rPr>
          <w:rFonts w:hint="eastAsia" w:ascii="Times New Roman" w:hAnsi="Times New Roman"/>
          <w:szCs w:val="24"/>
        </w:rPr>
        <w:t>①试验目的及地层情况</w:t>
      </w:r>
    </w:p>
    <w:p>
      <w:pPr>
        <w:ind w:firstLine="480"/>
        <w:rPr>
          <w:rFonts w:ascii="Times New Roman" w:hAnsi="Times New Roman"/>
          <w:szCs w:val="24"/>
        </w:rPr>
      </w:pPr>
      <w:r>
        <w:rPr>
          <w:rFonts w:hint="eastAsia" w:ascii="Times New Roman" w:hAnsi="Times New Roman"/>
          <w:szCs w:val="24"/>
        </w:rPr>
        <w:t>为查明先导区集气站工业场地及其它场地包气带垂向入渗系数，分别在集气站工业场地下游、LX-104井场附近两个有代表性的地方完成了两组渗水试验，进行渗水试验的地层分别为第四系全新统粉砂土、第四系上更新统粉土。</w:t>
      </w:r>
    </w:p>
    <w:p>
      <w:pPr>
        <w:ind w:firstLine="480"/>
        <w:rPr>
          <w:rFonts w:ascii="Times New Roman" w:hAnsi="Times New Roman"/>
          <w:szCs w:val="24"/>
        </w:rPr>
      </w:pPr>
      <w:r>
        <w:rPr>
          <w:rFonts w:hint="eastAsia" w:ascii="Times New Roman" w:hAnsi="Times New Roman"/>
          <w:szCs w:val="24"/>
        </w:rPr>
        <w:t>②试验方法</w:t>
      </w:r>
    </w:p>
    <w:p>
      <w:pPr>
        <w:ind w:firstLine="480"/>
        <w:rPr>
          <w:rFonts w:ascii="Times New Roman" w:hAnsi="Times New Roman"/>
          <w:szCs w:val="24"/>
        </w:rPr>
      </w:pPr>
      <w:r>
        <w:rPr>
          <w:rFonts w:hint="eastAsia" w:ascii="Times New Roman" w:hAnsi="Times New Roman"/>
          <w:szCs w:val="24"/>
        </w:rPr>
        <w:t>渗水试验为原位渗水试验，为了消除垂向渗水过程中侧向渗流的不利影响采用双环法，双环的直径分别为50cm和40cm，高30cm。双环法在试坑底部同心压入直径不同的试环，然后在内环及内、外环之间的环形空间同时注水，并保持两处水层在同一高度。这样即可认为：在内外环水入渗的过程中，外环的水消耗在了侧向入渗上，而内环的水都消耗在垂向入渗上，为准垂向一维渗流。试验装置包括渗水双环，两套带有刻度的烧杯、水桶、直尺等。</w:t>
      </w:r>
    </w:p>
    <w:p>
      <w:pPr>
        <w:ind w:firstLine="480"/>
        <w:rPr>
          <w:rFonts w:ascii="Times New Roman" w:hAnsi="Times New Roman"/>
          <w:szCs w:val="24"/>
        </w:rPr>
      </w:pPr>
      <w:r>
        <w:rPr>
          <w:rFonts w:hint="eastAsia" w:ascii="Times New Roman" w:hAnsi="Times New Roman"/>
          <w:szCs w:val="24"/>
        </w:rPr>
        <w:t>③技术要求</w:t>
      </w:r>
    </w:p>
    <w:p>
      <w:pPr>
        <w:ind w:firstLine="480"/>
        <w:rPr>
          <w:rFonts w:ascii="Times New Roman" w:hAnsi="Times New Roman"/>
          <w:szCs w:val="24"/>
        </w:rPr>
      </w:pPr>
      <w:r>
        <w:rPr>
          <w:rFonts w:hint="eastAsia" w:ascii="Times New Roman" w:hAnsi="Times New Roman"/>
          <w:szCs w:val="24"/>
        </w:rPr>
        <w:t>a.保证试验期间内环和外环的水层在同一高度。</w:t>
      </w:r>
    </w:p>
    <w:p>
      <w:pPr>
        <w:ind w:firstLine="480"/>
        <w:rPr>
          <w:rFonts w:ascii="Times New Roman" w:hAnsi="Times New Roman"/>
          <w:szCs w:val="24"/>
        </w:rPr>
      </w:pPr>
      <w:r>
        <w:rPr>
          <w:rFonts w:hint="eastAsia" w:ascii="Times New Roman" w:hAnsi="Times New Roman"/>
          <w:szCs w:val="24"/>
        </w:rPr>
        <w:t>b.试验过程中内外环的水层始终大于5cm，内环每加一次水计录一次时间与所加的水量。</w:t>
      </w:r>
    </w:p>
    <w:p>
      <w:pPr>
        <w:ind w:firstLine="480"/>
        <w:rPr>
          <w:rFonts w:ascii="Times New Roman" w:hAnsi="Times New Roman"/>
          <w:szCs w:val="24"/>
        </w:rPr>
      </w:pPr>
      <w:r>
        <w:rPr>
          <w:rFonts w:hint="eastAsia" w:ascii="Times New Roman" w:hAnsi="Times New Roman"/>
          <w:szCs w:val="24"/>
        </w:rPr>
        <w:t>c.观测时间为试验开始后间隔3、5、10、15、30min，不同间隔观测2次，以后每隔30min观测一次。</w:t>
      </w:r>
    </w:p>
    <w:p>
      <w:pPr>
        <w:ind w:firstLine="480"/>
        <w:rPr>
          <w:rFonts w:ascii="Times New Roman" w:hAnsi="Times New Roman"/>
          <w:szCs w:val="24"/>
        </w:rPr>
      </w:pPr>
      <w:r>
        <w:rPr>
          <w:rFonts w:hint="eastAsia" w:ascii="Times New Roman" w:hAnsi="Times New Roman"/>
          <w:szCs w:val="24"/>
        </w:rPr>
        <w:t>d.渗水速度稳定延续1-2小时。</w:t>
      </w:r>
    </w:p>
    <w:p>
      <w:pPr>
        <w:ind w:firstLine="480"/>
        <w:rPr>
          <w:rFonts w:ascii="Times New Roman" w:hAnsi="Times New Roman"/>
          <w:szCs w:val="24"/>
        </w:rPr>
      </w:pPr>
      <w:r>
        <w:rPr>
          <w:rFonts w:hint="eastAsia" w:ascii="Times New Roman" w:hAnsi="Times New Roman"/>
          <w:szCs w:val="24"/>
        </w:rPr>
        <w:t>e.应以水层在所标记位置的时刻为试验结束的时刻。</w:t>
      </w:r>
    </w:p>
    <w:p>
      <w:pPr>
        <w:ind w:firstLine="480"/>
        <w:rPr>
          <w:rFonts w:ascii="Times New Roman" w:hAnsi="Times New Roman"/>
          <w:szCs w:val="24"/>
        </w:rPr>
      </w:pPr>
      <w:r>
        <w:rPr>
          <w:rFonts w:hint="eastAsia" w:ascii="Times New Roman" w:hAnsi="Times New Roman"/>
          <w:szCs w:val="24"/>
        </w:rPr>
        <w:t>2）参数计算及结果</w:t>
      </w:r>
    </w:p>
    <w:p>
      <w:pPr>
        <w:ind w:firstLine="480"/>
      </w:pPr>
      <w:r>
        <w:rPr>
          <w:rFonts w:hint="eastAsia" w:ascii="Times New Roman" w:hAnsi="Times New Roman"/>
          <w:szCs w:val="24"/>
        </w:rPr>
        <w:t>双环渗水试验</w:t>
      </w:r>
      <w:r>
        <w:rPr>
          <w:rFonts w:ascii="Times New Roman" w:hAnsi="Times New Roman"/>
          <w:szCs w:val="24"/>
        </w:rPr>
        <w:t>用内环的渗入水量作为计算</w:t>
      </w:r>
      <w:r>
        <w:rPr>
          <w:rFonts w:hint="eastAsia" w:ascii="Times New Roman" w:hAnsi="Times New Roman"/>
          <w:szCs w:val="24"/>
        </w:rPr>
        <w:t>渗透速度</w:t>
      </w:r>
      <w:r>
        <w:rPr>
          <w:rFonts w:ascii="Times New Roman" w:hAnsi="Times New Roman"/>
          <w:szCs w:val="24"/>
        </w:rPr>
        <w:t>的流量</w:t>
      </w:r>
      <w:r>
        <w:rPr>
          <w:rFonts w:hint="eastAsia" w:ascii="Times New Roman" w:hAnsi="Times New Roman"/>
          <w:szCs w:val="24"/>
        </w:rPr>
        <w:t>，渗透速度计算公式：</w:t>
      </w:r>
      <w:r>
        <w:drawing>
          <wp:inline distT="0" distB="0" distL="0" distR="0">
            <wp:extent cx="457200" cy="4000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57200" cy="400050"/>
                    </a:xfrm>
                    <a:prstGeom prst="rect">
                      <a:avLst/>
                    </a:prstGeom>
                    <a:noFill/>
                    <a:ln>
                      <a:noFill/>
                    </a:ln>
                  </pic:spPr>
                </pic:pic>
              </a:graphicData>
            </a:graphic>
          </wp:inline>
        </w:drawing>
      </w:r>
      <w:r>
        <w:rPr>
          <w:rFonts w:hint="eastAsia"/>
        </w:rPr>
        <w:t>（6-1）</w:t>
      </w:r>
    </w:p>
    <w:p>
      <w:pPr>
        <w:ind w:firstLine="480"/>
        <w:rPr>
          <w:rFonts w:ascii="Times New Roman" w:hAnsi="Times New Roman"/>
        </w:rPr>
      </w:pPr>
      <w:r>
        <w:rPr>
          <w:rFonts w:ascii="Times New Roman" w:hAnsi="Times New Roman"/>
        </w:rPr>
        <w:t>式中：</w:t>
      </w:r>
      <w:r>
        <w:rPr>
          <w:rFonts w:ascii="Times New Roman" w:hAnsi="Times New Roman"/>
          <w:i/>
        </w:rPr>
        <w:t>V</w:t>
      </w:r>
      <w:r>
        <w:rPr>
          <w:rFonts w:ascii="Times New Roman" w:hAnsi="Times New Roman"/>
        </w:rPr>
        <w:t>—渗透速度；此时等于该地层垂向渗透系数K</w:t>
      </w:r>
      <w:r>
        <w:rPr>
          <w:rFonts w:ascii="Times New Roman" w:hAnsi="Times New Roman"/>
          <w:vertAlign w:val="subscript"/>
        </w:rPr>
        <w:t>d</w:t>
      </w:r>
      <w:r>
        <w:rPr>
          <w:rFonts w:ascii="Times New Roman" w:hAnsi="Times New Roman"/>
        </w:rPr>
        <w:t>（m/d）；</w:t>
      </w:r>
    </w:p>
    <w:p>
      <w:pPr>
        <w:ind w:firstLine="480"/>
        <w:rPr>
          <w:rFonts w:ascii="Times New Roman" w:hAnsi="Times New Roman"/>
        </w:rPr>
      </w:pPr>
      <w:r>
        <w:rPr>
          <w:rFonts w:ascii="Times New Roman" w:hAnsi="Times New Roman"/>
          <w:i/>
        </w:rPr>
        <w:t>Q</w:t>
      </w:r>
      <w:r>
        <w:rPr>
          <w:rFonts w:ascii="Times New Roman" w:hAnsi="Times New Roman"/>
        </w:rPr>
        <w:t>—渗流量（m</w:t>
      </w:r>
      <w:r>
        <w:rPr>
          <w:rFonts w:ascii="Times New Roman" w:hAnsi="Times New Roman"/>
          <w:vertAlign w:val="superscript"/>
        </w:rPr>
        <w:t>3</w:t>
      </w:r>
      <w:r>
        <w:rPr>
          <w:rFonts w:ascii="Times New Roman" w:hAnsi="Times New Roman"/>
        </w:rPr>
        <w:t>/d）；</w:t>
      </w:r>
    </w:p>
    <w:p>
      <w:pPr>
        <w:ind w:firstLine="480"/>
        <w:rPr>
          <w:rFonts w:ascii="Times New Roman" w:hAnsi="Times New Roman"/>
        </w:rPr>
      </w:pPr>
      <w:r>
        <w:rPr>
          <w:rFonts w:ascii="Times New Roman" w:hAnsi="Times New Roman"/>
          <w:i/>
        </w:rPr>
        <w:t>F</w:t>
      </w:r>
      <w:r>
        <w:rPr>
          <w:rFonts w:ascii="Times New Roman" w:hAnsi="Times New Roman"/>
        </w:rPr>
        <w:t>—内环过水面积（m</w:t>
      </w:r>
      <w:r>
        <w:rPr>
          <w:rFonts w:ascii="Times New Roman" w:hAnsi="Times New Roman"/>
          <w:vertAlign w:val="superscript"/>
        </w:rPr>
        <w:t>2</w:t>
      </w:r>
      <w:r>
        <w:rPr>
          <w:rFonts w:ascii="Times New Roman" w:hAnsi="Times New Roman"/>
        </w:rPr>
        <w:t>），取0.126m</w:t>
      </w:r>
      <w:r>
        <w:rPr>
          <w:rFonts w:ascii="Times New Roman" w:hAnsi="Times New Roman"/>
          <w:vertAlign w:val="superscript"/>
        </w:rPr>
        <w:t>2</w:t>
      </w:r>
      <w:r>
        <w:rPr>
          <w:rFonts w:ascii="Times New Roman" w:hAnsi="Times New Roman"/>
        </w:rPr>
        <w:t>。</w:t>
      </w:r>
    </w:p>
    <w:p>
      <w:pPr>
        <w:ind w:firstLine="480"/>
        <w:rPr>
          <w:rFonts w:ascii="Times New Roman" w:hAnsi="Times New Roman"/>
          <w:szCs w:val="24"/>
        </w:rPr>
      </w:pPr>
      <w:r>
        <w:rPr>
          <w:rFonts w:ascii="Times New Roman" w:hAnsi="Times New Roman"/>
          <w:szCs w:val="24"/>
        </w:rPr>
        <w:t>渗透速度结果见表</w:t>
      </w:r>
      <w:r>
        <w:rPr>
          <w:rFonts w:hint="eastAsia" w:ascii="Times New Roman" w:hAnsi="Times New Roman"/>
          <w:szCs w:val="24"/>
        </w:rPr>
        <w:t>5.2-3</w:t>
      </w:r>
      <w:r>
        <w:rPr>
          <w:rFonts w:ascii="Times New Roman" w:hAnsi="Times New Roman"/>
          <w:szCs w:val="24"/>
        </w:rPr>
        <w:t>、表</w:t>
      </w:r>
      <w:r>
        <w:rPr>
          <w:rFonts w:hint="eastAsia" w:ascii="Times New Roman" w:hAnsi="Times New Roman"/>
          <w:szCs w:val="24"/>
        </w:rPr>
        <w:t>5.2-4</w:t>
      </w:r>
      <w:r>
        <w:rPr>
          <w:rFonts w:ascii="Times New Roman" w:hAnsi="Times New Roman"/>
          <w:szCs w:val="24"/>
        </w:rPr>
        <w:t>。渗透速度历时曲线图（见图</w:t>
      </w:r>
      <w:r>
        <w:rPr>
          <w:rFonts w:hint="eastAsia" w:ascii="Times New Roman" w:hAnsi="Times New Roman"/>
          <w:szCs w:val="24"/>
        </w:rPr>
        <w:t>5.2-1</w:t>
      </w:r>
      <w:r>
        <w:rPr>
          <w:rFonts w:ascii="Times New Roman" w:hAnsi="Times New Roman"/>
          <w:szCs w:val="24"/>
        </w:rPr>
        <w:t>~图</w:t>
      </w:r>
      <w:r>
        <w:rPr>
          <w:rFonts w:hint="eastAsia" w:ascii="Times New Roman" w:hAnsi="Times New Roman"/>
          <w:szCs w:val="24"/>
        </w:rPr>
        <w:t>5.2-4</w:t>
      </w:r>
      <w:r>
        <w:rPr>
          <w:rFonts w:ascii="Times New Roman" w:hAnsi="Times New Roman"/>
          <w:szCs w:val="24"/>
        </w:rPr>
        <w:t>）。</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表5.2-3  1号渗水试验计算表</w:t>
      </w:r>
    </w:p>
    <w:tbl>
      <w:tblPr>
        <w:tblStyle w:val="18"/>
        <w:tblW w:w="5000" w:type="pct"/>
        <w:jc w:val="center"/>
        <w:tblLayout w:type="autofit"/>
        <w:tblCellMar>
          <w:top w:w="0" w:type="dxa"/>
          <w:left w:w="108" w:type="dxa"/>
          <w:bottom w:w="0" w:type="dxa"/>
          <w:right w:w="108" w:type="dxa"/>
        </w:tblCellMar>
      </w:tblPr>
      <w:tblGrid>
        <w:gridCol w:w="1361"/>
        <w:gridCol w:w="1428"/>
        <w:gridCol w:w="1424"/>
        <w:gridCol w:w="1341"/>
        <w:gridCol w:w="1552"/>
        <w:gridCol w:w="1422"/>
      </w:tblGrid>
      <w:tr>
        <w:tblPrEx>
          <w:tblCellMar>
            <w:top w:w="0" w:type="dxa"/>
            <w:left w:w="108" w:type="dxa"/>
            <w:bottom w:w="0" w:type="dxa"/>
            <w:right w:w="108" w:type="dxa"/>
          </w:tblCellMar>
        </w:tblPrEx>
        <w:trPr>
          <w:jc w:val="center"/>
        </w:trPr>
        <w:tc>
          <w:tcPr>
            <w:tcW w:w="79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实验编号</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试验1（S1）</w:t>
            </w:r>
          </w:p>
        </w:tc>
        <w:tc>
          <w:tcPr>
            <w:tcW w:w="786"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实验地点</w:t>
            </w:r>
          </w:p>
        </w:tc>
        <w:tc>
          <w:tcPr>
            <w:tcW w:w="1744"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1#集气井工业场地下游</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地表岩性</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粉砂土</w:t>
            </w:r>
          </w:p>
        </w:tc>
        <w:tc>
          <w:tcPr>
            <w:tcW w:w="786"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实验方法</w:t>
            </w:r>
          </w:p>
        </w:tc>
        <w:tc>
          <w:tcPr>
            <w:tcW w:w="1744"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双环渗水</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实验时间</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2016.11.24 14:00pm</w:t>
            </w:r>
          </w:p>
        </w:tc>
        <w:tc>
          <w:tcPr>
            <w:tcW w:w="786"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方位</w:t>
            </w:r>
          </w:p>
        </w:tc>
        <w:tc>
          <w:tcPr>
            <w:tcW w:w="1744" w:type="pct"/>
            <w:gridSpan w:val="2"/>
            <w:tcBorders>
              <w:top w:val="single" w:color="auto" w:sz="4" w:space="0"/>
              <w:left w:val="single" w:color="auto" w:sz="4" w:space="0"/>
              <w:bottom w:val="single" w:color="000000" w:sz="4" w:space="0"/>
              <w:right w:val="single" w:color="000000"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N38°19′21″E110°53′41″</w:t>
            </w:r>
          </w:p>
        </w:tc>
      </w:tr>
      <w:tr>
        <w:tblPrEx>
          <w:tblCellMar>
            <w:top w:w="0" w:type="dxa"/>
            <w:left w:w="108" w:type="dxa"/>
            <w:bottom w:w="0" w:type="dxa"/>
            <w:right w:w="108" w:type="dxa"/>
          </w:tblCellMar>
        </w:tblPrEx>
        <w:trPr>
          <w:trHeight w:val="312" w:hRule="atLeast"/>
          <w:jc w:val="center"/>
        </w:trPr>
        <w:tc>
          <w:tcPr>
            <w:tcW w:w="798"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时间间隔（min）</w:t>
            </w:r>
          </w:p>
        </w:tc>
        <w:tc>
          <w:tcPr>
            <w:tcW w:w="837" w:type="pct"/>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累计时间（min）</w:t>
            </w:r>
          </w:p>
        </w:tc>
        <w:tc>
          <w:tcPr>
            <w:tcW w:w="835"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单次注入量（ml）</w:t>
            </w:r>
          </w:p>
        </w:tc>
        <w:tc>
          <w:tcPr>
            <w:tcW w:w="786"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累计注入量（ml）</w:t>
            </w:r>
          </w:p>
        </w:tc>
        <w:tc>
          <w:tcPr>
            <w:tcW w:w="910"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渗流量</w:t>
            </w:r>
          </w:p>
          <w:p>
            <w:pPr>
              <w:spacing w:line="240" w:lineRule="auto"/>
              <w:ind w:firstLine="0" w:firstLineChars="0"/>
              <w:jc w:val="center"/>
              <w:rPr>
                <w:rFonts w:ascii="Times New Roman" w:hAnsi="Times New Roman"/>
                <w:sz w:val="21"/>
              </w:rPr>
            </w:pPr>
            <w:r>
              <w:rPr>
                <w:rFonts w:ascii="Times New Roman" w:hAnsi="Times New Roman"/>
                <w:sz w:val="21"/>
              </w:rPr>
              <w:t>（m³/d)</w:t>
            </w:r>
          </w:p>
        </w:tc>
        <w:tc>
          <w:tcPr>
            <w:tcW w:w="834"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渗透速度(cm/s)</w:t>
            </w:r>
          </w:p>
        </w:tc>
      </w:tr>
      <w:tr>
        <w:tblPrEx>
          <w:tblCellMar>
            <w:top w:w="0" w:type="dxa"/>
            <w:left w:w="108" w:type="dxa"/>
            <w:bottom w:w="0" w:type="dxa"/>
            <w:right w:w="108" w:type="dxa"/>
          </w:tblCellMar>
        </w:tblPrEx>
        <w:trPr>
          <w:trHeight w:val="312" w:hRule="atLeast"/>
          <w:jc w:val="center"/>
        </w:trPr>
        <w:tc>
          <w:tcPr>
            <w:tcW w:w="798"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7" w:type="pct"/>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5"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786"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910"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4"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600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0.2880018</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0.0026684</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1200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0.2880018</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0.0026684</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11</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800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2000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0.2304015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0.0021347</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280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2280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0.0806405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0.0007471</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780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3160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0.1123207</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0.0010407</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900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4060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0.1296008</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0.0012008</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51</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1180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5240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0.1132807</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0.0010496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1180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6420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0.1132807</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0.0010496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96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1800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8220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0.0864006</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0.0008005</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126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1700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9920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0.0816005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0.000756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1900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11820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0.0912006</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0.000845</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186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1700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13520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0.0816005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0.000756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216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1700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15220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0.0816005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0.000756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246</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1700</w:t>
            </w:r>
          </w:p>
        </w:tc>
        <w:tc>
          <w:tcPr>
            <w:tcW w:w="78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16920</w:t>
            </w:r>
          </w:p>
        </w:tc>
        <w:tc>
          <w:tcPr>
            <w:tcW w:w="9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0.0816005</w:t>
            </w:r>
          </w:p>
        </w:tc>
        <w:tc>
          <w:tcPr>
            <w:tcW w:w="83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0.000756</w:t>
            </w:r>
          </w:p>
        </w:tc>
      </w:tr>
    </w:tbl>
    <w:p>
      <w:pPr>
        <w:snapToGrid w:val="0"/>
        <w:spacing w:before="156" w:beforeLines="50" w:line="240" w:lineRule="auto"/>
        <w:ind w:firstLine="0" w:firstLineChars="0"/>
        <w:jc w:val="center"/>
        <w:rPr>
          <w:rFonts w:ascii="Times New Roman" w:hAnsi="Times New Roman"/>
          <w:b/>
          <w:bCs/>
          <w:sz w:val="21"/>
        </w:rPr>
      </w:pPr>
      <w:r>
        <w:rPr>
          <w:rFonts w:hint="eastAsia"/>
        </w:rPr>
        <w:drawing>
          <wp:inline distT="0" distB="0" distL="0" distR="0">
            <wp:extent cx="4598670" cy="27127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598670" cy="2712720"/>
                    </a:xfrm>
                    <a:prstGeom prst="rect">
                      <a:avLst/>
                    </a:prstGeom>
                    <a:noFill/>
                  </pic:spPr>
                </pic:pic>
              </a:graphicData>
            </a:graphic>
          </wp:inline>
        </w:drawing>
      </w:r>
    </w:p>
    <w:p>
      <w:pPr>
        <w:spacing w:after="156" w:afterLines="50" w:line="240" w:lineRule="auto"/>
        <w:ind w:firstLine="0" w:firstLineChars="0"/>
        <w:jc w:val="center"/>
        <w:rPr>
          <w:rFonts w:ascii="Times New Roman" w:hAnsi="Times New Roman"/>
          <w:b/>
          <w:sz w:val="21"/>
        </w:rPr>
      </w:pPr>
      <w:r>
        <w:rPr>
          <w:rFonts w:ascii="Times New Roman" w:hAnsi="Times New Roman"/>
          <w:b/>
          <w:sz w:val="21"/>
        </w:rPr>
        <w:t>图5.2-1  1号试验累积入渗量随时间变化曲线</w:t>
      </w:r>
    </w:p>
    <w:p>
      <w:pPr>
        <w:spacing w:line="240" w:lineRule="auto"/>
        <w:ind w:firstLine="0" w:firstLineChars="0"/>
        <w:jc w:val="center"/>
      </w:pPr>
      <w:r>
        <w:rPr>
          <w:rFonts w:hint="eastAsia"/>
        </w:rPr>
        <w:drawing>
          <wp:inline distT="0" distB="0" distL="0" distR="0">
            <wp:extent cx="4565650" cy="26860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565650" cy="2686050"/>
                    </a:xfrm>
                    <a:prstGeom prst="rect">
                      <a:avLst/>
                    </a:prstGeom>
                    <a:noFill/>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图5.2-2  1号试验入渗率随时间变化曲线</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表5.2-4  2号渗水试验计算表</w:t>
      </w:r>
    </w:p>
    <w:tbl>
      <w:tblPr>
        <w:tblStyle w:val="18"/>
        <w:tblW w:w="4449" w:type="pct"/>
        <w:jc w:val="center"/>
        <w:tblLayout w:type="autofit"/>
        <w:tblCellMar>
          <w:top w:w="0" w:type="dxa"/>
          <w:left w:w="108" w:type="dxa"/>
          <w:bottom w:w="0" w:type="dxa"/>
          <w:right w:w="108" w:type="dxa"/>
        </w:tblCellMar>
      </w:tblPr>
      <w:tblGrid>
        <w:gridCol w:w="1211"/>
        <w:gridCol w:w="1269"/>
        <w:gridCol w:w="1269"/>
        <w:gridCol w:w="1123"/>
        <w:gridCol w:w="1449"/>
        <w:gridCol w:w="1267"/>
      </w:tblGrid>
      <w:tr>
        <w:tblPrEx>
          <w:tblCellMar>
            <w:top w:w="0" w:type="dxa"/>
            <w:left w:w="108" w:type="dxa"/>
            <w:bottom w:w="0" w:type="dxa"/>
            <w:right w:w="108" w:type="dxa"/>
          </w:tblCellMar>
        </w:tblPrEx>
        <w:trPr>
          <w:jc w:val="center"/>
        </w:trPr>
        <w:tc>
          <w:tcPr>
            <w:tcW w:w="79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实验编号</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试验2（</w:t>
            </w:r>
            <w:r>
              <w:rPr>
                <w:rFonts w:ascii="Times New Roman" w:hAnsi="Times New Roman"/>
                <w:sz w:val="21"/>
              </w:rPr>
              <w:t>S2</w:t>
            </w:r>
            <w:r>
              <w:rPr>
                <w:rFonts w:hint="eastAsia" w:ascii="Times New Roman" w:hAnsi="Times New Roman"/>
                <w:sz w:val="21"/>
              </w:rPr>
              <w:t>）</w:t>
            </w:r>
          </w:p>
        </w:tc>
        <w:tc>
          <w:tcPr>
            <w:tcW w:w="74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实验地点</w:t>
            </w:r>
          </w:p>
        </w:tc>
        <w:tc>
          <w:tcPr>
            <w:tcW w:w="179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LX-104</w:t>
            </w:r>
            <w:r>
              <w:rPr>
                <w:rFonts w:hint="eastAsia" w:ascii="Times New Roman" w:hAnsi="Times New Roman"/>
                <w:sz w:val="21"/>
              </w:rPr>
              <w:t>井场附近</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地表岩性</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粉土</w:t>
            </w:r>
          </w:p>
        </w:tc>
        <w:tc>
          <w:tcPr>
            <w:tcW w:w="74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实验方法</w:t>
            </w:r>
          </w:p>
        </w:tc>
        <w:tc>
          <w:tcPr>
            <w:tcW w:w="179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双环渗水</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实验时间</w:t>
            </w:r>
          </w:p>
        </w:tc>
        <w:tc>
          <w:tcPr>
            <w:tcW w:w="167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2017.3.28 15：25pm</w:t>
            </w:r>
          </w:p>
        </w:tc>
        <w:tc>
          <w:tcPr>
            <w:tcW w:w="74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方位</w:t>
            </w:r>
          </w:p>
        </w:tc>
        <w:tc>
          <w:tcPr>
            <w:tcW w:w="1790" w:type="pct"/>
            <w:gridSpan w:val="2"/>
            <w:tcBorders>
              <w:top w:val="single" w:color="auto" w:sz="4" w:space="0"/>
              <w:left w:val="single" w:color="auto" w:sz="4" w:space="0"/>
              <w:bottom w:val="single" w:color="000000" w:sz="4" w:space="0"/>
              <w:right w:val="single" w:color="000000" w:sz="4" w:space="0"/>
            </w:tcBorders>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N38°18′39″E110°54′22″</w:t>
            </w:r>
          </w:p>
        </w:tc>
      </w:tr>
      <w:tr>
        <w:tblPrEx>
          <w:tblCellMar>
            <w:top w:w="0" w:type="dxa"/>
            <w:left w:w="108" w:type="dxa"/>
            <w:bottom w:w="0" w:type="dxa"/>
            <w:right w:w="108" w:type="dxa"/>
          </w:tblCellMar>
        </w:tblPrEx>
        <w:trPr>
          <w:trHeight w:val="312" w:hRule="atLeast"/>
          <w:jc w:val="center"/>
        </w:trPr>
        <w:tc>
          <w:tcPr>
            <w:tcW w:w="798"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时间间隔（min）</w:t>
            </w:r>
          </w:p>
        </w:tc>
        <w:tc>
          <w:tcPr>
            <w:tcW w:w="836" w:type="pct"/>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累计时间（min）</w:t>
            </w:r>
          </w:p>
        </w:tc>
        <w:tc>
          <w:tcPr>
            <w:tcW w:w="836"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单次注入量（ml）</w:t>
            </w:r>
          </w:p>
        </w:tc>
        <w:tc>
          <w:tcPr>
            <w:tcW w:w="740"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累计注入量（ml）</w:t>
            </w:r>
          </w:p>
        </w:tc>
        <w:tc>
          <w:tcPr>
            <w:tcW w:w="955"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渗流量</w:t>
            </w:r>
          </w:p>
          <w:p>
            <w:pPr>
              <w:spacing w:line="240" w:lineRule="auto"/>
              <w:ind w:firstLine="0" w:firstLineChars="0"/>
              <w:jc w:val="center"/>
              <w:rPr>
                <w:rFonts w:ascii="Times New Roman" w:hAnsi="Times New Roman"/>
                <w:sz w:val="21"/>
              </w:rPr>
            </w:pPr>
            <w:r>
              <w:rPr>
                <w:rFonts w:hint="eastAsia" w:ascii="Times New Roman" w:hAnsi="Times New Roman"/>
                <w:sz w:val="21"/>
              </w:rPr>
              <w:t>（m³/d)</w:t>
            </w:r>
          </w:p>
        </w:tc>
        <w:tc>
          <w:tcPr>
            <w:tcW w:w="835" w:type="pct"/>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渗透速度(cm/s)</w:t>
            </w:r>
          </w:p>
        </w:tc>
      </w:tr>
      <w:tr>
        <w:tblPrEx>
          <w:tblCellMar>
            <w:top w:w="0" w:type="dxa"/>
            <w:left w:w="108" w:type="dxa"/>
            <w:bottom w:w="0" w:type="dxa"/>
            <w:right w:w="108" w:type="dxa"/>
          </w:tblCellMar>
        </w:tblPrEx>
        <w:trPr>
          <w:trHeight w:val="312" w:hRule="atLeast"/>
          <w:jc w:val="center"/>
        </w:trPr>
        <w:tc>
          <w:tcPr>
            <w:tcW w:w="798"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6" w:type="pct"/>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6"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740"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955"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c>
          <w:tcPr>
            <w:tcW w:w="835" w:type="pct"/>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310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310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0.148801</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0.0013787</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410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0.0480003</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0.0004447</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11</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510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0.0288002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0.0002668</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760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0.0720005</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0.0006671</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1010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0.0360002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0.0003335</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260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1270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0.0374402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0.0003469</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51</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400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1670</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0.0384002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0.0003558</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375</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2045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0.0360002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0.0003335</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96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640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2685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0.0307202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0.0002846</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126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720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3405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0.0345602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0.0003202</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156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4055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0.0312002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0.0002891</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186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4705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0.0312002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0.0002891</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216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5355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0.0312002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0.0002891</w:t>
            </w:r>
          </w:p>
        </w:tc>
      </w:tr>
      <w:tr>
        <w:tblPrEx>
          <w:tblCellMar>
            <w:top w:w="0" w:type="dxa"/>
            <w:left w:w="108" w:type="dxa"/>
            <w:bottom w:w="0" w:type="dxa"/>
            <w:right w:w="108" w:type="dxa"/>
          </w:tblCellMar>
        </w:tblPrEx>
        <w:trPr>
          <w:jc w:val="center"/>
        </w:trPr>
        <w:tc>
          <w:tcPr>
            <w:tcW w:w="798"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30</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246</w:t>
            </w:r>
          </w:p>
        </w:tc>
        <w:tc>
          <w:tcPr>
            <w:tcW w:w="83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650</w:t>
            </w:r>
          </w:p>
        </w:tc>
        <w:tc>
          <w:tcPr>
            <w:tcW w:w="74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6005</w:t>
            </w:r>
          </w:p>
        </w:tc>
        <w:tc>
          <w:tcPr>
            <w:tcW w:w="95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0.0312002</w:t>
            </w:r>
          </w:p>
        </w:tc>
        <w:tc>
          <w:tcPr>
            <w:tcW w:w="8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sz w:val="21"/>
              </w:rPr>
            </w:pPr>
            <w:r>
              <w:rPr>
                <w:rFonts w:ascii="Times New Roman" w:hAnsi="Times New Roman"/>
                <w:sz w:val="21"/>
              </w:rPr>
              <w:t>0.0002891</w:t>
            </w:r>
          </w:p>
        </w:tc>
      </w:tr>
    </w:tbl>
    <w:p>
      <w:pPr>
        <w:snapToGrid w:val="0"/>
        <w:spacing w:before="156" w:beforeLines="50" w:line="240" w:lineRule="auto"/>
        <w:ind w:firstLine="0" w:firstLineChars="0"/>
        <w:jc w:val="center"/>
        <w:rPr>
          <w:rFonts w:ascii="Times New Roman" w:hAnsi="Times New Roman"/>
          <w:b/>
          <w:bCs/>
          <w:sz w:val="21"/>
        </w:rPr>
      </w:pPr>
    </w:p>
    <w:p>
      <w:pPr>
        <w:spacing w:before="240"/>
        <w:ind w:firstLine="480"/>
        <w:jc w:val="center"/>
      </w:pPr>
      <w:r>
        <w:drawing>
          <wp:inline distT="0" distB="0" distL="0" distR="0">
            <wp:extent cx="4628515" cy="274256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628515" cy="2742565"/>
                    </a:xfrm>
                    <a:prstGeom prst="rect">
                      <a:avLst/>
                    </a:prstGeom>
                    <a:noFill/>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图5.2-3  2号试验累积入渗量随时间变化曲线</w:t>
      </w:r>
    </w:p>
    <w:p>
      <w:pPr>
        <w:ind w:firstLine="480"/>
        <w:jc w:val="center"/>
      </w:pPr>
      <w:r>
        <w:rPr>
          <w:rFonts w:hint="eastAsia"/>
        </w:rPr>
        <w:drawing>
          <wp:inline distT="0" distB="0" distL="0" distR="0">
            <wp:extent cx="4634230" cy="27235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634230" cy="2723515"/>
                    </a:xfrm>
                    <a:prstGeom prst="rect">
                      <a:avLst/>
                    </a:prstGeom>
                    <a:noFill/>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图5.2-4  2号试验入渗率随时间变化曲线</w:t>
      </w:r>
    </w:p>
    <w:p>
      <w:pPr>
        <w:ind w:firstLine="480"/>
        <w:rPr>
          <w:rFonts w:ascii="Times New Roman" w:hAnsi="Times New Roman"/>
          <w:szCs w:val="24"/>
        </w:rPr>
      </w:pPr>
      <w:r>
        <w:rPr>
          <w:rFonts w:hint="eastAsia" w:ascii="Times New Roman" w:hAnsi="Times New Roman"/>
          <w:szCs w:val="24"/>
        </w:rPr>
        <w:t>经统计分析，项目各场地所在区域包气带垂向入渗系数见表5.2-5。</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表5.2-5 各场地包气带垂向入渗系数表</w:t>
      </w:r>
    </w:p>
    <w:tbl>
      <w:tblPr>
        <w:tblStyle w:val="18"/>
        <w:tblW w:w="9073"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2410"/>
        <w:gridCol w:w="1559"/>
        <w:gridCol w:w="1843"/>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8"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试验编号</w:t>
            </w:r>
          </w:p>
        </w:tc>
        <w:tc>
          <w:tcPr>
            <w:tcW w:w="2410"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试验所在场地</w:t>
            </w:r>
          </w:p>
        </w:tc>
        <w:tc>
          <w:tcPr>
            <w:tcW w:w="155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地貌类型</w:t>
            </w:r>
          </w:p>
        </w:tc>
        <w:tc>
          <w:tcPr>
            <w:tcW w:w="184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垂向入渗系数</w:t>
            </w:r>
          </w:p>
          <w:p>
            <w:pPr>
              <w:spacing w:line="240" w:lineRule="auto"/>
              <w:ind w:firstLine="0" w:firstLineChars="0"/>
              <w:jc w:val="center"/>
              <w:rPr>
                <w:rFonts w:ascii="Times New Roman" w:hAnsi="Times New Roman"/>
                <w:sz w:val="21"/>
              </w:rPr>
            </w:pPr>
            <w:r>
              <w:rPr>
                <w:rFonts w:hint="eastAsia" w:ascii="Times New Roman" w:hAnsi="Times New Roman"/>
                <w:sz w:val="21"/>
              </w:rPr>
              <w:t>Kd</w:t>
            </w:r>
            <w:r>
              <w:rPr>
                <w:rFonts w:ascii="Times New Roman" w:hAnsi="Times New Roman"/>
                <w:sz w:val="21"/>
              </w:rPr>
              <w:t>（cm/s）</w:t>
            </w:r>
          </w:p>
        </w:tc>
        <w:tc>
          <w:tcPr>
            <w:tcW w:w="184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是否考虑包气带</w:t>
            </w:r>
          </w:p>
          <w:p>
            <w:pPr>
              <w:spacing w:line="240" w:lineRule="auto"/>
              <w:ind w:firstLine="0" w:firstLineChars="0"/>
              <w:jc w:val="center"/>
              <w:rPr>
                <w:rFonts w:ascii="Times New Roman" w:hAnsi="Times New Roman"/>
                <w:sz w:val="21"/>
              </w:rPr>
            </w:pPr>
            <w:r>
              <w:rPr>
                <w:rFonts w:hint="eastAsia" w:ascii="Times New Roman" w:hAnsi="Times New Roman"/>
                <w:sz w:val="21"/>
              </w:rPr>
              <w:t>阻滞作用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试验1</w:t>
            </w:r>
          </w:p>
        </w:tc>
        <w:tc>
          <w:tcPr>
            <w:tcW w:w="241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集气站工业场地下游</w:t>
            </w:r>
          </w:p>
        </w:tc>
        <w:tc>
          <w:tcPr>
            <w:tcW w:w="1559"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沟谷</w:t>
            </w:r>
          </w:p>
        </w:tc>
        <w:tc>
          <w:tcPr>
            <w:tcW w:w="1843"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7.56×10</w:t>
            </w:r>
            <w:r>
              <w:rPr>
                <w:rFonts w:ascii="Times New Roman" w:hAnsi="Times New Roman"/>
                <w:sz w:val="21"/>
                <w:vertAlign w:val="superscript"/>
              </w:rPr>
              <w:t>-4</w:t>
            </w:r>
          </w:p>
        </w:tc>
        <w:tc>
          <w:tcPr>
            <w:tcW w:w="1843"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不考虑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试验2</w:t>
            </w:r>
          </w:p>
        </w:tc>
        <w:tc>
          <w:tcPr>
            <w:tcW w:w="241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LX-104井场附近</w:t>
            </w:r>
          </w:p>
        </w:tc>
        <w:tc>
          <w:tcPr>
            <w:tcW w:w="1559"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黄土梁</w:t>
            </w:r>
          </w:p>
        </w:tc>
        <w:tc>
          <w:tcPr>
            <w:tcW w:w="1843"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2.89×10</w:t>
            </w:r>
            <w:r>
              <w:rPr>
                <w:rFonts w:ascii="Times New Roman" w:hAnsi="Times New Roman"/>
                <w:sz w:val="21"/>
                <w:vertAlign w:val="superscript"/>
              </w:rPr>
              <w:t>-4</w:t>
            </w:r>
          </w:p>
        </w:tc>
        <w:tc>
          <w:tcPr>
            <w:tcW w:w="1843"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不考虑</w:t>
            </w:r>
          </w:p>
        </w:tc>
      </w:tr>
    </w:tbl>
    <w:p>
      <w:pPr>
        <w:ind w:firstLine="480"/>
        <w:rPr>
          <w:rFonts w:ascii="Times New Roman" w:hAnsi="Times New Roman"/>
          <w:szCs w:val="24"/>
        </w:rPr>
      </w:pPr>
      <w:r>
        <w:rPr>
          <w:rFonts w:hint="eastAsia" w:ascii="Times New Roman" w:hAnsi="Times New Roman"/>
          <w:szCs w:val="24"/>
        </w:rPr>
        <w:t>除上表以外其他各场地包气带垂向入渗系数可类比参考表5.2-7。</w:t>
      </w:r>
    </w:p>
    <w:p>
      <w:pPr>
        <w:ind w:firstLine="480"/>
        <w:rPr>
          <w:rFonts w:ascii="Times New Roman" w:hAnsi="Times New Roman"/>
          <w:szCs w:val="24"/>
        </w:rPr>
      </w:pPr>
      <w:r>
        <w:rPr>
          <w:rFonts w:hint="eastAsia" w:ascii="Times New Roman" w:hAnsi="Times New Roman"/>
          <w:szCs w:val="24"/>
        </w:rPr>
        <w:t>（2）抽水试验</w:t>
      </w:r>
    </w:p>
    <w:p>
      <w:pPr>
        <w:ind w:firstLine="480"/>
        <w:rPr>
          <w:rFonts w:ascii="Times New Roman" w:hAnsi="Times New Roman"/>
          <w:szCs w:val="24"/>
        </w:rPr>
      </w:pPr>
      <w:r>
        <w:rPr>
          <w:rFonts w:hint="eastAsia" w:ascii="Times New Roman" w:hAnsi="Times New Roman"/>
          <w:szCs w:val="24"/>
        </w:rPr>
        <w:t>本项目收集到评价范围内集气站工业场地附近LX-SY1水井抽水试验资料，该水井抽水试验属混合含水层稳定流抽水，试验目的层为三叠系中上统砂岩裂隙含水层及第四系松散孔隙含水层，采用三次降深，有关抽水试验成果表见表5.2-6，抽水历时曲线见图5.2-5。</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表5.2-6  LX-SY1抽水试验统计表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9"/>
        <w:gridCol w:w="1613"/>
        <w:gridCol w:w="1639"/>
        <w:gridCol w:w="1493"/>
        <w:gridCol w:w="2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1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降深S</w:t>
            </w:r>
          </w:p>
          <w:p>
            <w:pPr>
              <w:spacing w:line="240" w:lineRule="auto"/>
              <w:ind w:firstLine="0" w:firstLineChars="0"/>
              <w:jc w:val="center"/>
              <w:rPr>
                <w:rFonts w:ascii="Times New Roman" w:hAnsi="Times New Roman"/>
                <w:sz w:val="21"/>
              </w:rPr>
            </w:pPr>
            <w:r>
              <w:rPr>
                <w:rFonts w:ascii="Times New Roman" w:hAnsi="Times New Roman"/>
                <w:sz w:val="21"/>
              </w:rPr>
              <w:t>（m）</w:t>
            </w:r>
          </w:p>
        </w:tc>
        <w:tc>
          <w:tcPr>
            <w:tcW w:w="161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涌水量Q</w:t>
            </w:r>
          </w:p>
          <w:p>
            <w:pPr>
              <w:spacing w:line="240" w:lineRule="auto"/>
              <w:ind w:firstLine="0" w:firstLineChars="0"/>
              <w:jc w:val="center"/>
              <w:rPr>
                <w:rFonts w:ascii="Times New Roman" w:hAnsi="Times New Roman"/>
                <w:sz w:val="21"/>
              </w:rPr>
            </w:pPr>
            <w:r>
              <w:rPr>
                <w:rFonts w:ascii="Times New Roman" w:hAnsi="Times New Roman"/>
                <w:sz w:val="21"/>
              </w:rPr>
              <w:t>（L/s）</w:t>
            </w:r>
          </w:p>
        </w:tc>
        <w:tc>
          <w:tcPr>
            <w:tcW w:w="163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单位涌水量</w:t>
            </w:r>
            <w:r>
              <w:rPr>
                <w:rFonts w:ascii="Times New Roman" w:hAnsi="Times New Roman"/>
                <w:sz w:val="21"/>
              </w:rPr>
              <w:t>q</w:t>
            </w:r>
          </w:p>
          <w:p>
            <w:pPr>
              <w:spacing w:line="240" w:lineRule="auto"/>
              <w:ind w:firstLine="0" w:firstLineChars="0"/>
              <w:jc w:val="center"/>
              <w:rPr>
                <w:rFonts w:ascii="Times New Roman" w:hAnsi="Times New Roman"/>
                <w:sz w:val="21"/>
              </w:rPr>
            </w:pPr>
            <w:r>
              <w:rPr>
                <w:rFonts w:ascii="Times New Roman" w:hAnsi="Times New Roman"/>
                <w:sz w:val="21"/>
              </w:rPr>
              <w:t>（L/s·m）</w:t>
            </w:r>
          </w:p>
        </w:tc>
        <w:tc>
          <w:tcPr>
            <w:tcW w:w="149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渗透系数K</w:t>
            </w:r>
          </w:p>
          <w:p>
            <w:pPr>
              <w:spacing w:line="240" w:lineRule="auto"/>
              <w:ind w:firstLine="0" w:firstLineChars="0"/>
              <w:jc w:val="center"/>
              <w:rPr>
                <w:rFonts w:ascii="Times New Roman" w:hAnsi="Times New Roman"/>
                <w:sz w:val="21"/>
              </w:rPr>
            </w:pPr>
            <w:r>
              <w:rPr>
                <w:rFonts w:hint="eastAsia" w:ascii="Times New Roman" w:hAnsi="Times New Roman"/>
                <w:sz w:val="21"/>
              </w:rPr>
              <w:t>（m/d）</w:t>
            </w:r>
          </w:p>
        </w:tc>
        <w:tc>
          <w:tcPr>
            <w:tcW w:w="2238"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计算公式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128</w:t>
            </w:r>
          </w:p>
        </w:tc>
        <w:tc>
          <w:tcPr>
            <w:tcW w:w="161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1.7</w:t>
            </w:r>
          </w:p>
        </w:tc>
        <w:tc>
          <w:tcPr>
            <w:tcW w:w="163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0.0016</w:t>
            </w:r>
          </w:p>
        </w:tc>
        <w:tc>
          <w:tcPr>
            <w:tcW w:w="1493" w:type="dxa"/>
            <w:vMerge w:val="restart"/>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1.31</w:t>
            </w:r>
          </w:p>
        </w:tc>
        <w:tc>
          <w:tcPr>
            <w:tcW w:w="2238" w:type="dxa"/>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object>
                <v:shape id="_x0000_i1025" o:spt="75" type="#_x0000_t75" style="height:44pt;width:94pt;" o:ole="t" filled="f" o:preferrelative="t" stroked="f" coordsize="21600,21600">
                  <v:path/>
                  <v:fill on="f" focussize="0,0"/>
                  <v:stroke on="f" joinstyle="miter"/>
                  <v:imagedata r:id="rId73" o:title=""/>
                  <o:lock v:ext="edit" aspectratio="t"/>
                  <w10:wrap type="none"/>
                  <w10:anchorlock/>
                </v:shape>
                <o:OLEObject Type="Embed" ProgID="Equation.DSMT4" ShapeID="_x0000_i1025" DrawAspect="Content" ObjectID="_1468075725" r:id="rId72">
                  <o:LockedField>false</o:LockedField>
                </o:OLEObject>
              </w:object>
            </w:r>
          </w:p>
          <w:p>
            <w:pPr>
              <w:spacing w:line="240" w:lineRule="auto"/>
              <w:ind w:firstLine="0" w:firstLineChars="0"/>
              <w:jc w:val="center"/>
              <w:rPr>
                <w:rFonts w:ascii="Times New Roman" w:hAnsi="Times New Roman"/>
                <w:sz w:val="21"/>
              </w:rPr>
            </w:pPr>
            <w:r>
              <w:rPr>
                <w:rFonts w:ascii="Times New Roman" w:hAnsi="Times New Roman"/>
                <w:sz w:val="21"/>
              </w:rPr>
              <w:object>
                <v:shape id="_x0000_i1026" o:spt="75" type="#_x0000_t75" style="height:14pt;width:58pt;" o:ole="t" filled="f" o:preferrelative="t" stroked="f" coordsize="21600,21600">
                  <v:path/>
                  <v:fill on="f" focussize="0,0"/>
                  <v:stroke on="f" joinstyle="miter"/>
                  <v:imagedata r:id="rId75" o:title=""/>
                  <o:lock v:ext="edit" aspectratio="t"/>
                  <w10:wrap type="none"/>
                  <w10:anchorlock/>
                </v:shape>
                <o:OLEObject Type="Embed" ProgID="Equation.DSMT4" ShapeID="_x0000_i1026" DrawAspect="Content" ObjectID="_1468075726" r:id="rId7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40</w:t>
            </w:r>
          </w:p>
        </w:tc>
        <w:tc>
          <w:tcPr>
            <w:tcW w:w="161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1.296</w:t>
            </w:r>
          </w:p>
        </w:tc>
        <w:tc>
          <w:tcPr>
            <w:tcW w:w="163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0.02102</w:t>
            </w:r>
          </w:p>
        </w:tc>
        <w:tc>
          <w:tcPr>
            <w:tcW w:w="1493" w:type="dxa"/>
            <w:vMerge w:val="continue"/>
            <w:shd w:val="clear" w:color="auto" w:fill="auto"/>
            <w:vAlign w:val="center"/>
          </w:tcPr>
          <w:p>
            <w:pPr>
              <w:ind w:firstLine="420"/>
              <w:jc w:val="center"/>
              <w:rPr>
                <w:sz w:val="21"/>
              </w:rPr>
            </w:pPr>
          </w:p>
        </w:tc>
        <w:tc>
          <w:tcPr>
            <w:tcW w:w="2238" w:type="dxa"/>
            <w:vMerge w:val="continue"/>
            <w:shd w:val="clear" w:color="auto" w:fill="auto"/>
            <w:vAlign w:val="center"/>
          </w:tcPr>
          <w:p>
            <w:pPr>
              <w:ind w:firstLine="42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90</w:t>
            </w:r>
          </w:p>
        </w:tc>
        <w:tc>
          <w:tcPr>
            <w:tcW w:w="1613"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1.461</w:t>
            </w:r>
          </w:p>
        </w:tc>
        <w:tc>
          <w:tcPr>
            <w:tcW w:w="1639" w:type="dxa"/>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0.00661</w:t>
            </w:r>
          </w:p>
        </w:tc>
        <w:tc>
          <w:tcPr>
            <w:tcW w:w="1493" w:type="dxa"/>
            <w:vMerge w:val="continue"/>
            <w:shd w:val="clear" w:color="auto" w:fill="auto"/>
            <w:vAlign w:val="center"/>
          </w:tcPr>
          <w:p>
            <w:pPr>
              <w:ind w:firstLine="420"/>
              <w:jc w:val="center"/>
              <w:rPr>
                <w:sz w:val="21"/>
              </w:rPr>
            </w:pPr>
          </w:p>
        </w:tc>
        <w:tc>
          <w:tcPr>
            <w:tcW w:w="2238" w:type="dxa"/>
            <w:vMerge w:val="continue"/>
            <w:shd w:val="clear" w:color="auto" w:fill="auto"/>
            <w:vAlign w:val="center"/>
          </w:tcPr>
          <w:p>
            <w:pPr>
              <w:ind w:firstLine="420"/>
              <w:jc w:val="center"/>
              <w:rPr>
                <w:sz w:val="21"/>
              </w:rPr>
            </w:pPr>
          </w:p>
        </w:tc>
      </w:tr>
    </w:tbl>
    <w:p>
      <w:pPr>
        <w:snapToGrid w:val="0"/>
        <w:spacing w:before="156" w:beforeLines="50" w:line="240" w:lineRule="auto"/>
        <w:ind w:firstLine="0" w:firstLineChars="0"/>
        <w:jc w:val="center"/>
        <w:rPr>
          <w:rFonts w:ascii="Times New Roman" w:hAnsi="Times New Roman"/>
          <w:b/>
          <w:bCs/>
          <w:sz w:val="21"/>
        </w:rPr>
      </w:pPr>
    </w:p>
    <w:p>
      <w:pPr>
        <w:spacing w:line="240" w:lineRule="auto"/>
        <w:ind w:firstLine="0" w:firstLineChars="0"/>
        <w:jc w:val="center"/>
      </w:pPr>
      <w:r>
        <w:drawing>
          <wp:inline distT="0" distB="0" distL="0" distR="0">
            <wp:extent cx="5486400" cy="32956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486400" cy="3295650"/>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图5.2-5  LX-SY1抽水历时曲线图</w:t>
      </w:r>
    </w:p>
    <w:p>
      <w:pPr>
        <w:ind w:firstLine="0" w:firstLineChars="0"/>
        <w:rPr>
          <w:rFonts w:ascii="Times New Roman" w:hAnsi="Times New Roman"/>
          <w:b/>
          <w:szCs w:val="24"/>
        </w:rPr>
      </w:pPr>
      <w:r>
        <w:rPr>
          <w:rFonts w:ascii="Times New Roman" w:hAnsi="Times New Roman"/>
          <w:b/>
          <w:szCs w:val="24"/>
        </w:rPr>
        <w:t>5.2.3.</w:t>
      </w:r>
      <w:r>
        <w:rPr>
          <w:rFonts w:hint="eastAsia" w:ascii="Times New Roman" w:hAnsi="Times New Roman"/>
          <w:b/>
          <w:szCs w:val="24"/>
        </w:rPr>
        <w:t>2地下水环境影响预测</w:t>
      </w:r>
    </w:p>
    <w:p>
      <w:pPr>
        <w:ind w:firstLine="480"/>
        <w:rPr>
          <w:rFonts w:ascii="Times New Roman" w:hAnsi="Times New Roman"/>
          <w:szCs w:val="24"/>
        </w:rPr>
      </w:pPr>
      <w:r>
        <w:rPr>
          <w:rFonts w:hint="eastAsia" w:ascii="Times New Roman" w:hAnsi="Times New Roman"/>
          <w:szCs w:val="24"/>
        </w:rPr>
        <w:t>1）预测对象</w:t>
      </w:r>
    </w:p>
    <w:p>
      <w:pPr>
        <w:ind w:firstLine="480"/>
        <w:rPr>
          <w:rFonts w:ascii="Times New Roman" w:hAnsi="Times New Roman"/>
          <w:szCs w:val="24"/>
        </w:rPr>
      </w:pPr>
      <w:r>
        <w:rPr>
          <w:rFonts w:hint="eastAsia" w:ascii="Times New Roman" w:hAnsi="Times New Roman"/>
          <w:szCs w:val="24"/>
        </w:rPr>
        <w:t>a运营期生活办公区集水池生活污水，连续恒定排放点源；</w:t>
      </w:r>
    </w:p>
    <w:p>
      <w:pPr>
        <w:ind w:firstLine="480"/>
        <w:rPr>
          <w:rFonts w:ascii="Times New Roman" w:hAnsi="Times New Roman"/>
          <w:szCs w:val="24"/>
        </w:rPr>
      </w:pPr>
      <w:r>
        <w:rPr>
          <w:rFonts w:hint="eastAsia" w:ascii="Times New Roman" w:hAnsi="Times New Roman"/>
          <w:szCs w:val="24"/>
        </w:rPr>
        <w:t>b运营期LX-103井场净化污水处理站沉降池生产废水，连续恒定排放点源；</w:t>
      </w:r>
    </w:p>
    <w:p>
      <w:pPr>
        <w:ind w:firstLine="480"/>
        <w:rPr>
          <w:rFonts w:ascii="Times New Roman" w:hAnsi="Times New Roman"/>
          <w:szCs w:val="24"/>
        </w:rPr>
      </w:pPr>
      <w:r>
        <w:rPr>
          <w:rFonts w:hint="eastAsia" w:ascii="Times New Roman" w:hAnsi="Times New Roman"/>
          <w:szCs w:val="24"/>
        </w:rPr>
        <w:t>c运营期LX-104井场蒸发污水处理站集水池生产废水，连续恒定排放点源。</w:t>
      </w:r>
    </w:p>
    <w:p>
      <w:pPr>
        <w:ind w:firstLine="480"/>
        <w:rPr>
          <w:rFonts w:ascii="Times New Roman" w:hAnsi="Times New Roman"/>
          <w:szCs w:val="24"/>
        </w:rPr>
      </w:pPr>
      <w:r>
        <w:rPr>
          <w:rFonts w:hint="eastAsia" w:ascii="Times New Roman" w:hAnsi="Times New Roman"/>
          <w:szCs w:val="24"/>
        </w:rPr>
        <w:t>2）污染源强的确定</w:t>
      </w:r>
    </w:p>
    <w:p>
      <w:pPr>
        <w:ind w:firstLine="480"/>
        <w:rPr>
          <w:rFonts w:ascii="Times New Roman" w:hAnsi="Times New Roman"/>
          <w:szCs w:val="24"/>
        </w:rPr>
      </w:pPr>
      <w:r>
        <w:rPr>
          <w:rFonts w:hint="eastAsia" w:ascii="Times New Roman" w:hAnsi="Times New Roman"/>
          <w:szCs w:val="24"/>
        </w:rPr>
        <w:t>①运营期办公生活区污水产生量为20m</w:t>
      </w:r>
      <w:r>
        <w:rPr>
          <w:rFonts w:hint="eastAsia" w:ascii="Times New Roman" w:hAnsi="Times New Roman"/>
          <w:szCs w:val="24"/>
          <w:vertAlign w:val="superscript"/>
        </w:rPr>
        <w:t>3</w:t>
      </w:r>
      <w:r>
        <w:rPr>
          <w:rFonts w:hint="eastAsia" w:ascii="Times New Roman" w:hAnsi="Times New Roman"/>
          <w:szCs w:val="24"/>
        </w:rPr>
        <w:t>/d，特征污染物为氨氮，浓度30mg/L。模拟区氨氮本底值浓度选择各监测点现状平均值，为0.08mg/L。污染源投放时间设定为整个服务期（7300天），连续污染。综合各因素，确定生活污水污染源强统计表见表5.2-7。</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表5.2-7  生活污水污染源强统计表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559"/>
        <w:gridCol w:w="1559"/>
        <w:gridCol w:w="1560"/>
        <w:gridCol w:w="1417"/>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场地</w:t>
            </w:r>
          </w:p>
        </w:tc>
        <w:tc>
          <w:tcPr>
            <w:tcW w:w="1559"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废水产生量</w:t>
            </w:r>
          </w:p>
          <w:p>
            <w:pPr>
              <w:spacing w:line="240" w:lineRule="auto"/>
              <w:ind w:firstLine="0" w:firstLineChars="0"/>
              <w:jc w:val="center"/>
              <w:rPr>
                <w:rFonts w:ascii="Times New Roman" w:hAnsi="Times New Roman"/>
                <w:sz w:val="21"/>
              </w:rPr>
            </w:pPr>
            <w:r>
              <w:rPr>
                <w:rFonts w:hint="eastAsia" w:ascii="Times New Roman" w:hAnsi="Times New Roman"/>
                <w:sz w:val="21"/>
              </w:rPr>
              <w:t>（kg/d）</w:t>
            </w:r>
          </w:p>
        </w:tc>
        <w:tc>
          <w:tcPr>
            <w:tcW w:w="1559"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预测因子</w:t>
            </w:r>
          </w:p>
        </w:tc>
        <w:tc>
          <w:tcPr>
            <w:tcW w:w="156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本底值浓度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标准浓度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办公生活区</w:t>
            </w:r>
          </w:p>
          <w:p>
            <w:pPr>
              <w:spacing w:line="240" w:lineRule="auto"/>
              <w:ind w:firstLine="0" w:firstLineChars="0"/>
              <w:jc w:val="center"/>
              <w:rPr>
                <w:rFonts w:ascii="Times New Roman" w:hAnsi="Times New Roman"/>
                <w:sz w:val="21"/>
              </w:rPr>
            </w:pPr>
            <w:r>
              <w:rPr>
                <w:rFonts w:hint="eastAsia" w:ascii="Times New Roman" w:hAnsi="Times New Roman"/>
                <w:sz w:val="21"/>
              </w:rPr>
              <w:t>污水处理站</w:t>
            </w:r>
          </w:p>
        </w:tc>
        <w:tc>
          <w:tcPr>
            <w:tcW w:w="1559"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0.715</w:t>
            </w:r>
          </w:p>
        </w:tc>
        <w:tc>
          <w:tcPr>
            <w:tcW w:w="1559"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氨氮</w:t>
            </w:r>
          </w:p>
        </w:tc>
        <w:tc>
          <w:tcPr>
            <w:tcW w:w="156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30</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0.08</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0.2</w:t>
            </w:r>
          </w:p>
        </w:tc>
      </w:tr>
    </w:tbl>
    <w:p>
      <w:pPr>
        <w:ind w:firstLine="480"/>
        <w:rPr>
          <w:rFonts w:ascii="Times New Roman" w:hAnsi="Times New Roman"/>
          <w:szCs w:val="24"/>
        </w:rPr>
      </w:pPr>
      <w:r>
        <w:rPr>
          <w:rFonts w:hint="eastAsia" w:ascii="Times New Roman" w:hAnsi="Times New Roman"/>
          <w:szCs w:val="24"/>
        </w:rPr>
        <w:t>②运营期LX-103井场净化污水处理站沉降池生产废水产生量为91 m</w:t>
      </w:r>
      <w:r>
        <w:rPr>
          <w:rFonts w:hint="eastAsia" w:ascii="Times New Roman" w:hAnsi="Times New Roman"/>
          <w:szCs w:val="24"/>
          <w:vertAlign w:val="superscript"/>
        </w:rPr>
        <w:t>3</w:t>
      </w:r>
      <w:r>
        <w:rPr>
          <w:rFonts w:hint="eastAsia" w:ascii="Times New Roman" w:hAnsi="Times New Roman"/>
          <w:szCs w:val="24"/>
        </w:rPr>
        <w:t>/d，特征污染物为石油类，浓度0.8mg/L。模拟区石油类本底值浓度选择各监测点现状平均值，为检出限值0.01mg/L。污染源投放时间设定为整个服务期（7300天），连续污染。综合各因素，确定生产废水污染源强统计表见表5.2-8。</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表5.2-8 沉降池废水渗漏量统计表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1545"/>
        <w:gridCol w:w="1530"/>
        <w:gridCol w:w="1371"/>
        <w:gridCol w:w="1417"/>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场地</w:t>
            </w:r>
          </w:p>
        </w:tc>
        <w:tc>
          <w:tcPr>
            <w:tcW w:w="1545"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废水产生量</w:t>
            </w:r>
          </w:p>
          <w:p>
            <w:pPr>
              <w:spacing w:line="240" w:lineRule="auto"/>
              <w:ind w:firstLine="0" w:firstLineChars="0"/>
              <w:jc w:val="center"/>
              <w:rPr>
                <w:rFonts w:ascii="Times New Roman" w:hAnsi="Times New Roman"/>
                <w:sz w:val="21"/>
              </w:rPr>
            </w:pPr>
            <w:r>
              <w:rPr>
                <w:rFonts w:hint="eastAsia" w:ascii="Times New Roman" w:hAnsi="Times New Roman"/>
                <w:sz w:val="21"/>
              </w:rPr>
              <w:t>（kg/d）</w:t>
            </w:r>
          </w:p>
        </w:tc>
        <w:tc>
          <w:tcPr>
            <w:tcW w:w="153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预测因子</w:t>
            </w:r>
          </w:p>
        </w:tc>
        <w:tc>
          <w:tcPr>
            <w:tcW w:w="1371"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本底值浓度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标准浓度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净化污水处理站</w:t>
            </w:r>
          </w:p>
          <w:p>
            <w:pPr>
              <w:spacing w:line="240" w:lineRule="auto"/>
              <w:ind w:firstLine="0" w:firstLineChars="0"/>
              <w:jc w:val="center"/>
              <w:rPr>
                <w:rFonts w:ascii="Times New Roman" w:hAnsi="Times New Roman"/>
                <w:sz w:val="21"/>
              </w:rPr>
            </w:pPr>
            <w:r>
              <w:rPr>
                <w:rFonts w:hint="eastAsia" w:ascii="Times New Roman" w:hAnsi="Times New Roman"/>
                <w:sz w:val="21"/>
              </w:rPr>
              <w:t>沉降池</w:t>
            </w:r>
          </w:p>
        </w:tc>
        <w:tc>
          <w:tcPr>
            <w:tcW w:w="1545"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0.07</w:t>
            </w:r>
          </w:p>
        </w:tc>
        <w:tc>
          <w:tcPr>
            <w:tcW w:w="153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石油类</w:t>
            </w:r>
          </w:p>
        </w:tc>
        <w:tc>
          <w:tcPr>
            <w:tcW w:w="1371"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0.01</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0.05</w:t>
            </w:r>
          </w:p>
        </w:tc>
      </w:tr>
    </w:tbl>
    <w:p>
      <w:pPr>
        <w:ind w:firstLine="480"/>
        <w:rPr>
          <w:rFonts w:ascii="Times New Roman" w:hAnsi="Times New Roman"/>
          <w:szCs w:val="24"/>
        </w:rPr>
      </w:pPr>
      <w:r>
        <w:rPr>
          <w:rFonts w:hint="eastAsia" w:ascii="Times New Roman" w:hAnsi="Times New Roman"/>
          <w:szCs w:val="24"/>
        </w:rPr>
        <w:t>③运营期LX-104井场蒸发污水处理站集水池生产废水产生量为91m</w:t>
      </w:r>
      <w:r>
        <w:rPr>
          <w:rFonts w:hint="eastAsia" w:ascii="Times New Roman" w:hAnsi="Times New Roman"/>
          <w:szCs w:val="24"/>
          <w:vertAlign w:val="superscript"/>
        </w:rPr>
        <w:t>3</w:t>
      </w:r>
      <w:r>
        <w:rPr>
          <w:rFonts w:hint="eastAsia" w:ascii="Times New Roman" w:hAnsi="Times New Roman"/>
          <w:szCs w:val="24"/>
        </w:rPr>
        <w:t>/d，特征污染物为石油类，假设净化污水处理站沉降池功能失效，多余废水直接排入蒸发污水处理站，考虑最不利情况，确定浓度为0.8mg/L。模拟区石油类本底值浓度选择各监测点现状平均值，为检出限值0.01mg/L。污染源投放时间设定为整个服务期（7300天），连续污染。综合各因素，确定生产废水污染源强统计表见表5.2-9。</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表5.2-9  集水池废水渗漏量统计表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1545"/>
        <w:gridCol w:w="1530"/>
        <w:gridCol w:w="1371"/>
        <w:gridCol w:w="1417"/>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场地</w:t>
            </w:r>
          </w:p>
        </w:tc>
        <w:tc>
          <w:tcPr>
            <w:tcW w:w="1545"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废水产生量</w:t>
            </w:r>
          </w:p>
          <w:p>
            <w:pPr>
              <w:spacing w:line="240" w:lineRule="auto"/>
              <w:ind w:firstLine="0" w:firstLineChars="0"/>
              <w:jc w:val="center"/>
              <w:rPr>
                <w:rFonts w:ascii="Times New Roman" w:hAnsi="Times New Roman"/>
                <w:sz w:val="21"/>
              </w:rPr>
            </w:pPr>
            <w:r>
              <w:rPr>
                <w:rFonts w:hint="eastAsia" w:ascii="Times New Roman" w:hAnsi="Times New Roman"/>
                <w:sz w:val="21"/>
              </w:rPr>
              <w:t>（kg/d）</w:t>
            </w:r>
          </w:p>
        </w:tc>
        <w:tc>
          <w:tcPr>
            <w:tcW w:w="153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预测因子</w:t>
            </w:r>
          </w:p>
        </w:tc>
        <w:tc>
          <w:tcPr>
            <w:tcW w:w="1371"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本底值浓度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标准浓度</w:t>
            </w:r>
          </w:p>
          <w:p>
            <w:pPr>
              <w:spacing w:line="240" w:lineRule="auto"/>
              <w:ind w:firstLine="0" w:firstLineChars="0"/>
              <w:jc w:val="center"/>
              <w:rPr>
                <w:rFonts w:ascii="Times New Roman" w:hAnsi="Times New Roman"/>
                <w:sz w:val="21"/>
              </w:rPr>
            </w:pPr>
            <w:r>
              <w:rPr>
                <w:rFonts w:hint="eastAsia" w:ascii="Times New Roman" w:hAnsi="Times New Roman"/>
                <w:sz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蒸发污水处理站</w:t>
            </w:r>
          </w:p>
          <w:p>
            <w:pPr>
              <w:spacing w:line="240" w:lineRule="auto"/>
              <w:ind w:firstLine="0" w:firstLineChars="0"/>
              <w:jc w:val="center"/>
              <w:rPr>
                <w:rFonts w:ascii="Times New Roman" w:hAnsi="Times New Roman"/>
                <w:sz w:val="21"/>
              </w:rPr>
            </w:pPr>
            <w:r>
              <w:rPr>
                <w:rFonts w:hint="eastAsia" w:ascii="Times New Roman" w:hAnsi="Times New Roman"/>
                <w:sz w:val="21"/>
              </w:rPr>
              <w:t>集水池</w:t>
            </w:r>
          </w:p>
        </w:tc>
        <w:tc>
          <w:tcPr>
            <w:tcW w:w="1545"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0.07</w:t>
            </w:r>
          </w:p>
        </w:tc>
        <w:tc>
          <w:tcPr>
            <w:tcW w:w="1530"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石油类</w:t>
            </w:r>
          </w:p>
        </w:tc>
        <w:tc>
          <w:tcPr>
            <w:tcW w:w="1371"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0.8</w:t>
            </w:r>
          </w:p>
        </w:tc>
        <w:tc>
          <w:tcPr>
            <w:tcW w:w="1417"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0.01</w:t>
            </w:r>
          </w:p>
        </w:tc>
        <w:tc>
          <w:tcPr>
            <w:tcW w:w="1494" w:type="dxa"/>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0.05</w:t>
            </w:r>
          </w:p>
        </w:tc>
      </w:tr>
    </w:tbl>
    <w:p>
      <w:pPr>
        <w:ind w:firstLine="480"/>
      </w:pPr>
      <w:r>
        <w:rPr>
          <w:rFonts w:hint="eastAsia"/>
        </w:rPr>
        <w:t>3）预测时段的确定</w:t>
      </w:r>
    </w:p>
    <w:p>
      <w:pPr>
        <w:ind w:firstLine="480"/>
        <w:rPr>
          <w:rFonts w:ascii="Times New Roman" w:hAnsi="Times New Roman"/>
          <w:szCs w:val="24"/>
        </w:rPr>
      </w:pPr>
      <w:r>
        <w:rPr>
          <w:rFonts w:ascii="Times New Roman" w:hAnsi="Times New Roman"/>
        </w:rPr>
        <w:t>各预测对象的模拟预测时间均为100天、1000天、5000天及7300天。</w:t>
      </w:r>
    </w:p>
    <w:p>
      <w:pPr>
        <w:ind w:firstLine="482"/>
        <w:rPr>
          <w:rFonts w:ascii="Times New Roman" w:hAnsi="Times New Roman"/>
          <w:b/>
          <w:szCs w:val="24"/>
        </w:rPr>
      </w:pPr>
      <w:r>
        <w:rPr>
          <w:rFonts w:hint="eastAsia" w:ascii="Times New Roman" w:hAnsi="Times New Roman"/>
          <w:b/>
          <w:szCs w:val="24"/>
        </w:rPr>
        <w:t>（2）水文地质概念模型</w:t>
      </w:r>
    </w:p>
    <w:p>
      <w:pPr>
        <w:ind w:firstLine="480"/>
        <w:rPr>
          <w:rFonts w:ascii="Times New Roman" w:hAnsi="Times New Roman"/>
          <w:szCs w:val="24"/>
        </w:rPr>
      </w:pPr>
      <w:r>
        <w:rPr>
          <w:rFonts w:hint="eastAsia" w:ascii="Times New Roman" w:hAnsi="Times New Roman"/>
          <w:szCs w:val="24"/>
        </w:rPr>
        <w:t>水文地质概念模型是对研究区地质和水文地质条件的概化，主要是从实际地下含水系统的边界条件、内部结构、地下水动力特征、水文地质参数的空间分布及源汇项等方面进行抽象与简化，达到准确描述、反映地下水系统的主要功能和特征的作用。水文地质概念模型是地下水系统数值模拟的基础。在充分收集研究区各类地质、水文地质、地形地貌、气象水文、钻孔、水资源开发利用状况等资料基础上，进行系统分析、研究，建立研究区水文地质概念模型。</w:t>
      </w:r>
    </w:p>
    <w:p>
      <w:pPr>
        <w:ind w:firstLine="480"/>
        <w:rPr>
          <w:rFonts w:ascii="Times New Roman" w:hAnsi="Times New Roman"/>
          <w:szCs w:val="24"/>
        </w:rPr>
      </w:pPr>
      <w:r>
        <w:rPr>
          <w:rFonts w:hint="eastAsia" w:ascii="Times New Roman" w:hAnsi="Times New Roman"/>
          <w:szCs w:val="24"/>
        </w:rPr>
        <w:t>1）目的含水层</w:t>
      </w:r>
    </w:p>
    <w:p>
      <w:pPr>
        <w:ind w:firstLine="480"/>
        <w:rPr>
          <w:rFonts w:ascii="Times New Roman" w:hAnsi="Times New Roman"/>
          <w:szCs w:val="24"/>
        </w:rPr>
      </w:pPr>
      <w:r>
        <w:rPr>
          <w:rFonts w:hint="eastAsia" w:ascii="Times New Roman" w:hAnsi="Times New Roman"/>
          <w:szCs w:val="24"/>
        </w:rPr>
        <w:t>从环境保护目标角度，建设项目所在地乡镇集中饮用水源地水井类型分别为松散孔隙潜水井和风化裂隙泉水井，且周边分散居民用水水源也均来自这两个含水层。因此，将松散孔隙含水层和风化裂隙含水层视为本次数值模拟的目的含水层。</w:t>
      </w:r>
    </w:p>
    <w:p>
      <w:pPr>
        <w:ind w:firstLine="480"/>
        <w:rPr>
          <w:rFonts w:ascii="Times New Roman" w:hAnsi="Times New Roman"/>
          <w:szCs w:val="24"/>
        </w:rPr>
      </w:pPr>
      <w:r>
        <w:rPr>
          <w:rFonts w:hint="eastAsia" w:ascii="Times New Roman" w:hAnsi="Times New Roman"/>
          <w:szCs w:val="24"/>
        </w:rPr>
        <w:t>水文地质条件上，松散孔隙含水层以及风化裂隙含水层水力联系密切，补、径、排条件大致相同，地下水动态变化一致，将松散孔隙潜水含水层及风化裂隙含水层概化为一层在项目所在地是可行的。</w:t>
      </w:r>
    </w:p>
    <w:p>
      <w:pPr>
        <w:ind w:firstLine="480"/>
        <w:rPr>
          <w:rFonts w:ascii="Times New Roman" w:hAnsi="Times New Roman"/>
          <w:szCs w:val="24"/>
        </w:rPr>
      </w:pPr>
      <w:r>
        <w:rPr>
          <w:rFonts w:hint="eastAsia" w:ascii="Times New Roman" w:hAnsi="Times New Roman"/>
          <w:szCs w:val="24"/>
        </w:rPr>
        <w:t>综合确定本项目目的含水层为浅层孔隙—裂隙含水层。</w:t>
      </w:r>
    </w:p>
    <w:p>
      <w:pPr>
        <w:ind w:firstLine="480"/>
        <w:rPr>
          <w:rFonts w:ascii="Times New Roman" w:hAnsi="Times New Roman"/>
          <w:szCs w:val="24"/>
        </w:rPr>
      </w:pPr>
      <w:r>
        <w:rPr>
          <w:rFonts w:hint="eastAsia" w:ascii="Times New Roman" w:hAnsi="Times New Roman"/>
          <w:szCs w:val="24"/>
        </w:rPr>
        <w:t>2）含水层结构概化</w:t>
      </w:r>
    </w:p>
    <w:p>
      <w:pPr>
        <w:ind w:firstLine="480"/>
        <w:rPr>
          <w:rFonts w:ascii="Times New Roman" w:hAnsi="Times New Roman"/>
          <w:szCs w:val="24"/>
        </w:rPr>
      </w:pPr>
      <w:r>
        <w:rPr>
          <w:rFonts w:hint="eastAsia" w:ascii="Times New Roman" w:hAnsi="Times New Roman"/>
          <w:szCs w:val="24"/>
        </w:rPr>
        <w:t>空间上，将目的含水层概化为一层，且该含水层地下水流向以水平为主，厚度5-15m；其下部为完整性较好的砂岩泥岩互层，厚度较大，可视为隔水层，忽略地下水的垂向运动。同时，目的含水层地下水的运动规律满足质量和能量守恒定律，含水介质以松散砂卵砾石层为主，地下水可视为层流运动，符合达西定律，流速矢量在平面上分为</w:t>
      </w:r>
      <w:r>
        <w:rPr>
          <w:rFonts w:ascii="Times New Roman" w:hAnsi="Times New Roman"/>
          <w:szCs w:val="24"/>
        </w:rPr>
        <w:t>x</w:t>
      </w:r>
      <w:r>
        <w:rPr>
          <w:rFonts w:hint="eastAsia" w:ascii="Times New Roman" w:hAnsi="Times New Roman"/>
          <w:szCs w:val="24"/>
        </w:rPr>
        <w:t>，</w:t>
      </w:r>
      <w:r>
        <w:rPr>
          <w:rFonts w:ascii="Times New Roman" w:hAnsi="Times New Roman"/>
          <w:szCs w:val="24"/>
        </w:rPr>
        <w:t>y</w:t>
      </w:r>
      <w:r>
        <w:rPr>
          <w:rFonts w:hint="eastAsia" w:ascii="Times New Roman" w:hAnsi="Times New Roman"/>
          <w:szCs w:val="24"/>
        </w:rPr>
        <w:t>方向两个分量，可概化为二维流。</w:t>
      </w:r>
    </w:p>
    <w:p>
      <w:pPr>
        <w:ind w:firstLine="480"/>
        <w:rPr>
          <w:rFonts w:ascii="Times New Roman" w:hAnsi="Times New Roman"/>
          <w:szCs w:val="24"/>
        </w:rPr>
      </w:pPr>
      <w:r>
        <w:rPr>
          <w:rFonts w:hint="eastAsia" w:ascii="Times New Roman" w:hAnsi="Times New Roman"/>
          <w:szCs w:val="24"/>
        </w:rPr>
        <w:t>3）边界条件概化</w:t>
      </w:r>
    </w:p>
    <w:p>
      <w:pPr>
        <w:ind w:firstLine="480"/>
        <w:rPr>
          <w:rFonts w:ascii="Times New Roman" w:hAnsi="Times New Roman"/>
          <w:szCs w:val="24"/>
        </w:rPr>
      </w:pPr>
      <w:r>
        <w:rPr>
          <w:rFonts w:hint="eastAsia" w:ascii="Times New Roman" w:hAnsi="Times New Roman"/>
          <w:szCs w:val="24"/>
        </w:rPr>
        <w:t>本次模拟评价范围尽可能延伸到自然边界，地下水流向大体由东南向西北流动。如图5.2-6所示：AB、CD段均为项目所在地目的含水层地下水分水岭，可概化为二类流量边界（流入）；BC段近似概化为流线，为零通量边界；AD段处于沟谷下游，可概化为二类流量边界（流出）。</w:t>
      </w:r>
    </w:p>
    <w:p>
      <w:pPr>
        <w:ind w:firstLine="480"/>
        <w:jc w:val="center"/>
      </w:pPr>
      <w:r>
        <w:rPr>
          <w:rFonts w:hint="eastAsia"/>
        </w:rPr>
        <w:drawing>
          <wp:inline distT="0" distB="0" distL="0" distR="0">
            <wp:extent cx="3199130" cy="4152900"/>
            <wp:effectExtent l="0" t="0" r="0" b="0"/>
            <wp:docPr id="45" name="图片 45" descr="边界条件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边界条件图（修改）"/>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3204900" cy="4159831"/>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图5.2-6模型范围及边界条件概化图</w:t>
      </w:r>
    </w:p>
    <w:p>
      <w:pPr>
        <w:ind w:firstLine="480"/>
        <w:rPr>
          <w:rFonts w:ascii="Times New Roman" w:hAnsi="Times New Roman"/>
          <w:szCs w:val="24"/>
        </w:rPr>
      </w:pPr>
      <w:r>
        <w:rPr>
          <w:rFonts w:hint="eastAsia" w:ascii="Times New Roman" w:hAnsi="Times New Roman"/>
          <w:szCs w:val="24"/>
        </w:rPr>
        <w:t>4）参数给定</w:t>
      </w:r>
    </w:p>
    <w:p>
      <w:pPr>
        <w:ind w:firstLine="480"/>
        <w:rPr>
          <w:rFonts w:ascii="Times New Roman" w:hAnsi="Times New Roman"/>
          <w:szCs w:val="24"/>
        </w:rPr>
      </w:pPr>
      <w:r>
        <w:rPr>
          <w:rFonts w:hint="eastAsia" w:ascii="Times New Roman" w:hAnsi="Times New Roman"/>
          <w:szCs w:val="24"/>
        </w:rPr>
        <w:t>该模型确定为二维水流模型，且参数概化为非均质各项同性。空间上，模拟评价范围内包括黄土塬梁区、沟谷区，参数分区按照不同地形地貌、沟谷的上下游关系分为4个区，具体见图5.2-7。</w:t>
      </w:r>
    </w:p>
    <w:p>
      <w:pPr>
        <w:ind w:firstLine="480"/>
        <w:rPr>
          <w:rFonts w:ascii="Times New Roman" w:hAnsi="Times New Roman"/>
          <w:szCs w:val="24"/>
        </w:rPr>
      </w:pPr>
      <w:r>
        <w:rPr>
          <w:rFonts w:hint="eastAsia" w:ascii="Times New Roman" w:hAnsi="Times New Roman"/>
          <w:szCs w:val="24"/>
        </w:rPr>
        <w:t>5）源汇项</w:t>
      </w:r>
    </w:p>
    <w:p>
      <w:pPr>
        <w:ind w:firstLine="480"/>
        <w:rPr>
          <w:rFonts w:ascii="Times New Roman" w:hAnsi="Times New Roman"/>
          <w:szCs w:val="24"/>
        </w:rPr>
      </w:pPr>
      <w:r>
        <w:rPr>
          <w:rFonts w:hint="eastAsia" w:ascii="Times New Roman" w:hAnsi="Times New Roman"/>
          <w:szCs w:val="24"/>
        </w:rPr>
        <w:t>模拟区的源汇项主要包括补给项和排泄项。目的含水层的补给项主要为大气降水的垂直入渗补给；排泄项以蒸发为主，其次为人工开采</w:t>
      </w:r>
    </w:p>
    <w:p>
      <w:pPr>
        <w:ind w:firstLine="480"/>
        <w:rPr>
          <w:rFonts w:ascii="Times New Roman" w:hAnsi="Times New Roman"/>
          <w:szCs w:val="24"/>
        </w:rPr>
      </w:pPr>
      <w:r>
        <w:rPr>
          <w:rFonts w:hint="eastAsia" w:ascii="Times New Roman" w:hAnsi="Times New Roman"/>
          <w:szCs w:val="24"/>
        </w:rPr>
        <w:t>（2）数学模型</w:t>
      </w:r>
    </w:p>
    <w:p>
      <w:pPr>
        <w:ind w:firstLine="480"/>
        <w:rPr>
          <w:rFonts w:ascii="Times New Roman" w:hAnsi="Times New Roman"/>
          <w:szCs w:val="24"/>
        </w:rPr>
      </w:pPr>
      <w:r>
        <w:rPr>
          <w:rFonts w:hint="eastAsia" w:ascii="Times New Roman" w:hAnsi="Times New Roman"/>
          <w:szCs w:val="24"/>
        </w:rPr>
        <w:t>1）水流运移数学模型</w:t>
      </w:r>
    </w:p>
    <w:p>
      <w:pPr>
        <w:ind w:firstLine="480"/>
        <w:rPr>
          <w:rFonts w:ascii="Times New Roman" w:hAnsi="Times New Roman"/>
          <w:szCs w:val="24"/>
        </w:rPr>
      </w:pPr>
      <w:r>
        <w:rPr>
          <w:rFonts w:hint="eastAsia" w:ascii="Times New Roman" w:hAnsi="Times New Roman"/>
          <w:szCs w:val="24"/>
        </w:rPr>
        <w:t>本次模拟的目的含水层为浅层松散孔隙—裂隙含水层，系统的补给项主要是大气降水，排泄项主要是蒸发和人工开采。在不考虑水的密度变化条件以及向下部含水层渗透、越流补给的情况下，概化为非均质各向同性二维非稳定流。</w:t>
      </w:r>
    </w:p>
    <w:p>
      <w:pPr>
        <w:ind w:firstLine="480"/>
        <w:jc w:val="left"/>
        <w:rPr>
          <w:rFonts w:hAnsi="宋体"/>
        </w:rPr>
      </w:pPr>
      <m:oMathPara>
        <m:oMath>
          <m:d>
            <m:dPr>
              <m:begChr m:val="{"/>
              <m:endChr m:val=""/>
              <m:ctrlPr>
                <w:rPr>
                  <w:rFonts w:ascii="Cambria Math" w:hAnsi="Cambria Math"/>
                </w:rPr>
              </m:ctrlPr>
            </m:dPr>
            <m:e>
              <m:eqArr>
                <m:eqArrPr>
                  <m:objDist m:val="1"/>
                  <m:ctrlPr>
                    <w:rPr>
                      <w:rFonts w:ascii="Cambria Math" w:hAnsi="Cambria Math"/>
                      <w:i/>
                    </w:rPr>
                  </m:ctrlPr>
                </m:eqArrPr>
                <m:e>
                  <m:r>
                    <m:rPr>
                      <m:sty m:val="p"/>
                    </m:rPr>
                    <w:rPr>
                      <w:rFonts w:ascii="Cambria Math" w:hAnsi="Cambria Math"/>
                      <w:position w:val="-30"/>
                    </w:rPr>
                    <w:object>
                      <v:shape id="_x0000_i1027" o:spt="75" type="#_x0000_t75" style="height:36pt;width:173pt;" o:ole="t" filled="f" o:preferrelative="t" stroked="f" coordsize="21600,21600">
                        <v:path/>
                        <v:fill on="f" focussize="0,0"/>
                        <v:stroke on="f" joinstyle="miter"/>
                        <v:imagedata r:id="rId79" o:title=""/>
                        <o:lock v:ext="edit" aspectratio="t"/>
                        <w10:wrap type="none"/>
                        <w10:anchorlock/>
                      </v:shape>
                      <o:OLEObject Type="Embed" ProgID="Equation.DSMT4" ShapeID="_x0000_i1027" DrawAspect="Content" ObjectID="_1468075727" r:id="rId78">
                        <o:LockedField>false</o:LockedField>
                      </o:OLEObject>
                    </w:object>
                  </m:r>
                  <m:r>
                    <m:rPr>
                      <m:sty m:val="p"/>
                    </m:rPr>
                    <w:rPr>
                      <w:rFonts w:ascii="Cambria Math" w:hAnsi="Cambria Math"/>
                      <w:position w:val="-10"/>
                    </w:rPr>
                    <w:object>
                      <v:shape id="_x0000_i1028" o:spt="75" type="#_x0000_t75" style="height:14pt;width:50pt;" o:ole="t" filled="f" o:preferrelative="t" stroked="f" coordsize="21600,21600">
                        <v:path/>
                        <v:fill on="f" focussize="0,0"/>
                        <v:stroke on="f" joinstyle="miter"/>
                        <v:imagedata r:id="rId81" o:title=""/>
                        <o:lock v:ext="edit" aspectratio="t"/>
                        <w10:wrap type="none"/>
                        <w10:anchorlock/>
                      </v:shape>
                      <o:OLEObject Type="Embed" ProgID="Equation.DSMT4" ShapeID="_x0000_i1028" DrawAspect="Content" ObjectID="_1468075728" r:id="rId80">
                        <o:LockedField>false</o:LockedField>
                      </o:OLEObject>
                    </w:object>
                  </m:r>
                  <m:ctrlPr>
                    <w:rPr>
                      <w:rFonts w:ascii="Cambria Math" w:hAnsi="Cambria Math"/>
                      <w:i/>
                    </w:rPr>
                  </m:ctrlPr>
                </m:e>
                <m:e>
                  <m:r>
                    <m:rPr>
                      <m:sty m:val="p"/>
                    </m:rPr>
                    <w:rPr>
                      <w:rFonts w:ascii="Cambria Math" w:hAnsi="Cambria Math"/>
                      <w:position w:val="-26"/>
                    </w:rPr>
                    <w:object>
                      <v:shape id="_x0000_i1029" o:spt="75" type="#_x0000_t75" style="height:36pt;width:108pt;" o:ole="t" filled="f" o:preferrelative="t" stroked="f" coordsize="21600,21600">
                        <v:path/>
                        <v:fill on="f" focussize="0,0"/>
                        <v:stroke on="f" joinstyle="miter"/>
                        <v:imagedata r:id="rId83" o:title=""/>
                        <o:lock v:ext="edit" aspectratio="t"/>
                        <w10:wrap type="none"/>
                        <w10:anchorlock/>
                      </v:shape>
                      <o:OLEObject Type="Embed" ProgID="Equation.DSMT4" ShapeID="_x0000_i1029" DrawAspect="Content" ObjectID="_1468075729" r:id="rId82">
                        <o:LockedField>false</o:LockedField>
                      </o:OLEObject>
                    </w:object>
                  </m:r>
                  <m:r>
                    <m:rPr>
                      <m:sty m:val="p"/>
                    </m:rPr>
                    <w:rPr>
                      <w:rFonts w:ascii="Cambria Math" w:hAnsi="Cambria Math"/>
                      <w:position w:val="-12"/>
                    </w:rPr>
                    <w:object>
                      <v:shape id="_x0000_i1030" o:spt="75" type="#_x0000_t75" style="height:22pt;width:80pt;" o:ole="t" filled="f" o:preferrelative="t" stroked="f" coordsize="21600,21600">
                        <v:path/>
                        <v:fill on="f" focussize="0,0"/>
                        <v:stroke on="f" joinstyle="miter"/>
                        <v:imagedata r:id="rId85" o:title=""/>
                        <o:lock v:ext="edit" aspectratio="t"/>
                        <w10:wrap type="none"/>
                        <w10:anchorlock/>
                      </v:shape>
                      <o:OLEObject Type="Embed" ProgID="Equation.DSMT4" ShapeID="_x0000_i1030" DrawAspect="Content" ObjectID="_1468075730" r:id="rId84">
                        <o:LockedField>false</o:LockedField>
                      </o:OLEObject>
                    </w:object>
                  </m:r>
                  <m:ctrlPr>
                    <w:rPr>
                      <w:rFonts w:ascii="Cambria Math" w:hAnsi="Cambria Math" w:eastAsia="Cambria Math" w:cs="Cambria Math"/>
                      <w:i/>
                    </w:rPr>
                  </m:ctrlPr>
                </m:e>
                <m:e>
                  <m:r>
                    <m:rPr>
                      <m:sty m:val="p"/>
                    </m:rPr>
                    <w:rPr>
                      <w:rFonts w:ascii="Cambria Math" w:hAnsi="Cambria Math"/>
                      <w:position w:val="-26"/>
                    </w:rPr>
                    <w:object>
                      <v:shape id="_x0000_i1031" o:spt="75" type="#_x0000_t75" style="height:36pt;width:72pt;" o:ole="t" filled="f" o:preferrelative="t" stroked="f" coordsize="21600,21600">
                        <v:path/>
                        <v:fill on="f" focussize="0,0"/>
                        <v:stroke on="f" joinstyle="miter"/>
                        <v:imagedata r:id="rId87" o:title=""/>
                        <o:lock v:ext="edit" aspectratio="t"/>
                        <w10:wrap type="none"/>
                        <w10:anchorlock/>
                      </v:shape>
                      <o:OLEObject Type="Embed" ProgID="Equation.DSMT4" ShapeID="_x0000_i1031" DrawAspect="Content" ObjectID="_1468075731" r:id="rId86">
                        <o:LockedField>false</o:LockedField>
                      </o:OLEObject>
                    </w:object>
                  </m:r>
                  <m:r>
                    <m:rPr>
                      <m:sty m:val="p"/>
                    </m:rPr>
                    <w:rPr>
                      <w:rFonts w:ascii="Cambria Math" w:hAnsi="Cambria Math"/>
                      <w:position w:val="-12"/>
                    </w:rPr>
                    <w:object>
                      <v:shape id="_x0000_i1032" o:spt="75" type="#_x0000_t75" style="height:22pt;width:80pt;" o:ole="t" filled="f" o:preferrelative="t" stroked="f" coordsize="21600,21600">
                        <v:path/>
                        <v:fill on="f" focussize="0,0"/>
                        <v:stroke on="f" joinstyle="miter"/>
                        <v:imagedata r:id="rId89" o:title=""/>
                        <o:lock v:ext="edit" aspectratio="t"/>
                        <w10:wrap type="none"/>
                        <w10:anchorlock/>
                      </v:shape>
                      <o:OLEObject Type="Embed" ProgID="Equation.DSMT4" ShapeID="_x0000_i1032" DrawAspect="Content" ObjectID="_1468075732" r:id="rId88">
                        <o:LockedField>false</o:LockedField>
                      </o:OLEObject>
                    </w:object>
                  </m:r>
                  <m:ctrlPr>
                    <w:rPr>
                      <w:rFonts w:ascii="Cambria Math" w:hAnsi="Cambria Math" w:eastAsia="Cambria Math" w:cs="Cambria Math"/>
                      <w:i/>
                    </w:rPr>
                  </m:ctrlPr>
                </m:e>
                <m:e>
                  <m:r>
                    <m:rPr>
                      <m:sty m:val="p"/>
                    </m:rPr>
                    <w:rPr>
                      <w:rFonts w:ascii="Cambria Math" w:hAnsi="Cambria Math"/>
                      <w:position w:val="-14"/>
                    </w:rPr>
                    <w:object>
                      <v:shape id="_x0000_i1033" o:spt="75" type="#_x0000_t75" style="height:22pt;width:108pt;" o:ole="t" filled="f" o:preferrelative="t" stroked="f" coordsize="21600,21600">
                        <v:path/>
                        <v:fill on="f" focussize="0,0"/>
                        <v:stroke on="f" joinstyle="miter"/>
                        <v:imagedata r:id="rId91" o:title=""/>
                        <o:lock v:ext="edit" aspectratio="t"/>
                        <w10:wrap type="none"/>
                        <w10:anchorlock/>
                      </v:shape>
                      <o:OLEObject Type="Embed" ProgID="Equation.DSMT4" ShapeID="_x0000_i1033" DrawAspect="Content" ObjectID="_1468075733" r:id="rId90">
                        <o:LockedField>false</o:LockedField>
                      </o:OLEObject>
                    </w:object>
                  </m:r>
                  <m:r>
                    <m:rPr>
                      <m:sty m:val="p"/>
                    </m:rPr>
                    <w:rPr>
                      <w:rFonts w:ascii="Cambria Math" w:hAnsi="Cambria Math"/>
                      <w:position w:val="-10"/>
                    </w:rPr>
                    <w:object>
                      <v:shape id="_x0000_i1034" o:spt="75" type="#_x0000_t75" style="height:14pt;width:50pt;" o:ole="t" filled="f" o:preferrelative="t" stroked="f" coordsize="21600,21600">
                        <v:path/>
                        <v:fill on="f" focussize="0,0"/>
                        <v:stroke on="f" joinstyle="miter"/>
                        <v:imagedata r:id="rId93" o:title=""/>
                        <o:lock v:ext="edit" aspectratio="t"/>
                        <w10:wrap type="none"/>
                        <w10:anchorlock/>
                      </v:shape>
                      <o:OLEObject Type="Embed" ProgID="Equation.DSMT4" ShapeID="_x0000_i1034" DrawAspect="Content" ObjectID="_1468075734" r:id="rId92">
                        <o:LockedField>false</o:LockedField>
                      </o:OLEObject>
                    </w:object>
                  </m:r>
                  <m:ctrlPr>
                    <w:rPr>
                      <w:rFonts w:ascii="Cambria Math" w:hAnsi="Cambria Math"/>
                      <w:i/>
                    </w:rPr>
                  </m:ctrlPr>
                </m:e>
              </m:eqArr>
              <m:ctrlPr>
                <w:rPr>
                  <w:rFonts w:ascii="Cambria Math" w:hAnsi="Cambria Math"/>
                </w:rPr>
              </m:ctrlPr>
            </m:e>
          </m:d>
        </m:oMath>
      </m:oMathPara>
    </w:p>
    <w:p>
      <w:pPr>
        <w:spacing w:before="312" w:beforeLines="100"/>
        <w:ind w:firstLine="480"/>
        <w:rPr>
          <w:rFonts w:ascii="Times New Roman" w:hAnsi="Times New Roman"/>
        </w:rPr>
      </w:pPr>
      <w:r>
        <w:rPr>
          <w:rFonts w:ascii="Times New Roman" w:hAnsi="Times New Roman"/>
        </w:rPr>
        <w:t>式中：Ω—地下水渗流区域；</w:t>
      </w:r>
    </w:p>
    <w:p>
      <w:pPr>
        <w:ind w:firstLine="720" w:firstLineChars="300"/>
        <w:rPr>
          <w:rFonts w:ascii="Times New Roman" w:hAnsi="Times New Roman"/>
        </w:rPr>
      </w:pPr>
      <w:r>
        <w:rPr>
          <w:rFonts w:ascii="Times New Roman" w:hAnsi="Times New Roman"/>
          <w:i/>
        </w:rPr>
        <w:t>K—</w:t>
      </w:r>
      <w:r>
        <w:rPr>
          <w:rFonts w:ascii="Times New Roman" w:hAnsi="Times New Roman"/>
        </w:rPr>
        <w:t>沿x，y坐标轴方向的渗透系数(m/d)；</w:t>
      </w:r>
    </w:p>
    <w:p>
      <w:pPr>
        <w:ind w:firstLine="720" w:firstLineChars="300"/>
        <w:rPr>
          <w:rFonts w:ascii="Times New Roman" w:hAnsi="Times New Roman"/>
        </w:rPr>
      </w:pPr>
      <w:r>
        <w:rPr>
          <w:rFonts w:ascii="Times New Roman" w:hAnsi="Times New Roman"/>
          <w:i/>
        </w:rPr>
        <w:t>h—</w:t>
      </w:r>
      <w:r>
        <w:rPr>
          <w:rFonts w:ascii="Times New Roman" w:hAnsi="Times New Roman"/>
        </w:rPr>
        <w:t>点(x，y)在t时刻水头值(m)；</w:t>
      </w:r>
    </w:p>
    <w:p>
      <w:pPr>
        <w:ind w:firstLine="720" w:firstLineChars="300"/>
        <w:rPr>
          <w:rFonts w:ascii="Times New Roman" w:hAnsi="Times New Roman"/>
        </w:rPr>
      </w:pPr>
      <w:r>
        <w:rPr>
          <w:rFonts w:ascii="Times New Roman" w:hAnsi="Times New Roman"/>
          <w:i/>
        </w:rPr>
        <w:t>h</w:t>
      </w:r>
      <w:r>
        <w:rPr>
          <w:rFonts w:ascii="Times New Roman" w:hAnsi="Times New Roman"/>
          <w:i/>
          <w:vertAlign w:val="subscript"/>
        </w:rPr>
        <w:t>0</w:t>
      </w:r>
      <w:r>
        <w:rPr>
          <w:rFonts w:ascii="Times New Roman" w:hAnsi="Times New Roman"/>
          <w:i/>
        </w:rPr>
        <w:t>—</w:t>
      </w:r>
      <w:r>
        <w:rPr>
          <w:rFonts w:ascii="Times New Roman" w:hAnsi="Times New Roman"/>
        </w:rPr>
        <w:t>含水层的初始水头(m)；</w:t>
      </w:r>
    </w:p>
    <w:p>
      <w:pPr>
        <w:ind w:firstLine="720" w:firstLineChars="300"/>
        <w:rPr>
          <w:rFonts w:ascii="Times New Roman" w:hAnsi="Times New Roman"/>
        </w:rPr>
      </w:pPr>
      <w:r>
        <w:rPr>
          <w:rFonts w:ascii="Times New Roman" w:hAnsi="Times New Roman"/>
          <w:i/>
        </w:rPr>
        <w:t>μ—</w:t>
      </w:r>
      <w:r>
        <w:rPr>
          <w:rFonts w:ascii="Times New Roman" w:hAnsi="Times New Roman"/>
        </w:rPr>
        <w:t>含水层给水度(l/m)；</w:t>
      </w:r>
    </w:p>
    <w:p>
      <w:pPr>
        <w:ind w:firstLine="720" w:firstLineChars="300"/>
        <w:rPr>
          <w:rFonts w:ascii="Times New Roman" w:hAnsi="Times New Roman"/>
        </w:rPr>
      </w:pPr>
      <w:r>
        <w:rPr>
          <w:rFonts w:ascii="Times New Roman" w:hAnsi="Times New Roman"/>
          <w:i/>
        </w:rPr>
        <w:t>W—</w:t>
      </w:r>
      <w:r>
        <w:rPr>
          <w:rFonts w:ascii="Times New Roman" w:hAnsi="Times New Roman"/>
        </w:rPr>
        <w:t>源汇项(m/d)；</w:t>
      </w:r>
    </w:p>
    <w:p>
      <w:pPr>
        <w:ind w:firstLine="720" w:firstLineChars="300"/>
        <w:rPr>
          <w:rFonts w:ascii="Times New Roman" w:hAnsi="Times New Roman"/>
        </w:rPr>
      </w:pPr>
      <w:r>
        <w:rPr>
          <w:rFonts w:ascii="Times New Roman" w:hAnsi="Times New Roman"/>
          <w:vertAlign w:val="subscript"/>
        </w:rPr>
        <w:drawing>
          <wp:inline distT="0" distB="0" distL="0" distR="0">
            <wp:extent cx="123825" cy="2286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23825" cy="228600"/>
                    </a:xfrm>
                    <a:prstGeom prst="rect">
                      <a:avLst/>
                    </a:prstGeom>
                    <a:noFill/>
                    <a:ln>
                      <a:noFill/>
                    </a:ln>
                  </pic:spPr>
                </pic:pic>
              </a:graphicData>
            </a:graphic>
          </wp:inline>
        </w:drawing>
      </w:r>
      <w:r>
        <w:rPr>
          <w:rFonts w:ascii="Times New Roman" w:hAnsi="Times New Roman"/>
        </w:rPr>
        <w:t>—边界的外法线方向；</w:t>
      </w:r>
    </w:p>
    <w:p>
      <w:pPr>
        <w:ind w:firstLine="720" w:firstLineChars="300"/>
        <w:rPr>
          <w:rFonts w:ascii="Times New Roman" w:hAnsi="Times New Roman"/>
        </w:rPr>
      </w:pPr>
      <w:r>
        <w:rPr>
          <w:rFonts w:ascii="Times New Roman" w:hAnsi="Times New Roman"/>
          <w:i/>
        </w:rPr>
        <w:t>K</w:t>
      </w:r>
      <w:r>
        <w:rPr>
          <w:rFonts w:ascii="Times New Roman" w:hAnsi="Times New Roman"/>
          <w:i/>
          <w:vertAlign w:val="subscript"/>
        </w:rPr>
        <w:t>n</w:t>
      </w:r>
      <w:r>
        <w:rPr>
          <w:rFonts w:ascii="Times New Roman" w:hAnsi="Times New Roman"/>
          <w:i/>
        </w:rPr>
        <w:t>—</w:t>
      </w:r>
      <w:r>
        <w:rPr>
          <w:rFonts w:ascii="Times New Roman" w:hAnsi="Times New Roman"/>
        </w:rPr>
        <w:t>边界法线方向的渗透系数(m/d)；</w:t>
      </w:r>
    </w:p>
    <w:p>
      <w:pPr>
        <w:ind w:firstLine="720" w:firstLineChars="300"/>
        <w:rPr>
          <w:rFonts w:ascii="Times New Roman" w:hAnsi="Times New Roman"/>
        </w:rPr>
      </w:pPr>
      <w:r>
        <w:rPr>
          <w:rFonts w:ascii="Times New Roman" w:hAnsi="Times New Roman"/>
          <w:i/>
        </w:rPr>
        <w:t>q—</w:t>
      </w:r>
      <w:r>
        <w:rPr>
          <w:rFonts w:ascii="Times New Roman" w:hAnsi="Times New Roman"/>
        </w:rPr>
        <w:t>渗流区二类边界上的单位面积流量(m</w:t>
      </w:r>
      <w:r>
        <w:rPr>
          <w:rFonts w:ascii="Times New Roman" w:hAnsi="Times New Roman"/>
          <w:vertAlign w:val="superscript"/>
        </w:rPr>
        <w:t>3</w:t>
      </w:r>
      <w:r>
        <w:rPr>
          <w:rFonts w:ascii="Times New Roman" w:hAnsi="Times New Roman"/>
        </w:rPr>
        <w:t>/d)；</w:t>
      </w:r>
    </w:p>
    <w:p>
      <w:pPr>
        <w:ind w:firstLine="720" w:firstLineChars="300"/>
        <w:rPr>
          <w:rFonts w:ascii="Times New Roman" w:hAnsi="Times New Roman"/>
        </w:rPr>
      </w:pPr>
      <w:r>
        <w:rPr>
          <w:rFonts w:ascii="Times New Roman" w:hAnsi="Times New Roman"/>
          <w:position w:val="-12"/>
        </w:rPr>
        <w:drawing>
          <wp:inline distT="0" distB="0" distL="0" distR="0">
            <wp:extent cx="180975" cy="2381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80975" cy="238125"/>
                    </a:xfrm>
                    <a:prstGeom prst="rect">
                      <a:avLst/>
                    </a:prstGeom>
                    <a:noFill/>
                    <a:ln>
                      <a:noFill/>
                    </a:ln>
                  </pic:spPr>
                </pic:pic>
              </a:graphicData>
            </a:graphic>
          </wp:inline>
        </w:drawing>
      </w:r>
      <w:r>
        <w:rPr>
          <w:rFonts w:ascii="Times New Roman" w:hAnsi="Times New Roman"/>
          <w:position w:val="-12"/>
        </w:rPr>
        <w:t>—</w:t>
      </w:r>
      <w:r>
        <w:rPr>
          <w:rFonts w:ascii="Times New Roman" w:hAnsi="Times New Roman"/>
        </w:rPr>
        <w:t>第二类给定流量边界；</w:t>
      </w:r>
    </w:p>
    <w:p>
      <w:pPr>
        <w:ind w:firstLine="720" w:firstLineChars="300"/>
        <w:jc w:val="left"/>
        <w:rPr>
          <w:rFonts w:ascii="Times New Roman" w:hAnsi="Times New Roman"/>
        </w:rPr>
      </w:pPr>
      <w:r>
        <w:rPr>
          <w:rFonts w:ascii="Times New Roman" w:hAnsi="Times New Roman"/>
          <w:position w:val="-12"/>
        </w:rPr>
        <w:drawing>
          <wp:inline distT="0" distB="0" distL="0" distR="0">
            <wp:extent cx="190500" cy="23812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190500" cy="238125"/>
                    </a:xfrm>
                    <a:prstGeom prst="rect">
                      <a:avLst/>
                    </a:prstGeom>
                    <a:noFill/>
                    <a:ln>
                      <a:noFill/>
                    </a:ln>
                  </pic:spPr>
                </pic:pic>
              </a:graphicData>
            </a:graphic>
          </wp:inline>
        </w:drawing>
      </w:r>
      <w:r>
        <w:rPr>
          <w:rFonts w:ascii="Times New Roman" w:hAnsi="Times New Roman"/>
          <w:position w:val="-12"/>
        </w:rPr>
        <w:t>—</w:t>
      </w:r>
      <w:r>
        <w:rPr>
          <w:rFonts w:ascii="Times New Roman" w:hAnsi="Times New Roman"/>
        </w:rPr>
        <w:t>第二类隔水边界。</w:t>
      </w:r>
    </w:p>
    <w:p>
      <w:pPr>
        <w:ind w:firstLine="480"/>
        <w:rPr>
          <w:rFonts w:ascii="Times New Roman" w:hAnsi="Times New Roman"/>
          <w:szCs w:val="24"/>
        </w:rPr>
      </w:pPr>
      <w:r>
        <w:rPr>
          <w:rFonts w:hint="eastAsia" w:ascii="Times New Roman" w:hAnsi="Times New Roman"/>
          <w:szCs w:val="24"/>
        </w:rPr>
        <w:t>2）溶质运移数值模型</w:t>
      </w:r>
    </w:p>
    <w:p>
      <w:pPr>
        <w:ind w:firstLine="480"/>
        <w:rPr>
          <w:rFonts w:ascii="Times New Roman" w:hAnsi="Times New Roman"/>
          <w:szCs w:val="24"/>
        </w:rPr>
      </w:pPr>
      <w:r>
        <w:rPr>
          <w:rFonts w:ascii="Times New Roman" w:hAnsi="Times New Roman"/>
          <w:szCs w:val="24"/>
        </w:rPr>
        <w:t>本次建立的地下水溶质运移模型是在二维水流影响基础下的</w:t>
      </w:r>
      <w:r>
        <w:rPr>
          <w:rFonts w:hint="eastAsia" w:ascii="Times New Roman" w:hAnsi="Times New Roman"/>
          <w:szCs w:val="24"/>
        </w:rPr>
        <w:t>二</w:t>
      </w:r>
      <w:r>
        <w:rPr>
          <w:rFonts w:ascii="Times New Roman" w:hAnsi="Times New Roman"/>
          <w:szCs w:val="24"/>
        </w:rPr>
        <w:t>维弥散问题，水流主方向和坐标轴重合，溶液密度不变，</w:t>
      </w:r>
      <w:r>
        <w:rPr>
          <w:rFonts w:hint="eastAsia" w:ascii="Times New Roman" w:hAnsi="Times New Roman"/>
          <w:szCs w:val="24"/>
        </w:rPr>
        <w:t>不考虑化学反应和吸附，</w:t>
      </w:r>
      <w:r>
        <w:rPr>
          <w:rFonts w:ascii="Times New Roman" w:hAnsi="Times New Roman"/>
          <w:szCs w:val="24"/>
        </w:rPr>
        <w:t>溶解相和吸附相的速率相等</w:t>
      </w:r>
      <w:r>
        <w:rPr>
          <w:rFonts w:hint="eastAsia" w:ascii="Times New Roman" w:hAnsi="Times New Roman"/>
          <w:szCs w:val="24"/>
        </w:rPr>
        <w:t>。</w:t>
      </w:r>
      <w:r>
        <w:rPr>
          <w:rFonts w:ascii="Times New Roman" w:hAnsi="Times New Roman"/>
          <w:szCs w:val="24"/>
        </w:rPr>
        <w:t>在此前提下，溶质运移的</w:t>
      </w:r>
      <w:r>
        <w:rPr>
          <w:rFonts w:hint="eastAsia" w:ascii="Times New Roman" w:hAnsi="Times New Roman"/>
          <w:szCs w:val="24"/>
        </w:rPr>
        <w:t>二</w:t>
      </w:r>
      <w:r>
        <w:rPr>
          <w:rFonts w:ascii="Times New Roman" w:hAnsi="Times New Roman"/>
          <w:szCs w:val="24"/>
        </w:rPr>
        <w:t>维水动力弥散方程的数学模型如下：</w:t>
      </w:r>
    </w:p>
    <w:p>
      <w:pPr>
        <w:ind w:firstLine="480"/>
      </w:pPr>
      <w:r>
        <mc:AlternateContent>
          <mc:Choice Requires="wps">
            <w:drawing>
              <wp:anchor distT="0" distB="0" distL="114300" distR="114300" simplePos="0" relativeHeight="251674624" behindDoc="0" locked="0" layoutInCell="1" allowOverlap="1">
                <wp:simplePos x="0" y="0"/>
                <wp:positionH relativeFrom="column">
                  <wp:posOffset>-1905</wp:posOffset>
                </wp:positionH>
                <wp:positionV relativeFrom="paragraph">
                  <wp:posOffset>85090</wp:posOffset>
                </wp:positionV>
                <wp:extent cx="90805" cy="1053465"/>
                <wp:effectExtent l="5715" t="8890" r="8255" b="13970"/>
                <wp:wrapNone/>
                <wp:docPr id="66" name="AutoShape 103"/>
                <wp:cNvGraphicFramePr/>
                <a:graphic xmlns:a="http://schemas.openxmlformats.org/drawingml/2006/main">
                  <a:graphicData uri="http://schemas.microsoft.com/office/word/2010/wordprocessingShape">
                    <wps:wsp>
                      <wps:cNvSpPr/>
                      <wps:spPr bwMode="auto">
                        <a:xfrm>
                          <a:off x="0" y="0"/>
                          <a:ext cx="90805" cy="1053465"/>
                        </a:xfrm>
                        <a:prstGeom prst="leftBrace">
                          <a:avLst>
                            <a:gd name="adj1" fmla="val 96678"/>
                            <a:gd name="adj2" fmla="val 50000"/>
                          </a:avLst>
                        </a:pr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AutoShape 103" o:spid="_x0000_s1026" o:spt="87" type="#_x0000_t87" style="position:absolute;left:0pt;margin-left:-0.15pt;margin-top:6.7pt;height:82.95pt;width:7.15pt;z-index:251674624;mso-width-relative:page;mso-height-relative:page;" filled="f" stroked="t" coordsize="21600,21600" o:gfxdata="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wbhD62AAAAAcBAAAPAAAAAAAAAAEAIAAAACIAAABkcnMvZG93bnJldi54bWxQSwECFAAU&#10;AAAACACHTuJARVZBZSoCAABkBAAADgAAAAAAAAABACAAAAAnAQAAZHJzL2Uyb0RvYy54bWxQSwUG&#10;AAAAAAYABgBZAQAAwwUAAAAA&#10;" adj="1799,10800">
                <v:fill on="f" focussize="0,0"/>
                <v:stroke color="#000000" joinstyle="round"/>
                <v:imagedata o:title=""/>
                <o:lock v:ext="edit" aspectratio="f"/>
              </v:shape>
            </w:pict>
          </mc:Fallback>
        </mc:AlternateContent>
      </w:r>
      <w:r>
        <w:drawing>
          <wp:inline distT="0" distB="0" distL="0" distR="0">
            <wp:extent cx="3552825" cy="1095375"/>
            <wp:effectExtent l="0" t="0" r="0" b="0"/>
            <wp:docPr id="26" name="图片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552825" cy="1095375"/>
                    </a:xfrm>
                    <a:prstGeom prst="rect">
                      <a:avLst/>
                    </a:prstGeom>
                    <a:noFill/>
                    <a:ln>
                      <a:noFill/>
                    </a:ln>
                  </pic:spPr>
                </pic:pic>
              </a:graphicData>
            </a:graphic>
          </wp:inline>
        </w:drawing>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i/>
        </w:rPr>
        <w:t>c</w:t>
      </w:r>
      <w:r>
        <w:rPr>
          <w:rFonts w:ascii="Times New Roman" w:hAnsi="Times New Roman"/>
        </w:rPr>
        <w:t>—地下水中组分的溶解相浓度，（ML</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i/>
        </w:rPr>
        <w:t>u</w:t>
      </w:r>
      <w:r>
        <w:rPr>
          <w:rFonts w:ascii="Times New Roman" w:hAnsi="Times New Roman"/>
          <w:vertAlign w:val="subscript"/>
        </w:rPr>
        <w:t>x</w:t>
      </w:r>
      <w:r>
        <w:rPr>
          <w:rFonts w:ascii="Times New Roman" w:hAnsi="Times New Roman"/>
        </w:rPr>
        <w:t>、</w:t>
      </w:r>
      <w:r>
        <w:rPr>
          <w:rFonts w:ascii="Times New Roman" w:hAnsi="Times New Roman"/>
          <w:i/>
        </w:rPr>
        <w:t>u</w:t>
      </w:r>
      <w:r>
        <w:rPr>
          <w:rFonts w:ascii="Times New Roman" w:hAnsi="Times New Roman"/>
          <w:vertAlign w:val="subscript"/>
        </w:rPr>
        <w:t>y</w:t>
      </w:r>
      <w:r>
        <w:rPr>
          <w:rFonts w:ascii="Times New Roman" w:hAnsi="Times New Roman"/>
        </w:rPr>
        <w:t>—x、y方向的实际水流速度，（LT</w:t>
      </w:r>
      <w:r>
        <w:rPr>
          <w:rFonts w:ascii="Times New Roman" w:hAnsi="Times New Roman"/>
          <w:vertAlign w:val="superscript"/>
        </w:rPr>
        <w:t>-1</w:t>
      </w:r>
      <w:r>
        <w:rPr>
          <w:rFonts w:ascii="Times New Roman" w:hAnsi="Times New Roman"/>
        </w:rPr>
        <w:t>）；</w:t>
      </w:r>
    </w:p>
    <w:p>
      <w:pPr>
        <w:ind w:firstLine="480"/>
        <w:rPr>
          <w:rFonts w:ascii="Times New Roman" w:hAnsi="Times New Roman"/>
        </w:rPr>
      </w:pPr>
      <w:r>
        <w:rPr>
          <w:rFonts w:ascii="Times New Roman" w:hAnsi="Times New Roman"/>
          <w:i/>
        </w:rPr>
        <w:t>t</w:t>
      </w:r>
      <w:r>
        <w:rPr>
          <w:rFonts w:ascii="Times New Roman" w:hAnsi="Times New Roman"/>
        </w:rPr>
        <w:t>—时间，（T）；</w:t>
      </w:r>
    </w:p>
    <w:p>
      <w:pPr>
        <w:ind w:firstLine="480"/>
        <w:rPr>
          <w:rFonts w:ascii="Times New Roman" w:hAnsi="Times New Roman"/>
        </w:rPr>
      </w:pPr>
      <w:r>
        <w:rPr>
          <w:rFonts w:ascii="Times New Roman" w:hAnsi="Times New Roman"/>
        </w:rPr>
        <w:t>D—x、y方向的水动力弥散系数张量，（L</w:t>
      </w:r>
      <w:r>
        <w:rPr>
          <w:rFonts w:ascii="Times New Roman" w:hAnsi="Times New Roman"/>
          <w:vertAlign w:val="superscript"/>
        </w:rPr>
        <w:t>2</w:t>
      </w:r>
      <w:r>
        <w:rPr>
          <w:rFonts w:ascii="Times New Roman" w:hAnsi="Times New Roman"/>
        </w:rPr>
        <w:t>T</w:t>
      </w:r>
      <w:r>
        <w:rPr>
          <w:rFonts w:ascii="Times New Roman" w:hAnsi="Times New Roman"/>
          <w:vertAlign w:val="superscript"/>
        </w:rPr>
        <w:t>-1</w:t>
      </w:r>
      <w:r>
        <w:rPr>
          <w:rFonts w:ascii="Times New Roman" w:hAnsi="Times New Roman"/>
        </w:rPr>
        <w:t>）；</w:t>
      </w:r>
    </w:p>
    <w:p>
      <w:pPr>
        <w:ind w:firstLine="480"/>
        <w:rPr>
          <w:rFonts w:ascii="Times New Roman" w:hAnsi="Times New Roman"/>
        </w:rPr>
      </w:pPr>
      <w:r>
        <w:rPr>
          <w:rFonts w:ascii="Times New Roman" w:hAnsi="Times New Roman"/>
        </w:rPr>
        <w:t>Ω—溶质渗流区域；</w:t>
      </w:r>
    </w:p>
    <w:p>
      <w:pPr>
        <w:ind w:firstLine="480"/>
        <w:rPr>
          <w:rFonts w:ascii="Times New Roman" w:hAnsi="Times New Roman"/>
        </w:rPr>
      </w:pPr>
      <w:r>
        <w:rPr>
          <w:rFonts w:ascii="Times New Roman" w:hAnsi="Times New Roman"/>
        </w:rPr>
        <w:t>f—吸附作用产生的溶质增量，（M T</w:t>
      </w:r>
      <w:r>
        <w:rPr>
          <w:rFonts w:ascii="Times New Roman" w:hAnsi="Times New Roman"/>
          <w:vertAlign w:val="superscript"/>
        </w:rPr>
        <w:t>-1</w:t>
      </w:r>
      <w:r>
        <w:rPr>
          <w:rFonts w:ascii="Times New Roman" w:hAnsi="Times New Roman"/>
        </w:rPr>
        <w:t>）；</w:t>
      </w:r>
    </w:p>
    <w:p>
      <w:pPr>
        <w:ind w:firstLine="480"/>
        <w:rPr>
          <w:rFonts w:ascii="Times New Roman" w:hAnsi="Times New Roman"/>
        </w:rPr>
      </w:pPr>
      <w:r>
        <w:rPr>
          <w:rFonts w:ascii="Times New Roman" w:hAnsi="Times New Roman"/>
        </w:rPr>
        <w:t>—第二类边界；</w:t>
      </w:r>
    </w:p>
    <w:p>
      <w:pPr>
        <w:ind w:firstLine="480"/>
        <w:rPr>
          <w:rFonts w:ascii="Times New Roman" w:hAnsi="Times New Roman"/>
        </w:rPr>
      </w:pPr>
      <m:oMath>
        <m:r>
          <m:rPr>
            <m:sty m:val="p"/>
          </m:rPr>
          <w:rPr>
            <w:rFonts w:ascii="Cambria Math" w:hAnsi="Cambria Math"/>
          </w:rPr>
          <m:t>φ</m:t>
        </m:r>
      </m:oMath>
      <w:r>
        <w:rPr>
          <w:rFonts w:ascii="Times New Roman" w:hAnsi="Times New Roman"/>
        </w:rPr>
        <w:t>—边界溶质通量，（MT</w:t>
      </w:r>
      <w:r>
        <w:rPr>
          <w:rFonts w:ascii="Times New Roman" w:hAnsi="Times New Roman"/>
          <w:vertAlign w:val="superscript"/>
        </w:rPr>
        <w:t>-1</w:t>
      </w:r>
      <w:r>
        <w:rPr>
          <w:rFonts w:ascii="Times New Roman" w:hAnsi="Times New Roman"/>
        </w:rPr>
        <w:t>）；</w:t>
      </w:r>
    </w:p>
    <w:p>
      <w:pPr>
        <w:ind w:firstLine="480"/>
        <w:rPr>
          <w:rFonts w:ascii="Times New Roman" w:hAnsi="Times New Roman"/>
        </w:rPr>
      </w:pPr>
      <m:oMath>
        <m:acc>
          <m:accPr>
            <m:chr m:val="⃗"/>
            <m:ctrlPr>
              <w:rPr>
                <w:rFonts w:ascii="Cambria Math" w:hAnsi="Cambria Math"/>
              </w:rPr>
            </m:ctrlPr>
          </m:accPr>
          <m:e>
            <m:r>
              <m:rPr/>
              <w:rPr>
                <w:rFonts w:ascii="Cambria Math" w:hAnsi="Cambria Math"/>
              </w:rPr>
              <m:t>v</m:t>
            </m:r>
            <m:ctrlPr>
              <w:rPr>
                <w:rFonts w:ascii="Cambria Math" w:hAnsi="Cambria Math"/>
              </w:rPr>
            </m:ctrlPr>
          </m:e>
        </m:acc>
      </m:oMath>
      <w:r>
        <w:rPr>
          <w:rFonts w:ascii="Times New Roman" w:hAnsi="Times New Roman"/>
        </w:rPr>
        <w:t>—渗流速度，（LT</w:t>
      </w:r>
      <w:r>
        <w:rPr>
          <w:rFonts w:ascii="Times New Roman" w:hAnsi="Times New Roman"/>
          <w:vertAlign w:val="superscript"/>
        </w:rPr>
        <w:t>-1</w:t>
      </w:r>
      <w:r>
        <w:rPr>
          <w:rFonts w:ascii="Times New Roman" w:hAnsi="Times New Roman"/>
        </w:rPr>
        <w:t>）；</w:t>
      </w:r>
    </w:p>
    <w:p>
      <w:pPr>
        <w:ind w:firstLine="480"/>
        <w:rPr>
          <w:rFonts w:ascii="Times New Roman" w:hAnsi="Times New Roman"/>
        </w:rPr>
      </w:pPr>
      <w:r>
        <w:rPr>
          <w:rFonts w:ascii="Times New Roman" w:hAnsi="Times New Roman"/>
          <w:i/>
        </w:rPr>
        <w:t>c</w:t>
      </w:r>
      <w:r>
        <w:rPr>
          <w:rFonts w:ascii="Times New Roman" w:hAnsi="Times New Roman"/>
          <w:vertAlign w:val="subscript"/>
        </w:rPr>
        <w:t>0</w:t>
      </w:r>
      <w:r>
        <w:rPr>
          <w:rFonts w:ascii="Times New Roman" w:hAnsi="Times New Roman"/>
        </w:rPr>
        <w:t>—初始浓度，（ML</w:t>
      </w:r>
      <w:r>
        <w:rPr>
          <w:rFonts w:ascii="Times New Roman" w:hAnsi="Times New Roman"/>
          <w:vertAlign w:val="superscript"/>
        </w:rPr>
        <w:t>-3</w:t>
      </w:r>
      <w:r>
        <w:rPr>
          <w:rFonts w:ascii="Times New Roman" w:hAnsi="Times New Roman"/>
        </w:rPr>
        <w:t>）；</w:t>
      </w:r>
    </w:p>
    <w:p>
      <w:pPr>
        <w:ind w:firstLine="480"/>
        <w:rPr>
          <w:rFonts w:ascii="Times New Roman" w:hAnsi="Times New Roman"/>
        </w:rPr>
      </w:pPr>
      <m:oMath>
        <m:acc>
          <m:accPr>
            <m:chr m:val="⃗"/>
            <m:ctrlPr>
              <w:rPr>
                <w:rFonts w:ascii="Cambria Math" w:hAnsi="Cambria Math"/>
              </w:rPr>
            </m:ctrlPr>
          </m:accPr>
          <m:e>
            <m:r>
              <m:rPr/>
              <w:rPr>
                <w:rFonts w:ascii="Cambria Math" w:hAnsi="Cambria Math"/>
              </w:rPr>
              <m:t>n</m:t>
            </m:r>
            <m:ctrlPr>
              <w:rPr>
                <w:rFonts w:ascii="Cambria Math" w:hAnsi="Cambria Math"/>
              </w:rPr>
            </m:ctrlPr>
          </m:e>
        </m:acc>
      </m:oMath>
      <w:r>
        <w:rPr>
          <w:rFonts w:ascii="Times New Roman" w:hAnsi="Times New Roman"/>
        </w:rPr>
        <w:t>—第二类边界外法线方向；</w:t>
      </w:r>
    </w:p>
    <w:p>
      <w:pPr>
        <w:ind w:firstLine="480"/>
        <w:rPr>
          <w:rFonts w:ascii="Times New Roman" w:hAnsi="Times New Roman"/>
          <w:szCs w:val="24"/>
        </w:rPr>
      </w:pPr>
      <w:r>
        <w:rPr>
          <w:rFonts w:ascii="Times New Roman" w:hAnsi="Times New Roman"/>
        </w:rPr>
        <w:t>gradc—浓度梯度。</w:t>
      </w:r>
    </w:p>
    <w:p>
      <w:pPr>
        <w:ind w:firstLine="480"/>
        <w:rPr>
          <w:rFonts w:ascii="Times New Roman" w:hAnsi="Times New Roman"/>
          <w:szCs w:val="24"/>
        </w:rPr>
      </w:pPr>
      <w:r>
        <w:rPr>
          <w:rFonts w:hint="eastAsia" w:ascii="Times New Roman" w:hAnsi="Times New Roman"/>
          <w:szCs w:val="24"/>
        </w:rPr>
        <w:t>（3）模型建立及参数识别</w:t>
      </w:r>
    </w:p>
    <w:p>
      <w:pPr>
        <w:ind w:firstLine="480"/>
        <w:rPr>
          <w:rFonts w:ascii="Times New Roman" w:hAnsi="Times New Roman"/>
          <w:szCs w:val="24"/>
        </w:rPr>
      </w:pPr>
      <w:r>
        <w:rPr>
          <w:rFonts w:hint="eastAsia" w:ascii="Times New Roman" w:hAnsi="Times New Roman"/>
          <w:szCs w:val="24"/>
        </w:rPr>
        <w:t>本次评价选取 Visual Modflow 软件，它是目前国际上最流行且功能强大的地下水模拟软件之一。该系统在原有 Modflow-2000 的基础上集成而来。主要的子程序包括基本子程序包（BAS）、计算单元间渗流子程序包（BCF）、井流子程序包（WEL）、</w:t>
      </w:r>
    </w:p>
    <w:p>
      <w:pPr>
        <w:ind w:firstLine="480"/>
        <w:rPr>
          <w:rFonts w:ascii="Times New Roman" w:hAnsi="Times New Roman"/>
          <w:szCs w:val="24"/>
        </w:rPr>
      </w:pPr>
      <w:r>
        <w:rPr>
          <w:rFonts w:hint="eastAsia" w:ascii="Times New Roman" w:hAnsi="Times New Roman"/>
          <w:szCs w:val="24"/>
        </w:rPr>
        <w:t>补给子程序包（RCH）、定水头子成程序包（CHD）、河流子程序包（RIV）、沟渠子</w:t>
      </w:r>
    </w:p>
    <w:p>
      <w:pPr>
        <w:ind w:firstLine="480"/>
        <w:rPr>
          <w:rFonts w:ascii="Times New Roman" w:hAnsi="Times New Roman"/>
          <w:szCs w:val="24"/>
        </w:rPr>
      </w:pPr>
      <w:r>
        <w:rPr>
          <w:rFonts w:hint="eastAsia" w:ascii="Times New Roman" w:hAnsi="Times New Roman"/>
          <w:szCs w:val="24"/>
        </w:rPr>
        <w:t>程序包（DRN）、蒸发蒸腾子程序包（EVT）、通用水头子程序包（GHB）等。</w:t>
      </w:r>
    </w:p>
    <w:p>
      <w:pPr>
        <w:ind w:firstLine="480"/>
        <w:rPr>
          <w:rFonts w:ascii="Times New Roman" w:hAnsi="Times New Roman"/>
          <w:szCs w:val="24"/>
        </w:rPr>
      </w:pPr>
      <w:r>
        <w:rPr>
          <w:rFonts w:hint="eastAsia" w:ascii="Times New Roman" w:hAnsi="Times New Roman"/>
          <w:szCs w:val="24"/>
        </w:rPr>
        <w:t>该软件主要由 4 个功能模块组成：1.MODFLOW 模块：MODFLOW 主要是模拟地下水的运动状态。2.MT3DMS 是一个用来模拟三维地下水流动系统中对流—弥散和化学反应的溶质运移模型，它需要与 MODFLOW 联合运行。3.MODPATH 用来模拟模型中指定点的运动轨迹尤其在观察污染物的运移范围时是一个非常有用的工具，它需要与MODFLOW、MT3DMS 联合运行。4.Zone Budget 主要用来计算给定区域的总水量及其与周围区域的水量交换情况，对于分析特定的水量变化情况很实用。</w:t>
      </w:r>
    </w:p>
    <w:p>
      <w:pPr>
        <w:ind w:firstLine="480"/>
        <w:rPr>
          <w:rFonts w:ascii="Times New Roman" w:hAnsi="Times New Roman"/>
          <w:szCs w:val="24"/>
        </w:rPr>
      </w:pPr>
      <w:r>
        <w:rPr>
          <w:rFonts w:hint="eastAsia" w:ascii="Times New Roman" w:hAnsi="Times New Roman"/>
          <w:szCs w:val="24"/>
        </w:rPr>
        <w:t>本次评价主要基于 MODFLOW和MT3DMS模块这两个模块对评价区内地下水的溶质运移问题进行模拟。对于子程序包，根据临兴先导试验区的地质环境条件，主要选取了补给子程序包（模拟降水补给）、井流子程序包（模拟人工开采及侧向径流）、沟渠子程序包（模拟泉排泄）、蒸发蒸腾子程序包（模拟蒸发）等子程序包等。</w:t>
      </w:r>
    </w:p>
    <w:p>
      <w:pPr>
        <w:ind w:firstLine="480"/>
        <w:rPr>
          <w:rFonts w:ascii="Times New Roman" w:hAnsi="Times New Roman"/>
          <w:szCs w:val="24"/>
        </w:rPr>
      </w:pPr>
      <w:r>
        <w:rPr>
          <w:rFonts w:hint="eastAsia" w:ascii="Times New Roman" w:hAnsi="Times New Roman"/>
          <w:szCs w:val="24"/>
        </w:rPr>
        <w:t>1）空间离散</w:t>
      </w:r>
    </w:p>
    <w:p>
      <w:pPr>
        <w:ind w:firstLine="480"/>
        <w:rPr>
          <w:rFonts w:ascii="Times New Roman" w:hAnsi="Times New Roman"/>
          <w:szCs w:val="24"/>
        </w:rPr>
      </w:pPr>
      <w:r>
        <w:rPr>
          <w:rFonts w:ascii="Times New Roman" w:hAnsi="Times New Roman"/>
          <w:szCs w:val="24"/>
        </w:rPr>
        <w:t>利用Visual Modflow，对模拟区进行二维网格剖分。</w:t>
      </w:r>
      <w:r>
        <w:rPr>
          <w:rFonts w:hint="eastAsia" w:ascii="Times New Roman" w:hAnsi="Times New Roman"/>
          <w:szCs w:val="24"/>
        </w:rPr>
        <w:t>模拟区</w:t>
      </w:r>
      <w:r>
        <w:rPr>
          <w:rFonts w:ascii="Times New Roman" w:hAnsi="Times New Roman"/>
          <w:szCs w:val="24"/>
        </w:rPr>
        <w:t>面积</w:t>
      </w:r>
      <w:r>
        <w:rPr>
          <w:rFonts w:hint="eastAsia" w:ascii="Times New Roman" w:hAnsi="Times New Roman"/>
          <w:szCs w:val="24"/>
        </w:rPr>
        <w:t>共39.8</w:t>
      </w:r>
      <w:r>
        <w:rPr>
          <w:rFonts w:ascii="Times New Roman" w:hAnsi="Times New Roman"/>
          <w:szCs w:val="24"/>
        </w:rPr>
        <w:t>km</w:t>
      </w:r>
      <w:r>
        <w:rPr>
          <w:rFonts w:ascii="Times New Roman" w:hAnsi="Times New Roman"/>
          <w:szCs w:val="24"/>
          <w:vertAlign w:val="superscript"/>
        </w:rPr>
        <w:t>2</w:t>
      </w:r>
      <w:r>
        <w:rPr>
          <w:rFonts w:ascii="Times New Roman" w:hAnsi="Times New Roman"/>
          <w:szCs w:val="24"/>
        </w:rPr>
        <w:t>。在平面上</w:t>
      </w:r>
      <w:r>
        <w:rPr>
          <w:rFonts w:hint="eastAsia" w:ascii="Times New Roman" w:hAnsi="Times New Roman"/>
          <w:szCs w:val="24"/>
        </w:rPr>
        <w:t>按60</w:t>
      </w:r>
      <w:r>
        <w:rPr>
          <w:rFonts w:ascii="Times New Roman" w:hAnsi="Times New Roman"/>
          <w:szCs w:val="24"/>
        </w:rPr>
        <w:t>×</w:t>
      </w:r>
      <w:r>
        <w:rPr>
          <w:rFonts w:hint="eastAsia" w:ascii="Times New Roman" w:hAnsi="Times New Roman"/>
          <w:szCs w:val="24"/>
        </w:rPr>
        <w:t>60</w:t>
      </w:r>
      <w:r>
        <w:rPr>
          <w:rFonts w:ascii="Times New Roman" w:hAnsi="Times New Roman"/>
          <w:szCs w:val="24"/>
        </w:rPr>
        <w:t>m模拟区单元格剖分</w:t>
      </w:r>
      <w:r>
        <w:rPr>
          <w:rFonts w:hint="eastAsia" w:ascii="Times New Roman" w:hAnsi="Times New Roman"/>
          <w:szCs w:val="24"/>
        </w:rPr>
        <w:t>。为了保证有限差分的精度，对于项目各井场、集气站工业场地、污水处理站等污染源以及地下水位变化快的地方采取网格加密，加密后的网格为15×15m。模拟区三维地形插值图见图5.2-7。</w:t>
      </w:r>
    </w:p>
    <w:p>
      <w:pPr>
        <w:spacing w:line="240" w:lineRule="auto"/>
        <w:ind w:firstLine="0" w:firstLineChars="0"/>
        <w:jc w:val="center"/>
      </w:pPr>
      <w:r>
        <w:rPr>
          <w:rFonts w:hint="eastAsia"/>
        </w:rPr>
        <w:drawing>
          <wp:inline distT="0" distB="0" distL="0" distR="0">
            <wp:extent cx="5562600" cy="4619625"/>
            <wp:effectExtent l="0" t="0" r="0" b="0"/>
            <wp:docPr id="31" name="图片 31" descr="三维地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三维地形图"/>
                    <pic:cNvPicPr>
                      <a:picLocks noChangeAspect="1" noChangeArrowheads="1"/>
                    </pic:cNvPicPr>
                  </pic:nvPicPr>
                  <pic:blipFill>
                    <a:blip r:embed="rId98">
                      <a:extLst>
                        <a:ext uri="{28A0092B-C50C-407E-A947-70E740481C1C}">
                          <a14:useLocalDpi xmlns:a14="http://schemas.microsoft.com/office/drawing/2010/main" val="0"/>
                        </a:ext>
                      </a:extLst>
                    </a:blip>
                    <a:srcRect l="20093" t="5972" r="24220"/>
                    <a:stretch>
                      <a:fillRect/>
                    </a:stretch>
                  </pic:blipFill>
                  <pic:spPr>
                    <a:xfrm>
                      <a:off x="0" y="0"/>
                      <a:ext cx="5562600" cy="4619625"/>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图5.2-7三维地形插值成果图</w:t>
      </w:r>
    </w:p>
    <w:p>
      <w:pPr>
        <w:ind w:firstLine="480"/>
        <w:rPr>
          <w:rFonts w:ascii="Times New Roman" w:hAnsi="Times New Roman"/>
          <w:szCs w:val="24"/>
        </w:rPr>
      </w:pPr>
      <w:r>
        <w:rPr>
          <w:rFonts w:hint="eastAsia" w:ascii="Times New Roman" w:hAnsi="Times New Roman"/>
          <w:szCs w:val="24"/>
        </w:rPr>
        <w:t>此外，为了使模拟计算结果更加准确，将网格方向调整到与模拟范围内地下水主流方向一致，调整角度为NW30°，网格剖分及加密图见图5.2-8。</w:t>
      </w:r>
    </w:p>
    <w:p>
      <w:pPr>
        <w:ind w:firstLine="480"/>
        <w:jc w:val="center"/>
      </w:pPr>
      <w:r>
        <w:rPr>
          <w:rFonts w:hint="eastAsia"/>
        </w:rPr>
        <w:drawing>
          <wp:inline distT="0" distB="0" distL="0" distR="0">
            <wp:extent cx="4467225" cy="3590925"/>
            <wp:effectExtent l="0" t="0" r="0" b="0"/>
            <wp:docPr id="30" name="图片 30" descr="网格剖分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网格剖分平面图"/>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4467225" cy="3590925"/>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图5.2-8重点区域网格剖分及加密图</w:t>
      </w:r>
    </w:p>
    <w:p>
      <w:pPr>
        <w:ind w:firstLine="480"/>
        <w:rPr>
          <w:rFonts w:ascii="Times New Roman" w:hAnsi="Times New Roman"/>
          <w:szCs w:val="24"/>
        </w:rPr>
      </w:pPr>
      <w:r>
        <w:rPr>
          <w:rFonts w:hint="eastAsia" w:ascii="Times New Roman" w:hAnsi="Times New Roman"/>
          <w:szCs w:val="24"/>
        </w:rPr>
        <w:t>2）边界条件处理</w:t>
      </w:r>
    </w:p>
    <w:p>
      <w:pPr>
        <w:ind w:firstLine="480"/>
        <w:rPr>
          <w:rFonts w:ascii="Times New Roman" w:hAnsi="Times New Roman"/>
          <w:szCs w:val="24"/>
        </w:rPr>
      </w:pPr>
      <w:r>
        <w:rPr>
          <w:rFonts w:hint="eastAsia" w:ascii="Times New Roman" w:hAnsi="Times New Roman"/>
          <w:szCs w:val="24"/>
        </w:rPr>
        <w:t>如图5.2-6所示：BC段概化为零通量边界；AB、CD、AD段概化为给定流量边界（二类边界）。按照地下水流向，AB、CD段边界应为侧向流入边界；AD段为侧向流出边界。计算公式如下：</w:t>
      </w:r>
    </w:p>
    <w:p>
      <w:pPr>
        <w:ind w:firstLine="480"/>
        <w:jc w:val="center"/>
        <w:rPr>
          <w:rFonts w:ascii="Times New Roman" w:hAnsi="Times New Roman"/>
        </w:rPr>
      </w:pPr>
      <w:r>
        <w:rPr>
          <w:rFonts w:ascii="Times New Roman" w:hAnsi="Times New Roman"/>
        </w:rPr>
        <w:t>Q =K×D×M×I</w:t>
      </w:r>
    </w:p>
    <w:p>
      <w:pPr>
        <w:ind w:firstLine="480"/>
        <w:rPr>
          <w:rFonts w:ascii="Times New Roman" w:hAnsi="Times New Roman"/>
        </w:rPr>
      </w:pPr>
      <w:r>
        <w:rPr>
          <w:rFonts w:ascii="Times New Roman" w:hAnsi="Times New Roman"/>
        </w:rPr>
        <w:t>式中：Q—侧向径流量（m</w:t>
      </w:r>
      <w:r>
        <w:rPr>
          <w:rFonts w:ascii="Times New Roman" w:hAnsi="Times New Roman"/>
          <w:vertAlign w:val="superscript"/>
        </w:rPr>
        <w:t>3</w:t>
      </w:r>
      <w:r>
        <w:rPr>
          <w:rFonts w:ascii="Times New Roman" w:hAnsi="Times New Roman"/>
        </w:rPr>
        <w:t>/d），流入为正，流出为负；</w:t>
      </w:r>
    </w:p>
    <w:p>
      <w:pPr>
        <w:ind w:firstLine="720" w:firstLineChars="300"/>
        <w:rPr>
          <w:rFonts w:ascii="Times New Roman" w:hAnsi="Times New Roman"/>
        </w:rPr>
      </w:pPr>
      <w:r>
        <w:rPr>
          <w:rFonts w:ascii="Times New Roman" w:hAnsi="Times New Roman"/>
        </w:rPr>
        <w:t>K—渗透系数（m/d）；</w:t>
      </w:r>
    </w:p>
    <w:p>
      <w:pPr>
        <w:ind w:firstLine="720" w:firstLineChars="300"/>
        <w:rPr>
          <w:rFonts w:ascii="Times New Roman" w:hAnsi="Times New Roman"/>
        </w:rPr>
      </w:pPr>
      <w:r>
        <w:rPr>
          <w:rFonts w:ascii="Times New Roman" w:hAnsi="Times New Roman"/>
        </w:rPr>
        <w:t>D—剖面宽度（m）；</w:t>
      </w:r>
    </w:p>
    <w:p>
      <w:pPr>
        <w:ind w:firstLine="720" w:firstLineChars="300"/>
        <w:rPr>
          <w:rFonts w:ascii="Times New Roman" w:hAnsi="Times New Roman"/>
        </w:rPr>
      </w:pPr>
      <w:r>
        <w:rPr>
          <w:rFonts w:ascii="Times New Roman" w:hAnsi="Times New Roman"/>
        </w:rPr>
        <w:t>M—含水层平均厚度（m）；</w:t>
      </w:r>
    </w:p>
    <w:p>
      <w:pPr>
        <w:ind w:firstLine="840" w:firstLineChars="350"/>
        <w:rPr>
          <w:rFonts w:ascii="Times New Roman" w:hAnsi="Times New Roman"/>
        </w:rPr>
      </w:pPr>
      <w:r>
        <w:rPr>
          <w:rFonts w:ascii="Times New Roman" w:hAnsi="Times New Roman"/>
        </w:rPr>
        <w:t>I—垂直于剖面的水力坡度（%）。</w:t>
      </w:r>
    </w:p>
    <w:p>
      <w:pPr>
        <w:ind w:firstLine="480"/>
        <w:rPr>
          <w:rFonts w:ascii="Times New Roman" w:hAnsi="Times New Roman"/>
        </w:rPr>
      </w:pPr>
      <w:r>
        <w:rPr>
          <w:rFonts w:ascii="Times New Roman" w:hAnsi="Times New Roman"/>
        </w:rPr>
        <w:t>计算结果见表</w:t>
      </w:r>
      <w:r>
        <w:rPr>
          <w:rFonts w:hint="eastAsia" w:ascii="Times New Roman" w:hAnsi="Times New Roman"/>
        </w:rPr>
        <w:t>5.2-10</w:t>
      </w:r>
      <w:r>
        <w:rPr>
          <w:rFonts w:ascii="Times New Roman" w:hAnsi="Times New Roman"/>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w:t>
      </w:r>
      <w:r>
        <w:rPr>
          <w:rFonts w:hint="eastAsia" w:ascii="Times New Roman" w:hAnsi="Times New Roman"/>
          <w:b/>
          <w:bCs/>
          <w:sz w:val="21"/>
        </w:rPr>
        <w:t>5.2-10 侧向径流量一览表</w:t>
      </w:r>
    </w:p>
    <w:tbl>
      <w:tblPr>
        <w:tblStyle w:val="18"/>
        <w:tblW w:w="88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0"/>
        <w:gridCol w:w="1268"/>
        <w:gridCol w:w="1257"/>
        <w:gridCol w:w="1374"/>
        <w:gridCol w:w="1330"/>
        <w:gridCol w:w="2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2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区段</w:t>
            </w:r>
          </w:p>
        </w:tc>
        <w:tc>
          <w:tcPr>
            <w:tcW w:w="1268"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K(m/d)</w:t>
            </w:r>
          </w:p>
        </w:tc>
        <w:tc>
          <w:tcPr>
            <w:tcW w:w="1257"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D(m)</w:t>
            </w:r>
          </w:p>
        </w:tc>
        <w:tc>
          <w:tcPr>
            <w:tcW w:w="1374"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M(m)</w:t>
            </w:r>
          </w:p>
        </w:tc>
        <w:tc>
          <w:tcPr>
            <w:tcW w:w="1330"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I(</w:t>
            </w:r>
            <w:r>
              <w:rPr>
                <w:rFonts w:hint="eastAsia" w:ascii="Times New Roman" w:hAnsi="Times New Roman"/>
                <w:sz w:val="21"/>
              </w:rPr>
              <w:t>%</w:t>
            </w:r>
            <w:r>
              <w:rPr>
                <w:rFonts w:ascii="Times New Roman" w:hAnsi="Times New Roman"/>
                <w:sz w:val="21"/>
              </w:rPr>
              <w:t>)</w:t>
            </w:r>
          </w:p>
        </w:tc>
        <w:tc>
          <w:tcPr>
            <w:tcW w:w="2106" w:type="dxa"/>
            <w:shd w:val="clear" w:color="auto" w:fill="auto"/>
          </w:tcPr>
          <w:p>
            <w:pPr>
              <w:spacing w:line="240" w:lineRule="auto"/>
              <w:ind w:firstLine="0" w:firstLineChars="0"/>
              <w:jc w:val="center"/>
              <w:rPr>
                <w:rFonts w:ascii="Times New Roman" w:hAnsi="Times New Roman"/>
                <w:sz w:val="21"/>
              </w:rPr>
            </w:pPr>
            <w:r>
              <w:rPr>
                <w:rFonts w:ascii="Times New Roman" w:hAnsi="Times New Roman"/>
                <w:sz w:val="21"/>
              </w:rPr>
              <w:t>侧向</w:t>
            </w:r>
            <w:r>
              <w:rPr>
                <w:rFonts w:hint="eastAsia" w:ascii="Times New Roman" w:hAnsi="Times New Roman"/>
                <w:sz w:val="21"/>
              </w:rPr>
              <w:t>径流</w:t>
            </w:r>
            <w:r>
              <w:rPr>
                <w:rFonts w:ascii="Times New Roman" w:hAnsi="Times New Roman"/>
                <w:sz w:val="21"/>
              </w:rPr>
              <w:t>量（m³/d）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2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AD</w:t>
            </w:r>
            <w:r>
              <w:rPr>
                <w:rFonts w:ascii="Times New Roman" w:hAnsi="Times New Roman"/>
                <w:sz w:val="21"/>
              </w:rPr>
              <w:t>段</w:t>
            </w:r>
          </w:p>
        </w:tc>
        <w:tc>
          <w:tcPr>
            <w:tcW w:w="1268"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0.35</w:t>
            </w:r>
          </w:p>
        </w:tc>
        <w:tc>
          <w:tcPr>
            <w:tcW w:w="1257"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973.5</w:t>
            </w:r>
          </w:p>
        </w:tc>
        <w:tc>
          <w:tcPr>
            <w:tcW w:w="1374"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12</w:t>
            </w:r>
          </w:p>
        </w:tc>
        <w:tc>
          <w:tcPr>
            <w:tcW w:w="133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1.52</w:t>
            </w:r>
          </w:p>
        </w:tc>
        <w:tc>
          <w:tcPr>
            <w:tcW w:w="210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62.09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2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AB段</w:t>
            </w:r>
          </w:p>
        </w:tc>
        <w:tc>
          <w:tcPr>
            <w:tcW w:w="1268"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0.1</w:t>
            </w:r>
          </w:p>
        </w:tc>
        <w:tc>
          <w:tcPr>
            <w:tcW w:w="1257"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33113</w:t>
            </w:r>
          </w:p>
        </w:tc>
        <w:tc>
          <w:tcPr>
            <w:tcW w:w="1374"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7</w:t>
            </w:r>
          </w:p>
        </w:tc>
        <w:tc>
          <w:tcPr>
            <w:tcW w:w="133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3.45</w:t>
            </w:r>
          </w:p>
        </w:tc>
        <w:tc>
          <w:tcPr>
            <w:tcW w:w="210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799.67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2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CD段</w:t>
            </w:r>
          </w:p>
        </w:tc>
        <w:tc>
          <w:tcPr>
            <w:tcW w:w="1268"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0.1</w:t>
            </w:r>
          </w:p>
        </w:tc>
        <w:tc>
          <w:tcPr>
            <w:tcW w:w="1257"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6539.9</w:t>
            </w:r>
          </w:p>
        </w:tc>
        <w:tc>
          <w:tcPr>
            <w:tcW w:w="1374"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7</w:t>
            </w:r>
          </w:p>
        </w:tc>
        <w:tc>
          <w:tcPr>
            <w:tcW w:w="1330"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5.1</w:t>
            </w:r>
          </w:p>
        </w:tc>
        <w:tc>
          <w:tcPr>
            <w:tcW w:w="2106" w:type="dxa"/>
            <w:shd w:val="clear" w:color="auto" w:fill="auto"/>
          </w:tcPr>
          <w:p>
            <w:pPr>
              <w:spacing w:line="240" w:lineRule="auto"/>
              <w:ind w:firstLine="0" w:firstLineChars="0"/>
              <w:jc w:val="center"/>
              <w:rPr>
                <w:rFonts w:ascii="Times New Roman" w:hAnsi="Times New Roman"/>
                <w:sz w:val="21"/>
              </w:rPr>
            </w:pPr>
            <w:r>
              <w:rPr>
                <w:rFonts w:hint="eastAsia" w:ascii="Times New Roman" w:hAnsi="Times New Roman"/>
                <w:sz w:val="21"/>
              </w:rPr>
              <w:t>233.47</w:t>
            </w:r>
          </w:p>
        </w:tc>
      </w:tr>
    </w:tbl>
    <w:p>
      <w:pPr>
        <w:ind w:firstLine="480"/>
        <w:rPr>
          <w:rFonts w:ascii="Times New Roman" w:hAnsi="Times New Roman"/>
          <w:szCs w:val="24"/>
        </w:rPr>
      </w:pPr>
      <w:r>
        <w:rPr>
          <w:rFonts w:hint="eastAsia" w:ascii="Times New Roman" w:hAnsi="Times New Roman"/>
          <w:szCs w:val="24"/>
        </w:rPr>
        <w:t>3）初始条件处理</w:t>
      </w:r>
    </w:p>
    <w:p>
      <w:pPr>
        <w:ind w:firstLine="480"/>
        <w:rPr>
          <w:rFonts w:ascii="Times New Roman" w:hAnsi="Times New Roman"/>
          <w:szCs w:val="24"/>
        </w:rPr>
      </w:pPr>
      <w:r>
        <w:rPr>
          <w:rFonts w:hint="eastAsia" w:ascii="Times New Roman" w:hAnsi="Times New Roman"/>
          <w:szCs w:val="24"/>
        </w:rPr>
        <w:t>研究区</w:t>
      </w:r>
      <w:r>
        <w:rPr>
          <w:rFonts w:ascii="Times New Roman" w:hAnsi="Times New Roman"/>
          <w:szCs w:val="24"/>
        </w:rPr>
        <w:t>水流模型的初始</w:t>
      </w:r>
      <w:r>
        <w:rPr>
          <w:rFonts w:hint="eastAsia" w:ascii="Times New Roman" w:hAnsi="Times New Roman"/>
          <w:szCs w:val="24"/>
        </w:rPr>
        <w:t>流场</w:t>
      </w:r>
      <w:r>
        <w:rPr>
          <w:rFonts w:ascii="Times New Roman" w:hAnsi="Times New Roman"/>
          <w:szCs w:val="24"/>
        </w:rPr>
        <w:t>根据20</w:t>
      </w:r>
      <w:r>
        <w:rPr>
          <w:rFonts w:hint="eastAsia" w:ascii="Times New Roman" w:hAnsi="Times New Roman"/>
          <w:szCs w:val="24"/>
        </w:rPr>
        <w:t>16</w:t>
      </w:r>
      <w:r>
        <w:rPr>
          <w:rFonts w:ascii="Times New Roman" w:hAnsi="Times New Roman"/>
          <w:szCs w:val="24"/>
        </w:rPr>
        <w:t>年</w:t>
      </w:r>
      <w:r>
        <w:rPr>
          <w:rFonts w:hint="eastAsia" w:ascii="Times New Roman" w:hAnsi="Times New Roman"/>
          <w:szCs w:val="24"/>
        </w:rPr>
        <w:t>11</w:t>
      </w:r>
      <w:r>
        <w:rPr>
          <w:rFonts w:ascii="Times New Roman" w:hAnsi="Times New Roman"/>
          <w:szCs w:val="24"/>
        </w:rPr>
        <w:t>月</w:t>
      </w:r>
      <w:r>
        <w:rPr>
          <w:rFonts w:hint="eastAsia" w:ascii="Times New Roman" w:hAnsi="Times New Roman"/>
          <w:szCs w:val="24"/>
        </w:rPr>
        <w:t>实地调查结果经过Kriging插值法得出；</w:t>
      </w:r>
      <w:r>
        <w:rPr>
          <w:rFonts w:ascii="Times New Roman" w:hAnsi="Times New Roman"/>
          <w:szCs w:val="24"/>
        </w:rPr>
        <w:t>溶质运移预测因子</w:t>
      </w:r>
      <w:r>
        <w:rPr>
          <w:rFonts w:hint="eastAsia" w:ascii="Times New Roman" w:hAnsi="Times New Roman"/>
          <w:szCs w:val="24"/>
        </w:rPr>
        <w:t>本底值浓度依据地下水水质现状监测结果得出。</w:t>
      </w:r>
    </w:p>
    <w:p>
      <w:pPr>
        <w:ind w:firstLine="480"/>
        <w:rPr>
          <w:rFonts w:ascii="Times New Roman" w:hAnsi="Times New Roman"/>
          <w:szCs w:val="24"/>
        </w:rPr>
      </w:pPr>
      <w:r>
        <w:rPr>
          <w:rFonts w:hint="eastAsia" w:ascii="Times New Roman" w:hAnsi="Times New Roman"/>
          <w:szCs w:val="24"/>
        </w:rPr>
        <w:t>4）源汇项处理</w:t>
      </w:r>
    </w:p>
    <w:p>
      <w:pPr>
        <w:ind w:firstLine="480"/>
        <w:rPr>
          <w:rFonts w:ascii="Times New Roman" w:hAnsi="Times New Roman"/>
          <w:szCs w:val="24"/>
        </w:rPr>
      </w:pPr>
      <w:r>
        <w:rPr>
          <w:rFonts w:hint="eastAsia" w:ascii="Times New Roman" w:hAnsi="Times New Roman"/>
          <w:szCs w:val="24"/>
        </w:rPr>
        <w:t>①降水入渗补给</w:t>
      </w:r>
    </w:p>
    <w:p>
      <w:pPr>
        <w:ind w:firstLine="480"/>
        <w:rPr>
          <w:rFonts w:ascii="Times New Roman" w:hAnsi="Times New Roman"/>
          <w:szCs w:val="24"/>
        </w:rPr>
      </w:pPr>
      <w:r>
        <w:rPr>
          <w:rFonts w:ascii="Times New Roman" w:hAnsi="Times New Roman"/>
          <w:szCs w:val="24"/>
        </w:rPr>
        <w:t>在模型中大气降水入渗补给量的计算公式为：</w:t>
      </w:r>
    </w:p>
    <w:p>
      <w:pPr>
        <w:ind w:firstLine="0" w:firstLineChars="0"/>
        <w:jc w:val="center"/>
        <w:rPr>
          <w:rFonts w:ascii="Times New Roman" w:hAnsi="Times New Roman"/>
        </w:rPr>
      </w:pPr>
      <w:r>
        <w:rPr>
          <w:rFonts w:ascii="Times New Roman" w:hAnsi="Times New Roman"/>
          <w:kern w:val="0"/>
          <w:position w:val="-12"/>
        </w:rPr>
        <w:object>
          <v:shape id="_x0000_i1035" o:spt="75" type="#_x0000_t75" style="height:22pt;width:86pt;" o:ole="t" filled="f" o:preferrelative="t" stroked="f" coordsize="21600,21600">
            <v:path/>
            <v:fill on="f" focussize="0,0"/>
            <v:stroke on="f" joinstyle="miter"/>
            <v:imagedata r:id="rId101" o:title=""/>
            <o:lock v:ext="edit" aspectratio="t"/>
            <w10:wrap type="none"/>
            <w10:anchorlock/>
          </v:shape>
          <o:OLEObject Type="Embed" ProgID="Equation.DSMT4" ShapeID="_x0000_i1035" DrawAspect="Content" ObjectID="_1468075735" r:id="rId100">
            <o:LockedField>false</o:LockedField>
          </o:OLEObject>
        </w:object>
      </w:r>
    </w:p>
    <w:p>
      <w:pPr>
        <w:ind w:firstLine="480"/>
        <w:rPr>
          <w:rFonts w:ascii="Times New Roman" w:hAnsi="Times New Roman"/>
        </w:rPr>
      </w:pPr>
      <w:r>
        <w:rPr>
          <w:rFonts w:ascii="Times New Roman" w:hAnsi="Times New Roman"/>
        </w:rPr>
        <w:t>式中：—第i分区第k个月降水入渗补给量（m³）；</w:t>
      </w:r>
    </w:p>
    <w:p>
      <w:pPr>
        <w:ind w:firstLine="460" w:firstLineChars="192"/>
        <w:rPr>
          <w:rFonts w:ascii="Times New Roman" w:hAnsi="Times New Roman"/>
        </w:rPr>
      </w:pPr>
      <w:r>
        <w:rPr>
          <w:rFonts w:ascii="Times New Roman" w:hAnsi="Times New Roman"/>
          <w:position w:val="-12"/>
        </w:rPr>
        <w:object>
          <v:shape id="_x0000_i1036" o:spt="75" type="#_x0000_t75" style="height:22pt;width:14pt;" o:ole="t" filled="f" o:preferrelative="t" stroked="f" coordsize="21600,21600">
            <v:path/>
            <v:fill on="f" focussize="0,0"/>
            <v:stroke on="f" joinstyle="miter"/>
            <v:imagedata r:id="rId103" o:title=""/>
            <o:lock v:ext="edit" aspectratio="t"/>
            <w10:wrap type="none"/>
            <w10:anchorlock/>
          </v:shape>
          <o:OLEObject Type="Embed" ProgID="Equation.DSMT4" ShapeID="_x0000_i1036" DrawAspect="Content" ObjectID="_1468075736" r:id="rId102">
            <o:LockedField>false</o:LockedField>
          </o:OLEObject>
        </w:object>
      </w:r>
      <w:r>
        <w:rPr>
          <w:rFonts w:ascii="Times New Roman" w:hAnsi="Times New Roman"/>
        </w:rPr>
        <w:t>—</w:t>
      </w:r>
      <w:r>
        <w:rPr>
          <w:rFonts w:hint="eastAsia" w:ascii="Times New Roman" w:hAnsi="Times New Roman"/>
        </w:rPr>
        <w:t>第</w:t>
      </w:r>
      <w:r>
        <w:rPr>
          <w:rFonts w:ascii="Times New Roman" w:hAnsi="Times New Roman"/>
        </w:rPr>
        <w:t>i</w:t>
      </w:r>
      <w:r>
        <w:rPr>
          <w:rFonts w:hint="eastAsia" w:ascii="Times New Roman" w:hAnsi="Times New Roman"/>
        </w:rPr>
        <w:t>分区第</w:t>
      </w:r>
      <w:r>
        <w:rPr>
          <w:rFonts w:ascii="Times New Roman" w:hAnsi="Times New Roman"/>
        </w:rPr>
        <w:t>k</w:t>
      </w:r>
      <w:r>
        <w:rPr>
          <w:rFonts w:hint="eastAsia" w:ascii="Times New Roman" w:hAnsi="Times New Roman"/>
        </w:rPr>
        <w:t>个月降水量（</w:t>
      </w:r>
      <w:r>
        <w:rPr>
          <w:rFonts w:ascii="Times New Roman" w:hAnsi="Times New Roman"/>
        </w:rPr>
        <w:t>mm</w:t>
      </w:r>
      <w:r>
        <w:rPr>
          <w:rFonts w:hint="eastAsia" w:ascii="Times New Roman" w:hAnsi="Times New Roman"/>
        </w:rPr>
        <w:t>）；</w:t>
      </w:r>
    </w:p>
    <w:p>
      <w:pPr>
        <w:ind w:firstLine="480"/>
        <w:rPr>
          <w:rFonts w:ascii="Times New Roman" w:hAnsi="Times New Roman"/>
        </w:rPr>
      </w:pPr>
      <w:r>
        <w:rPr>
          <w:rFonts w:ascii="Times New Roman" w:hAnsi="Times New Roman"/>
          <w:position w:val="-12"/>
        </w:rPr>
        <w:object>
          <v:shape id="_x0000_i1037" o:spt="75" type="#_x0000_t75" style="height:22pt;width:14pt;" o:ole="t" filled="f" o:preferrelative="t" stroked="f" coordsize="21600,21600">
            <v:path/>
            <v:fill on="f" focussize="0,0"/>
            <v:stroke on="f" joinstyle="miter"/>
            <v:imagedata r:id="rId105" o:title=""/>
            <o:lock v:ext="edit" aspectratio="t"/>
            <w10:wrap type="none"/>
            <w10:anchorlock/>
          </v:shape>
          <o:OLEObject Type="Embed" ProgID="Equation.DSMT4" ShapeID="_x0000_i1037" DrawAspect="Content" ObjectID="_1468075737" r:id="rId104">
            <o:LockedField>false</o:LockedField>
          </o:OLEObject>
        </w:object>
      </w:r>
      <w:r>
        <w:rPr>
          <w:rFonts w:ascii="Times New Roman" w:hAnsi="Times New Roman"/>
        </w:rPr>
        <w:t>—</w:t>
      </w:r>
      <w:r>
        <w:rPr>
          <w:rFonts w:hint="eastAsia" w:ascii="Times New Roman" w:hAnsi="Times New Roman"/>
        </w:rPr>
        <w:t>第</w:t>
      </w:r>
      <w:r>
        <w:rPr>
          <w:rFonts w:ascii="Times New Roman" w:hAnsi="Times New Roman"/>
        </w:rPr>
        <w:t>i</w:t>
      </w:r>
      <w:r>
        <w:rPr>
          <w:rFonts w:hint="eastAsia" w:ascii="Times New Roman" w:hAnsi="Times New Roman"/>
        </w:rPr>
        <w:t>分区降水入渗系数；</w:t>
      </w:r>
    </w:p>
    <w:p>
      <w:pPr>
        <w:ind w:firstLine="460" w:firstLineChars="192"/>
        <w:rPr>
          <w:rFonts w:ascii="Times New Roman" w:hAnsi="Times New Roman"/>
        </w:rPr>
      </w:pPr>
      <w:r>
        <w:rPr>
          <w:rFonts w:ascii="Times New Roman" w:hAnsi="Times New Roman"/>
          <w:position w:val="-12"/>
        </w:rPr>
        <w:object>
          <v:shape id="_x0000_i1038" o:spt="75" type="#_x0000_t75" style="height:22pt;width:14pt;" o:ole="t" filled="f" o:preferrelative="t" stroked="f" coordsize="21600,21600">
            <v:path/>
            <v:fill on="f" focussize="0,0"/>
            <v:stroke on="f" joinstyle="miter"/>
            <v:imagedata r:id="rId107" o:title=""/>
            <o:lock v:ext="edit" aspectratio="t"/>
            <w10:wrap type="none"/>
            <w10:anchorlock/>
          </v:shape>
          <o:OLEObject Type="Embed" ProgID="Equation.DSMT4" ShapeID="_x0000_i1038" DrawAspect="Content" ObjectID="_1468075738" r:id="rId106">
            <o:LockedField>false</o:LockedField>
          </o:OLEObject>
        </w:object>
      </w:r>
      <w:r>
        <w:rPr>
          <w:rFonts w:ascii="Times New Roman" w:hAnsi="Times New Roman"/>
        </w:rPr>
        <w:t>—</w:t>
      </w:r>
      <w:r>
        <w:rPr>
          <w:rFonts w:hint="eastAsia" w:ascii="Times New Roman" w:hAnsi="Times New Roman"/>
        </w:rPr>
        <w:t>第</w:t>
      </w:r>
      <w:r>
        <w:rPr>
          <w:rFonts w:ascii="Times New Roman" w:hAnsi="Times New Roman"/>
        </w:rPr>
        <w:t>i</w:t>
      </w:r>
      <w:r>
        <w:rPr>
          <w:rFonts w:hint="eastAsia" w:ascii="Times New Roman" w:hAnsi="Times New Roman"/>
        </w:rPr>
        <w:t>分区计算区面积（</w:t>
      </w:r>
      <w:r>
        <w:rPr>
          <w:rFonts w:ascii="Times New Roman" w:hAnsi="Times New Roman"/>
        </w:rPr>
        <w:t>km</w:t>
      </w:r>
      <w:r>
        <w:rPr>
          <w:rFonts w:ascii="Times New Roman" w:hAnsi="Times New Roman"/>
          <w:vertAlign w:val="superscript"/>
        </w:rPr>
        <w:t>2</w:t>
      </w:r>
      <w:r>
        <w:rPr>
          <w:rFonts w:hint="eastAsia" w:ascii="Times New Roman" w:hAnsi="Times New Roman"/>
        </w:rPr>
        <w:t>）。</w:t>
      </w:r>
    </w:p>
    <w:p>
      <w:pPr>
        <w:ind w:firstLine="480"/>
        <w:jc w:val="left"/>
        <w:rPr>
          <w:rFonts w:ascii="Times New Roman" w:hAnsi="Times New Roman"/>
        </w:rPr>
      </w:pPr>
      <w:r>
        <w:rPr>
          <w:rFonts w:ascii="Times New Roman" w:hAnsi="Times New Roman"/>
        </w:rPr>
        <w:t>研究区多年平均降雨量为480.1mm。</w:t>
      </w:r>
    </w:p>
    <w:p>
      <w:pPr>
        <w:ind w:firstLine="480"/>
        <w:jc w:val="left"/>
        <w:rPr>
          <w:rFonts w:ascii="Times New Roman" w:hAnsi="Times New Roman"/>
        </w:rPr>
      </w:pPr>
      <w:r>
        <w:rPr>
          <w:rFonts w:ascii="Times New Roman" w:hAnsi="Times New Roman"/>
        </w:rPr>
        <w:t>按照模拟研究区不同地貌单元，将研究区降水入渗系数分为2个区，分别为黄土塬梁区、河谷区。各研究区降水入渗系数初值参考《水文地质手册》（第二版）经验值给定，后期模型调参在合理区间内调整。</w:t>
      </w:r>
    </w:p>
    <w:p>
      <w:pPr>
        <w:ind w:firstLine="480"/>
        <w:jc w:val="left"/>
        <w:rPr>
          <w:rFonts w:ascii="Times New Roman" w:hAnsi="Times New Roman"/>
        </w:rPr>
      </w:pPr>
      <w:r>
        <w:rPr>
          <w:rFonts w:ascii="Times New Roman" w:hAnsi="Times New Roman"/>
        </w:rPr>
        <w:t>在模拟大气降水入渗补给时，用RCH子程序处理，将该补给量作用于活动单元，分区结果见表</w:t>
      </w:r>
      <w:r>
        <w:rPr>
          <w:rFonts w:hint="eastAsia" w:ascii="Times New Roman" w:hAnsi="Times New Roman"/>
        </w:rPr>
        <w:t>5.2-11</w:t>
      </w:r>
      <w:r>
        <w:rPr>
          <w:rFonts w:ascii="Times New Roman" w:hAnsi="Times New Roman"/>
        </w:rPr>
        <w:t>、图</w:t>
      </w:r>
      <w:r>
        <w:rPr>
          <w:rFonts w:hint="eastAsia" w:ascii="Times New Roman" w:hAnsi="Times New Roman"/>
        </w:rPr>
        <w:t>5.2-10</w:t>
      </w:r>
      <w:r>
        <w:rPr>
          <w:rFonts w:ascii="Times New Roman" w:hAnsi="Times New Roman"/>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w:t>
      </w:r>
      <w:r>
        <w:rPr>
          <w:rFonts w:hint="eastAsia" w:ascii="Times New Roman" w:hAnsi="Times New Roman"/>
          <w:b/>
          <w:bCs/>
          <w:sz w:val="21"/>
        </w:rPr>
        <w:t xml:space="preserve">5.2-11 </w:t>
      </w:r>
      <w:r>
        <w:rPr>
          <w:rFonts w:ascii="Times New Roman" w:hAnsi="Times New Roman"/>
          <w:b/>
          <w:bCs/>
          <w:sz w:val="21"/>
        </w:rPr>
        <w:t>大气降水入渗系数取值一览表</w:t>
      </w:r>
    </w:p>
    <w:tbl>
      <w:tblPr>
        <w:tblStyle w:val="18"/>
        <w:tblW w:w="88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6"/>
        <w:gridCol w:w="4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地貌分区</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参数值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黄土塬梁区Ⅰ</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河谷区Ⅱ</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0.35</w:t>
            </w:r>
          </w:p>
        </w:tc>
      </w:tr>
    </w:tbl>
    <w:p>
      <w:pPr>
        <w:ind w:firstLine="480"/>
        <w:rPr>
          <w:rFonts w:ascii="Times New Roman" w:hAnsi="Times New Roman"/>
        </w:rPr>
      </w:pPr>
      <w:r>
        <w:rPr>
          <w:rFonts w:hint="eastAsia" w:ascii="宋体" w:hAnsi="宋体" w:cs="宋体"/>
        </w:rPr>
        <w:t>②</w:t>
      </w:r>
      <w:r>
        <w:rPr>
          <w:rFonts w:ascii="Times New Roman" w:hAnsi="Times New Roman"/>
        </w:rPr>
        <w:t>潜水蒸发排泄</w:t>
      </w:r>
    </w:p>
    <w:p>
      <w:pPr>
        <w:ind w:firstLine="460" w:firstLineChars="192"/>
        <w:rPr>
          <w:rFonts w:ascii="Times New Roman" w:hAnsi="Times New Roman"/>
        </w:rPr>
      </w:pPr>
      <w:r>
        <w:rPr>
          <w:rFonts w:ascii="Times New Roman" w:hAnsi="Times New Roman"/>
        </w:rPr>
        <w:t>潜水蒸发量是指当潜水水位埋深小于极限蒸发深度时，水分在毛管力的作用下向上运动，最终以地面蒸发的形式损失。潜水蒸发排泄是模拟区地下水的主要排泄方式之一，根据兴县气象局多年的气象资料统计，年平均蒸发量1200mm/yr，根据地形地貌及气候特点，选取潜水蒸发系数经验值（见表</w:t>
      </w:r>
      <w:r>
        <w:rPr>
          <w:rFonts w:hint="eastAsia" w:ascii="Times New Roman" w:hAnsi="Times New Roman"/>
        </w:rPr>
        <w:t>5.2-12</w:t>
      </w:r>
      <w:r>
        <w:rPr>
          <w:rFonts w:ascii="Times New Roman" w:hAnsi="Times New Roman"/>
        </w:rPr>
        <w:t>）作为初始值，并在调参过程中在合理区间内变动。潜水蒸发系数平面分区图见图</w:t>
      </w:r>
      <w:r>
        <w:rPr>
          <w:rFonts w:hint="eastAsia" w:ascii="Times New Roman" w:hAnsi="Times New Roman"/>
        </w:rPr>
        <w:t>5.29</w:t>
      </w:r>
      <w:r>
        <w:rPr>
          <w:rFonts w:ascii="Times New Roman" w:hAnsi="Times New Roman"/>
        </w:rPr>
        <w:t>。</w:t>
      </w:r>
    </w:p>
    <w:p>
      <w:pPr>
        <w:ind w:firstLine="460" w:firstLineChars="192"/>
        <w:rPr>
          <w:rFonts w:ascii="Times New Roman" w:hAnsi="Times New Roman"/>
        </w:rPr>
      </w:pPr>
      <w:r>
        <w:rPr>
          <w:rFonts w:ascii="Times New Roman" w:hAnsi="Times New Roman"/>
        </w:rPr>
        <w:t>各单元潜水蒸发量计算公式如下：</w:t>
      </w:r>
    </w:p>
    <w:p>
      <w:pPr>
        <w:ind w:firstLine="460" w:firstLineChars="192"/>
        <w:jc w:val="center"/>
        <w:rPr>
          <w:rFonts w:ascii="Times New Roman" w:hAnsi="Times New Roman"/>
        </w:rPr>
      </w:pPr>
      <w:r>
        <w:rPr>
          <w:rFonts w:ascii="Times New Roman" w:hAnsi="Times New Roman"/>
          <w:i/>
        </w:rPr>
        <w:t>E</w:t>
      </w:r>
      <w:r>
        <w:rPr>
          <w:rFonts w:ascii="Times New Roman" w:hAnsi="Times New Roman"/>
        </w:rPr>
        <w:t>=</w:t>
      </w:r>
      <w:r>
        <w:rPr>
          <w:rFonts w:ascii="Times New Roman" w:hAnsi="Times New Roman"/>
          <w:i/>
        </w:rPr>
        <w:t>E</w:t>
      </w:r>
      <w:r>
        <w:rPr>
          <w:rFonts w:ascii="Times New Roman" w:hAnsi="Times New Roman"/>
          <w:i/>
          <w:vertAlign w:val="subscript"/>
        </w:rPr>
        <w:t>0</w:t>
      </w:r>
      <w:r>
        <w:rPr>
          <w:rFonts w:ascii="Times New Roman" w:hAnsi="Times New Roman"/>
        </w:rPr>
        <w:t xml:space="preserve">×α </w:t>
      </w:r>
    </w:p>
    <w:p>
      <w:pPr>
        <w:ind w:firstLine="1660" w:firstLineChars="692"/>
        <w:jc w:val="center"/>
        <w:rPr>
          <w:rFonts w:ascii="Times New Roman" w:hAnsi="Times New Roman"/>
        </w:rPr>
      </w:pPr>
      <w:r>
        <w:rPr>
          <w:rFonts w:ascii="Times New Roman" w:hAnsi="Times New Roman"/>
          <w:kern w:val="0"/>
          <w:position w:val="-28"/>
        </w:rPr>
        <w:object>
          <v:shape id="_x0000_i1039" o:spt="75" type="#_x0000_t75" style="height:36pt;width:187pt;" o:ole="t" filled="f" o:preferrelative="t" stroked="f" coordsize="21600,21600">
            <v:path/>
            <v:fill on="f" focussize="0,0"/>
            <v:stroke on="f" joinstyle="miter"/>
            <v:imagedata r:id="rId109" o:title=""/>
            <o:lock v:ext="edit" aspectratio="t"/>
            <w10:wrap type="none"/>
            <w10:anchorlock/>
          </v:shape>
          <o:OLEObject Type="Embed" ProgID="Equation.DSMT4" ShapeID="_x0000_i1039" DrawAspect="Content" ObjectID="_1468075739" r:id="rId108">
            <o:LockedField>false</o:LockedField>
          </o:OLEObject>
        </w:object>
      </w:r>
    </w:p>
    <w:p>
      <w:pPr>
        <w:ind w:firstLine="480"/>
        <w:rPr>
          <w:rFonts w:ascii="Times New Roman" w:hAnsi="Times New Roman"/>
        </w:rPr>
      </w:pPr>
      <w:r>
        <w:rPr>
          <w:rFonts w:ascii="Times New Roman" w:hAnsi="Times New Roman"/>
        </w:rPr>
        <w:t>式中：</w:t>
      </w:r>
      <w:r>
        <w:rPr>
          <w:rFonts w:ascii="Times New Roman" w:hAnsi="Times New Roman"/>
          <w:i/>
        </w:rPr>
        <w:t>Q</w:t>
      </w:r>
      <w:r>
        <w:rPr>
          <w:rFonts w:ascii="Times New Roman" w:hAnsi="Times New Roman"/>
          <w:vertAlign w:val="subscript"/>
        </w:rPr>
        <w:t>蒸</w:t>
      </w:r>
      <w:r>
        <w:rPr>
          <w:rFonts w:ascii="Times New Roman" w:hAnsi="Times New Roman"/>
        </w:rPr>
        <w:t>—模拟区潜水蒸发排泄量（m</w:t>
      </w:r>
      <w:r>
        <w:rPr>
          <w:rFonts w:ascii="Times New Roman" w:hAnsi="Times New Roman"/>
          <w:vertAlign w:val="superscript"/>
        </w:rPr>
        <w:t>3</w:t>
      </w:r>
      <w:r>
        <w:rPr>
          <w:rFonts w:ascii="Times New Roman" w:hAnsi="Times New Roman"/>
        </w:rPr>
        <w:t>/d）；</w:t>
      </w:r>
    </w:p>
    <w:p>
      <w:pPr>
        <w:ind w:firstLine="480"/>
        <w:rPr>
          <w:rFonts w:ascii="Times New Roman" w:hAnsi="Times New Roman"/>
        </w:rPr>
      </w:pPr>
      <w:r>
        <w:rPr>
          <w:rFonts w:ascii="Times New Roman" w:hAnsi="Times New Roman"/>
          <w:i/>
        </w:rPr>
        <w:t>E</w:t>
      </w:r>
      <w:r>
        <w:rPr>
          <w:rFonts w:ascii="Times New Roman" w:hAnsi="Times New Roman"/>
          <w:i/>
          <w:vertAlign w:val="subscript"/>
        </w:rPr>
        <w:t>0</w:t>
      </w:r>
      <w:r>
        <w:rPr>
          <w:rFonts w:ascii="Times New Roman" w:hAnsi="Times New Roman"/>
        </w:rPr>
        <w:t>—各单元多年平均蒸发量（mm/yr）；</w:t>
      </w:r>
    </w:p>
    <w:p>
      <w:pPr>
        <w:ind w:firstLine="480"/>
        <w:rPr>
          <w:rFonts w:ascii="Times New Roman" w:hAnsi="Times New Roman"/>
        </w:rPr>
      </w:pPr>
      <w:r>
        <w:rPr>
          <w:rFonts w:ascii="Times New Roman" w:hAnsi="Times New Roman"/>
          <w:i/>
        </w:rPr>
        <w:t>E</w:t>
      </w:r>
      <w:r>
        <w:rPr>
          <w:rFonts w:ascii="Times New Roman" w:hAnsi="Times New Roman"/>
        </w:rPr>
        <w:t>—各单元大水面蒸发度（mm/yr）；</w:t>
      </w:r>
    </w:p>
    <w:p>
      <w:pPr>
        <w:ind w:firstLine="480"/>
        <w:rPr>
          <w:rFonts w:ascii="Times New Roman" w:hAnsi="Times New Roman"/>
        </w:rPr>
      </w:pPr>
      <w:r>
        <w:rPr>
          <w:rFonts w:ascii="Times New Roman" w:hAnsi="Times New Roman"/>
          <w:position w:val="-12"/>
        </w:rPr>
        <w:object>
          <v:shape id="_x0000_i1040" o:spt="75" type="#_x0000_t75" style="height:22pt;width:14pt;" o:ole="t" filled="f" o:preferrelative="t" stroked="f" coordsize="21600,21600">
            <v:path/>
            <v:fill on="f" focussize="0,0"/>
            <v:stroke on="f" joinstyle="miter"/>
            <v:imagedata r:id="rId111" o:title=""/>
            <o:lock v:ext="edit" aspectratio="t"/>
            <w10:wrap type="none"/>
            <w10:anchorlock/>
          </v:shape>
          <o:OLEObject Type="Embed" ProgID="Equation.DSMT4" ShapeID="_x0000_i1040" DrawAspect="Content" ObjectID="_1468075740" r:id="rId110">
            <o:LockedField>false</o:LockedField>
          </o:OLEObject>
        </w:object>
      </w:r>
      <w:r>
        <w:rPr>
          <w:rFonts w:ascii="Times New Roman" w:hAnsi="Times New Roman"/>
        </w:rPr>
        <w:t>—</w:t>
      </w:r>
      <w:r>
        <w:rPr>
          <w:rFonts w:hint="eastAsia" w:ascii="Times New Roman" w:hAnsi="Times New Roman"/>
        </w:rPr>
        <w:t>各单元潜水水位埋深（</w:t>
      </w:r>
      <w:r>
        <w:rPr>
          <w:rFonts w:ascii="Times New Roman" w:hAnsi="Times New Roman"/>
        </w:rPr>
        <w:t>m</w:t>
      </w:r>
      <w:r>
        <w:rPr>
          <w:rFonts w:hint="eastAsia" w:ascii="Times New Roman" w:hAnsi="Times New Roman"/>
        </w:rPr>
        <w:t>）；</w:t>
      </w:r>
    </w:p>
    <w:p>
      <w:pPr>
        <w:ind w:firstLine="480"/>
        <w:rPr>
          <w:rFonts w:ascii="Times New Roman" w:hAnsi="Times New Roman"/>
        </w:rPr>
      </w:pPr>
      <w:r>
        <w:rPr>
          <w:rFonts w:ascii="Cambria Math" w:hAnsi="Cambria Math" w:cs="Cambria Math"/>
        </w:rPr>
        <w:t>△</w:t>
      </w:r>
      <w:r>
        <w:rPr>
          <w:rFonts w:ascii="Times New Roman" w:hAnsi="Times New Roman"/>
          <w:i/>
        </w:rPr>
        <w:t>s</w:t>
      </w:r>
      <w:r>
        <w:rPr>
          <w:rFonts w:ascii="Times New Roman" w:hAnsi="Times New Roman"/>
        </w:rPr>
        <w:t>—潜水极限蒸发深度（m），计算中取值5m；</w:t>
      </w:r>
    </w:p>
    <w:p>
      <w:pPr>
        <w:ind w:firstLine="480"/>
        <w:rPr>
          <w:rFonts w:ascii="Times New Roman" w:hAnsi="Times New Roman"/>
        </w:rPr>
      </w:pPr>
      <w:r>
        <w:rPr>
          <w:rFonts w:ascii="Times New Roman" w:hAnsi="Times New Roman"/>
          <w:i/>
        </w:rPr>
        <w:t>A</w:t>
      </w:r>
      <w:r>
        <w:rPr>
          <w:rFonts w:ascii="Times New Roman" w:hAnsi="Times New Roman"/>
          <w:i/>
          <w:vertAlign w:val="subscript"/>
        </w:rPr>
        <w:t>i</w:t>
      </w:r>
      <w:r>
        <w:rPr>
          <w:rFonts w:ascii="Times New Roman" w:hAnsi="Times New Roman"/>
        </w:rPr>
        <w:t>—计算区各单元面积（m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i/>
        </w:rPr>
        <w:t>n</w:t>
      </w:r>
      <w:r>
        <w:rPr>
          <w:rFonts w:ascii="Times New Roman" w:hAnsi="Times New Roman"/>
        </w:rPr>
        <w:t>—本次计算取1；</w:t>
      </w:r>
    </w:p>
    <w:p>
      <w:pPr>
        <w:ind w:firstLine="480"/>
        <w:rPr>
          <w:rFonts w:ascii="Times New Roman" w:hAnsi="Times New Roman"/>
        </w:rPr>
      </w:pPr>
      <w:r>
        <w:rPr>
          <w:rFonts w:ascii="Times New Roman" w:hAnsi="Times New Roman"/>
        </w:rPr>
        <w:t>α—潜水蒸发系数。</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表5.2-12潜水蒸发系数取值一览表</w:t>
      </w:r>
    </w:p>
    <w:tbl>
      <w:tblPr>
        <w:tblStyle w:val="18"/>
        <w:tblW w:w="88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6"/>
        <w:gridCol w:w="4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计算分区</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参数值（埋深＜</w:t>
            </w:r>
            <w:r>
              <w:rPr>
                <w:rFonts w:ascii="Times New Roman" w:hAnsi="Times New Roman"/>
                <w:sz w:val="21"/>
              </w:rPr>
              <w:t>2m</w:t>
            </w:r>
            <w:r>
              <w:rPr>
                <w:rFonts w:hint="eastAsia" w:ascii="Times New Roman" w:hAnsi="Times New Roman"/>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黄土塬梁区Ⅰ</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河谷区Ⅱ</w:t>
            </w:r>
          </w:p>
        </w:tc>
        <w:tc>
          <w:tcPr>
            <w:tcW w:w="43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0.044</w:t>
            </w:r>
          </w:p>
        </w:tc>
      </w:tr>
    </w:tbl>
    <w:p>
      <w:pPr>
        <w:ind w:firstLine="480"/>
        <w:rPr>
          <w:rFonts w:ascii="Times New Roman" w:hAnsi="Times New Roman"/>
        </w:rPr>
      </w:pPr>
      <w:r>
        <w:rPr>
          <w:rFonts w:ascii="Times New Roman" w:hAnsi="Times New Roman"/>
        </w:rPr>
        <w:t>在模型计算潜水蒸发量时，采用EVT子程序来处理，将该蒸发量作用于活动单元。</w:t>
      </w:r>
    </w:p>
    <w:p>
      <w:pPr>
        <w:ind w:firstLine="480"/>
        <w:rPr>
          <w:rFonts w:ascii="Times New Roman" w:hAnsi="Times New Roman"/>
        </w:rPr>
      </w:pPr>
      <w:r>
        <w:rPr>
          <w:rFonts w:hint="eastAsia" w:ascii="Times New Roman" w:hAnsi="Times New Roman"/>
        </w:rPr>
        <w:t>③</w:t>
      </w:r>
      <w:r>
        <w:rPr>
          <w:rFonts w:ascii="Times New Roman" w:hAnsi="Times New Roman"/>
        </w:rPr>
        <w:t>泉排泄</w:t>
      </w:r>
    </w:p>
    <w:p>
      <w:pPr>
        <w:ind w:firstLine="480"/>
        <w:rPr>
          <w:rFonts w:ascii="Times New Roman" w:hAnsi="Times New Roman"/>
        </w:rPr>
      </w:pPr>
      <w:r>
        <w:rPr>
          <w:rFonts w:ascii="Times New Roman" w:hAnsi="Times New Roman"/>
        </w:rPr>
        <w:t>研究区的排泄量主要为泉排泄，然后转化为地表径流。模型中使用Drain子程序包模拟泉排泄过程，分段赋值，以代替泉的流量。</w:t>
      </w:r>
    </w:p>
    <w:p>
      <w:pPr>
        <w:ind w:firstLine="480"/>
        <w:rPr>
          <w:rFonts w:ascii="Times New Roman" w:hAnsi="Times New Roman"/>
        </w:rPr>
      </w:pPr>
      <w:r>
        <w:rPr>
          <w:rFonts w:hint="eastAsia" w:ascii="Times New Roman" w:hAnsi="Times New Roman"/>
        </w:rPr>
        <w:t>④</w:t>
      </w:r>
      <w:r>
        <w:rPr>
          <w:rFonts w:ascii="Times New Roman" w:hAnsi="Times New Roman"/>
        </w:rPr>
        <w:t>人工开采</w:t>
      </w:r>
    </w:p>
    <w:p>
      <w:pPr>
        <w:ind w:firstLine="480"/>
        <w:rPr>
          <w:rFonts w:ascii="Times New Roman" w:hAnsi="Times New Roman"/>
        </w:rPr>
      </w:pPr>
      <w:r>
        <w:rPr>
          <w:rFonts w:ascii="Times New Roman" w:hAnsi="Times New Roman"/>
        </w:rPr>
        <w:t>模拟区内人工开采主要为第四系松散层孔隙水及浅层裂隙泉水。但开采量有限。模型中用Well子程序包模拟人工开采。</w:t>
      </w:r>
    </w:p>
    <w:p>
      <w:pPr>
        <w:ind w:firstLine="480"/>
        <w:rPr>
          <w:rFonts w:ascii="Times New Roman" w:hAnsi="Times New Roman"/>
        </w:rPr>
      </w:pPr>
      <w:r>
        <w:rPr>
          <w:rFonts w:ascii="Times New Roman" w:hAnsi="Times New Roman"/>
        </w:rPr>
        <w:t>5</w:t>
      </w:r>
      <w:r>
        <w:rPr>
          <w:rFonts w:hint="eastAsia" w:ascii="Times New Roman" w:hAnsi="Times New Roman"/>
        </w:rPr>
        <w:t>）</w:t>
      </w:r>
      <w:r>
        <w:rPr>
          <w:rFonts w:ascii="Times New Roman" w:hAnsi="Times New Roman"/>
        </w:rPr>
        <w:t>水文地质参数识别</w:t>
      </w:r>
    </w:p>
    <w:p>
      <w:pPr>
        <w:ind w:firstLine="480"/>
        <w:rPr>
          <w:rFonts w:ascii="Times New Roman" w:hAnsi="Times New Roman"/>
        </w:rPr>
      </w:pPr>
      <w:r>
        <w:rPr>
          <w:rFonts w:ascii="Times New Roman" w:hAnsi="Times New Roman"/>
        </w:rPr>
        <w:t>地下水数值模拟中，水文地质参数是一项十分重要的数据，它表征了含水层本身属性，也是影响模型运行、评价结果的重要因素。参与地下水均衡计算的水文地质参数主要有含水层的渗透系数K、给水度μ。根据不同的水文地质单元，将模拟范围划分为4个区，分别为黄土塬梁区、上游河谷区、中游河谷区以及下游河谷区。初始值参考收集的抽水试验资料以及经验值，调参过程中在合理区间内调整。</w:t>
      </w:r>
    </w:p>
    <w:p>
      <w:pPr>
        <w:ind w:firstLine="480"/>
        <w:rPr>
          <w:rFonts w:ascii="Times New Roman" w:hAnsi="Times New Roman"/>
        </w:rPr>
      </w:pPr>
      <w:r>
        <w:rPr>
          <w:rFonts w:ascii="Times New Roman" w:hAnsi="Times New Roman"/>
        </w:rPr>
        <w:t>分区结果及初始值见表</w:t>
      </w:r>
      <w:r>
        <w:rPr>
          <w:rFonts w:hint="eastAsia" w:ascii="Times New Roman" w:hAnsi="Times New Roman"/>
        </w:rPr>
        <w:t>5.2-13</w:t>
      </w:r>
      <w:r>
        <w:rPr>
          <w:rFonts w:ascii="Times New Roman" w:hAnsi="Times New Roman"/>
        </w:rPr>
        <w:t>，水文地质参数分区图见图</w:t>
      </w:r>
      <w:r>
        <w:rPr>
          <w:rFonts w:hint="eastAsia" w:ascii="Times New Roman" w:hAnsi="Times New Roman"/>
        </w:rPr>
        <w:t>5.2-10</w:t>
      </w:r>
      <w:r>
        <w:rPr>
          <w:rFonts w:ascii="Times New Roman" w:hAnsi="Times New Roman"/>
        </w:rPr>
        <w:t>。</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w:t>
      </w:r>
      <w:r>
        <w:rPr>
          <w:rFonts w:hint="eastAsia" w:ascii="Times New Roman" w:hAnsi="Times New Roman"/>
          <w:b/>
          <w:bCs/>
          <w:sz w:val="21"/>
        </w:rPr>
        <w:t xml:space="preserve">5.2-13 </w:t>
      </w:r>
      <w:r>
        <w:rPr>
          <w:rFonts w:ascii="Times New Roman" w:hAnsi="Times New Roman"/>
          <w:b/>
          <w:bCs/>
          <w:sz w:val="21"/>
        </w:rPr>
        <w:t>水文地质参数分区表</w:t>
      </w:r>
    </w:p>
    <w:tbl>
      <w:tblPr>
        <w:tblStyle w:val="18"/>
        <w:tblW w:w="4822" w:type="pct"/>
        <w:jc w:val="center"/>
        <w:tblLayout w:type="autofit"/>
        <w:tblCellMar>
          <w:top w:w="0" w:type="dxa"/>
          <w:left w:w="108" w:type="dxa"/>
          <w:bottom w:w="0" w:type="dxa"/>
          <w:right w:w="108" w:type="dxa"/>
        </w:tblCellMar>
      </w:tblPr>
      <w:tblGrid>
        <w:gridCol w:w="2115"/>
        <w:gridCol w:w="1462"/>
        <w:gridCol w:w="1477"/>
        <w:gridCol w:w="1610"/>
        <w:gridCol w:w="1560"/>
      </w:tblGrid>
      <w:tr>
        <w:tblPrEx>
          <w:tblCellMar>
            <w:top w:w="0" w:type="dxa"/>
            <w:left w:w="108" w:type="dxa"/>
            <w:bottom w:w="0" w:type="dxa"/>
            <w:right w:w="108" w:type="dxa"/>
          </w:tblCellMar>
        </w:tblPrEx>
        <w:trPr>
          <w:trHeight w:val="326" w:hRule="atLeast"/>
          <w:jc w:val="center"/>
        </w:trPr>
        <w:tc>
          <w:tcPr>
            <w:tcW w:w="1286" w:type="pct"/>
            <w:tcBorders>
              <w:top w:val="single" w:color="000000" w:sz="4" w:space="0"/>
              <w:left w:val="single" w:color="000000" w:sz="4" w:space="0"/>
              <w:bottom w:val="single" w:color="000000" w:sz="4" w:space="0"/>
              <w:right w:val="single" w:color="000000" w:sz="4" w:space="0"/>
              <w:tl2br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分区</w:t>
            </w:r>
          </w:p>
          <w:p>
            <w:pPr>
              <w:spacing w:line="240" w:lineRule="auto"/>
              <w:ind w:firstLine="0" w:firstLineChars="0"/>
              <w:rPr>
                <w:rFonts w:ascii="Times New Roman" w:hAnsi="Times New Roman"/>
                <w:sz w:val="21"/>
              </w:rPr>
            </w:pPr>
            <w:r>
              <w:rPr>
                <w:rFonts w:hint="eastAsia" w:ascii="Times New Roman" w:hAnsi="Times New Roman"/>
                <w:sz w:val="21"/>
              </w:rPr>
              <w:t>水文地质参数</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黄土塬梁区Ⅰ</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上游河谷区Ⅱ</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中游河谷区Ⅲ</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下游河谷区Ⅳ</w:t>
            </w:r>
          </w:p>
        </w:tc>
      </w:tr>
      <w:tr>
        <w:tblPrEx>
          <w:tblCellMar>
            <w:top w:w="0" w:type="dxa"/>
            <w:left w:w="108" w:type="dxa"/>
            <w:bottom w:w="0" w:type="dxa"/>
            <w:right w:w="108" w:type="dxa"/>
          </w:tblCellMar>
        </w:tblPrEx>
        <w:trPr>
          <w:trHeight w:val="326" w:hRule="atLeast"/>
          <w:jc w:val="center"/>
        </w:trPr>
        <w:tc>
          <w:tcPr>
            <w:tcW w:w="1286"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Kx</w:t>
            </w:r>
            <w:r>
              <w:rPr>
                <w:rFonts w:hint="eastAsia" w:ascii="Times New Roman" w:hAnsi="Times New Roman"/>
                <w:sz w:val="21"/>
              </w:rPr>
              <w:t>（</w:t>
            </w:r>
            <w:r>
              <w:rPr>
                <w:rFonts w:ascii="Times New Roman" w:hAnsi="Times New Roman"/>
                <w:sz w:val="21"/>
              </w:rPr>
              <w:t>m/d)</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0.25</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0.35</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0.45</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0.55</w:t>
            </w:r>
          </w:p>
        </w:tc>
      </w:tr>
      <w:tr>
        <w:tblPrEx>
          <w:tblCellMar>
            <w:top w:w="0" w:type="dxa"/>
            <w:left w:w="108" w:type="dxa"/>
            <w:bottom w:w="0" w:type="dxa"/>
            <w:right w:w="108" w:type="dxa"/>
          </w:tblCellMar>
        </w:tblPrEx>
        <w:trPr>
          <w:trHeight w:val="326" w:hRule="atLeast"/>
          <w:jc w:val="center"/>
        </w:trPr>
        <w:tc>
          <w:tcPr>
            <w:tcW w:w="1286"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Ky</w:t>
            </w:r>
            <w:r>
              <w:rPr>
                <w:rFonts w:hint="eastAsia" w:ascii="Times New Roman" w:hAnsi="Times New Roman"/>
                <w:sz w:val="21"/>
              </w:rPr>
              <w:t>（</w:t>
            </w:r>
            <w:r>
              <w:rPr>
                <w:rFonts w:ascii="Times New Roman" w:hAnsi="Times New Roman"/>
                <w:sz w:val="21"/>
              </w:rPr>
              <w:t>m/d)</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0.25</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0.35</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0.45</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0.55</w:t>
            </w:r>
          </w:p>
        </w:tc>
      </w:tr>
      <w:tr>
        <w:tblPrEx>
          <w:tblCellMar>
            <w:top w:w="0" w:type="dxa"/>
            <w:left w:w="108" w:type="dxa"/>
            <w:bottom w:w="0" w:type="dxa"/>
            <w:right w:w="108" w:type="dxa"/>
          </w:tblCellMar>
        </w:tblPrEx>
        <w:trPr>
          <w:trHeight w:val="360" w:hRule="atLeast"/>
          <w:jc w:val="center"/>
        </w:trPr>
        <w:tc>
          <w:tcPr>
            <w:tcW w:w="1286"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u</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0.12</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0.12</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0.15</w:t>
            </w:r>
          </w:p>
        </w:tc>
      </w:tr>
    </w:tbl>
    <w:p>
      <w:pPr>
        <w:spacing w:line="240" w:lineRule="auto"/>
        <w:ind w:firstLine="0" w:firstLineChars="0"/>
        <w:jc w:val="left"/>
      </w:pPr>
      <w:r>
        <w:drawing>
          <wp:inline distT="0" distB="0" distL="0" distR="0">
            <wp:extent cx="2505075" cy="5276850"/>
            <wp:effectExtent l="0" t="0" r="0" b="0"/>
            <wp:docPr id="25"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505075" cy="5276850"/>
                    </a:xfrm>
                    <a:prstGeom prst="rect">
                      <a:avLst/>
                    </a:prstGeom>
                    <a:noFill/>
                    <a:ln>
                      <a:noFill/>
                    </a:ln>
                  </pic:spPr>
                </pic:pic>
              </a:graphicData>
            </a:graphic>
          </wp:inline>
        </w:drawing>
      </w:r>
      <w:r>
        <w:t xml:space="preserve">  </w:t>
      </w:r>
      <w:r>
        <w:drawing>
          <wp:inline distT="0" distB="0" distL="0" distR="0">
            <wp:extent cx="2533650" cy="5286375"/>
            <wp:effectExtent l="0" t="0" r="0" b="0"/>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533650" cy="5286375"/>
                    </a:xfrm>
                    <a:prstGeom prst="rect">
                      <a:avLst/>
                    </a:prstGeom>
                    <a:noFill/>
                    <a:ln>
                      <a:noFill/>
                    </a:ln>
                  </pic:spPr>
                </pic:pic>
              </a:graphicData>
            </a:graphic>
          </wp:inline>
        </w:drawing>
      </w:r>
    </w:p>
    <w:p>
      <w:pPr>
        <w:spacing w:after="156" w:afterLines="50" w:line="240" w:lineRule="auto"/>
        <w:ind w:firstLine="407" w:firstLineChars="193"/>
        <w:rPr>
          <w:rFonts w:ascii="Times New Roman" w:hAnsi="Times New Roman"/>
          <w:b/>
          <w:sz w:val="21"/>
        </w:rPr>
      </w:pPr>
      <w:r>
        <w:rPr>
          <w:rFonts w:hint="eastAsia" w:ascii="Times New Roman" w:hAnsi="Times New Roman"/>
          <w:b/>
          <w:sz w:val="21"/>
        </w:rPr>
        <w:t>图</w:t>
      </w:r>
      <w:r>
        <w:rPr>
          <w:rFonts w:ascii="Times New Roman" w:hAnsi="Times New Roman"/>
          <w:b/>
          <w:sz w:val="21"/>
        </w:rPr>
        <w:t>5.2-9</w:t>
      </w:r>
      <w:r>
        <w:rPr>
          <w:rFonts w:hint="eastAsia" w:ascii="Times New Roman" w:hAnsi="Times New Roman"/>
          <w:b/>
          <w:sz w:val="21"/>
        </w:rPr>
        <w:t>降水入渗、蒸发参数分区图</w:t>
      </w:r>
      <w:r>
        <w:rPr>
          <w:rFonts w:ascii="Times New Roman" w:hAnsi="Times New Roman"/>
          <w:b/>
          <w:sz w:val="21"/>
        </w:rPr>
        <w:t xml:space="preserve">         </w:t>
      </w:r>
      <w:r>
        <w:rPr>
          <w:rFonts w:hint="eastAsia" w:ascii="Times New Roman" w:hAnsi="Times New Roman"/>
          <w:b/>
          <w:sz w:val="21"/>
        </w:rPr>
        <w:t>图</w:t>
      </w:r>
      <w:r>
        <w:rPr>
          <w:rFonts w:ascii="Times New Roman" w:hAnsi="Times New Roman"/>
          <w:b/>
          <w:sz w:val="21"/>
        </w:rPr>
        <w:t>5.2-10</w:t>
      </w:r>
      <w:r>
        <w:rPr>
          <w:rFonts w:hint="eastAsia" w:ascii="Times New Roman" w:hAnsi="Times New Roman"/>
          <w:b/>
          <w:sz w:val="21"/>
        </w:rPr>
        <w:t>水文地质参数分区图</w:t>
      </w:r>
    </w:p>
    <w:p>
      <w:pPr>
        <w:ind w:firstLine="480"/>
        <w:rPr>
          <w:rFonts w:ascii="Times New Roman" w:hAnsi="Times New Roman"/>
          <w:szCs w:val="24"/>
        </w:rPr>
      </w:pPr>
      <w:r>
        <w:rPr>
          <w:rFonts w:hint="eastAsia" w:ascii="Times New Roman" w:hAnsi="Times New Roman"/>
          <w:szCs w:val="24"/>
        </w:rPr>
        <w:t>（</w:t>
      </w:r>
      <w:r>
        <w:rPr>
          <w:rFonts w:ascii="Times New Roman" w:hAnsi="Times New Roman"/>
          <w:szCs w:val="24"/>
        </w:rPr>
        <w:t>4</w:t>
      </w:r>
      <w:r>
        <w:rPr>
          <w:rFonts w:hint="eastAsia" w:ascii="Times New Roman" w:hAnsi="Times New Roman"/>
          <w:szCs w:val="24"/>
        </w:rPr>
        <w:t>）模型识别与校验</w:t>
      </w:r>
    </w:p>
    <w:p>
      <w:pPr>
        <w:ind w:firstLine="480"/>
        <w:rPr>
          <w:rFonts w:ascii="Times New Roman" w:hAnsi="Times New Roman"/>
          <w:szCs w:val="24"/>
        </w:rPr>
      </w:pPr>
      <w:r>
        <w:rPr>
          <w:rFonts w:ascii="Times New Roman" w:hAnsi="Times New Roman"/>
          <w:szCs w:val="24"/>
        </w:rPr>
        <w:t>1</w:t>
      </w:r>
      <w:r>
        <w:rPr>
          <w:rFonts w:hint="eastAsia" w:ascii="Times New Roman" w:hAnsi="Times New Roman"/>
          <w:szCs w:val="24"/>
        </w:rPr>
        <w:t>）模型识别</w:t>
      </w:r>
    </w:p>
    <w:p>
      <w:pPr>
        <w:spacing w:before="156" w:beforeLines="50"/>
        <w:ind w:firstLine="480"/>
        <w:contextualSpacing/>
        <w:rPr>
          <w:rFonts w:ascii="Times New Roman" w:hAnsi="Times New Roman"/>
        </w:rPr>
      </w:pPr>
      <w:r>
        <w:rPr>
          <w:rFonts w:hint="eastAsia" w:ascii="Times New Roman" w:hAnsi="Times New Roman"/>
        </w:rPr>
        <w:t>选择</w:t>
      </w:r>
      <w:r>
        <w:rPr>
          <w:rFonts w:ascii="Times New Roman" w:hAnsi="Times New Roman"/>
        </w:rPr>
        <w:t>2016</w:t>
      </w:r>
      <w:r>
        <w:rPr>
          <w:rFonts w:hint="eastAsia" w:ascii="Times New Roman" w:hAnsi="Times New Roman"/>
        </w:rPr>
        <w:t>年</w:t>
      </w:r>
      <w:r>
        <w:rPr>
          <w:rFonts w:ascii="Times New Roman" w:hAnsi="Times New Roman"/>
        </w:rPr>
        <w:t>11</w:t>
      </w:r>
      <w:r>
        <w:rPr>
          <w:rFonts w:hint="eastAsia" w:ascii="Times New Roman" w:hAnsi="Times New Roman"/>
        </w:rPr>
        <w:t>月</w:t>
      </w:r>
      <w:r>
        <w:rPr>
          <w:rFonts w:ascii="Times New Roman" w:hAnsi="Times New Roman"/>
        </w:rPr>
        <w:t>—2017</w:t>
      </w:r>
      <w:r>
        <w:rPr>
          <w:rFonts w:hint="eastAsia" w:ascii="Times New Roman" w:hAnsi="Times New Roman"/>
        </w:rPr>
        <w:t>年</w:t>
      </w:r>
      <w:r>
        <w:rPr>
          <w:rFonts w:ascii="Times New Roman" w:hAnsi="Times New Roman"/>
        </w:rPr>
        <w:t>3</w:t>
      </w:r>
      <w:r>
        <w:rPr>
          <w:rFonts w:hint="eastAsia" w:ascii="Times New Roman" w:hAnsi="Times New Roman"/>
        </w:rPr>
        <w:t>月作为模型的识别阶段，这</w:t>
      </w:r>
      <w:r>
        <w:rPr>
          <w:rFonts w:ascii="Times New Roman" w:hAnsi="Times New Roman"/>
        </w:rPr>
        <w:t>4</w:t>
      </w:r>
      <w:r>
        <w:rPr>
          <w:rFonts w:hint="eastAsia" w:ascii="Times New Roman" w:hAnsi="Times New Roman"/>
        </w:rPr>
        <w:t>个月为一个水文年的枯水期，该阶段模拟区目的含水层水位基本保持不变。通过分析实测水位和校核水位来识别模型参数的准确性，如果校核水位与实测水位相差很大，则需要调整相应的参数，直至二者拟合较好为止。</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w:t>
      </w:r>
      <w:r>
        <w:rPr>
          <w:rFonts w:ascii="Times New Roman" w:hAnsi="Times New Roman"/>
          <w:b/>
          <w:bCs/>
          <w:sz w:val="21"/>
        </w:rPr>
        <w:t xml:space="preserve">5.2-14 </w:t>
      </w:r>
      <w:r>
        <w:rPr>
          <w:rFonts w:hint="eastAsia" w:ascii="Times New Roman" w:hAnsi="Times New Roman"/>
          <w:b/>
          <w:bCs/>
          <w:sz w:val="21"/>
        </w:rPr>
        <w:t>调参后水文地质参数值</w:t>
      </w:r>
    </w:p>
    <w:tbl>
      <w:tblPr>
        <w:tblStyle w:val="18"/>
        <w:tblW w:w="4822" w:type="pct"/>
        <w:jc w:val="center"/>
        <w:tblLayout w:type="autofit"/>
        <w:tblCellMar>
          <w:top w:w="0" w:type="dxa"/>
          <w:left w:w="108" w:type="dxa"/>
          <w:bottom w:w="0" w:type="dxa"/>
          <w:right w:w="108" w:type="dxa"/>
        </w:tblCellMar>
      </w:tblPr>
      <w:tblGrid>
        <w:gridCol w:w="2113"/>
        <w:gridCol w:w="1463"/>
        <w:gridCol w:w="1477"/>
        <w:gridCol w:w="1611"/>
        <w:gridCol w:w="1560"/>
      </w:tblGrid>
      <w:tr>
        <w:trPr>
          <w:trHeight w:val="326" w:hRule="atLeast"/>
          <w:jc w:val="center"/>
        </w:trPr>
        <w:tc>
          <w:tcPr>
            <w:tcW w:w="1285" w:type="pct"/>
            <w:tcBorders>
              <w:top w:val="single" w:color="000000" w:sz="4" w:space="0"/>
              <w:left w:val="single" w:color="000000" w:sz="4" w:space="0"/>
              <w:bottom w:val="single" w:color="000000" w:sz="4" w:space="0"/>
              <w:right w:val="single" w:color="000000" w:sz="4" w:space="0"/>
              <w:tl2br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分区</w:t>
            </w:r>
          </w:p>
          <w:p>
            <w:pPr>
              <w:spacing w:line="240" w:lineRule="auto"/>
              <w:ind w:firstLine="0" w:firstLineChars="0"/>
              <w:rPr>
                <w:rFonts w:ascii="Times New Roman" w:hAnsi="Times New Roman"/>
                <w:sz w:val="21"/>
              </w:rPr>
            </w:pPr>
            <w:r>
              <w:rPr>
                <w:rFonts w:hint="eastAsia" w:ascii="Times New Roman" w:hAnsi="Times New Roman"/>
                <w:sz w:val="21"/>
              </w:rPr>
              <w:t>水文地质参数</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黄土塬梁区Ⅰ</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上游河谷区Ⅱ</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中游河谷区Ⅲ</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下游河谷区Ⅳ</w:t>
            </w:r>
          </w:p>
        </w:tc>
      </w:tr>
      <w:tr>
        <w:tblPrEx>
          <w:tblCellMar>
            <w:top w:w="0" w:type="dxa"/>
            <w:left w:w="108" w:type="dxa"/>
            <w:bottom w:w="0" w:type="dxa"/>
            <w:right w:w="108" w:type="dxa"/>
          </w:tblCellMar>
        </w:tblPrEx>
        <w:trPr>
          <w:trHeight w:val="326" w:hRule="atLeast"/>
          <w:jc w:val="center"/>
        </w:trPr>
        <w:tc>
          <w:tcPr>
            <w:tcW w:w="1285"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Kx</w:t>
            </w:r>
            <w:r>
              <w:rPr>
                <w:rFonts w:hint="eastAsia" w:ascii="Times New Roman" w:hAnsi="Times New Roman"/>
                <w:sz w:val="21"/>
              </w:rPr>
              <w:t>（</w:t>
            </w:r>
            <w:r>
              <w:rPr>
                <w:rFonts w:ascii="Times New Roman" w:hAnsi="Times New Roman"/>
                <w:sz w:val="21"/>
              </w:rPr>
              <w:t>m/d)</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0.05</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0.15</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0.35</w:t>
            </w:r>
          </w:p>
        </w:tc>
      </w:tr>
      <w:tr>
        <w:tblPrEx>
          <w:tblCellMar>
            <w:top w:w="0" w:type="dxa"/>
            <w:left w:w="108" w:type="dxa"/>
            <w:bottom w:w="0" w:type="dxa"/>
            <w:right w:w="108" w:type="dxa"/>
          </w:tblCellMar>
        </w:tblPrEx>
        <w:trPr>
          <w:trHeight w:val="326" w:hRule="atLeast"/>
          <w:jc w:val="center"/>
        </w:trPr>
        <w:tc>
          <w:tcPr>
            <w:tcW w:w="1285"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Ky</w:t>
            </w:r>
            <w:r>
              <w:rPr>
                <w:rFonts w:hint="eastAsia" w:ascii="Times New Roman" w:hAnsi="Times New Roman"/>
                <w:sz w:val="21"/>
              </w:rPr>
              <w:t>（</w:t>
            </w:r>
            <w:r>
              <w:rPr>
                <w:rFonts w:ascii="Times New Roman" w:hAnsi="Times New Roman"/>
                <w:sz w:val="21"/>
              </w:rPr>
              <w:t>m/d)</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0.05</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0.15</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0.2</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0.35</w:t>
            </w:r>
          </w:p>
        </w:tc>
      </w:tr>
      <w:tr>
        <w:trPr>
          <w:trHeight w:val="360" w:hRule="atLeast"/>
          <w:jc w:val="center"/>
        </w:trPr>
        <w:tc>
          <w:tcPr>
            <w:tcW w:w="1285"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u</w:t>
            </w:r>
          </w:p>
        </w:tc>
        <w:tc>
          <w:tcPr>
            <w:tcW w:w="889" w:type="pct"/>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0.005</w:t>
            </w:r>
          </w:p>
        </w:tc>
        <w:tc>
          <w:tcPr>
            <w:tcW w:w="89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0.0012</w:t>
            </w:r>
          </w:p>
        </w:tc>
        <w:tc>
          <w:tcPr>
            <w:tcW w:w="979"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0.0012</w:t>
            </w:r>
          </w:p>
        </w:tc>
        <w:tc>
          <w:tcPr>
            <w:tcW w:w="948" w:type="pct"/>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0.0035</w:t>
            </w:r>
          </w:p>
        </w:tc>
      </w:tr>
    </w:tbl>
    <w:p>
      <w:pPr>
        <w:spacing w:after="240"/>
        <w:ind w:firstLine="480"/>
        <w:contextualSpacing/>
        <w:jc w:val="left"/>
        <w:rPr>
          <w:rFonts w:ascii="Times New Roman" w:hAnsi="Times New Roman"/>
        </w:rPr>
      </w:pPr>
      <w:r>
        <w:rPr>
          <w:rFonts w:ascii="Times New Roman" w:hAnsi="Times New Roman"/>
        </w:rPr>
        <w:t>通过调参计算，实测水位等值线的水位拟合小于5m的绝对误差占已知水位的80%以上，拟合结果较好，说明含水层概化、参数选择符合实际。拟合效果见图</w:t>
      </w:r>
      <w:r>
        <w:rPr>
          <w:rFonts w:hint="eastAsia" w:ascii="Times New Roman" w:hAnsi="Times New Roman"/>
        </w:rPr>
        <w:t>5.2-11</w:t>
      </w:r>
      <w:r>
        <w:rPr>
          <w:rFonts w:ascii="Times New Roman" w:hAnsi="Times New Roman"/>
        </w:rPr>
        <w:t>。</w:t>
      </w:r>
    </w:p>
    <w:p>
      <w:pPr>
        <w:spacing w:before="156" w:beforeLines="50"/>
        <w:ind w:firstLine="480"/>
        <w:contextualSpacing/>
        <w:rPr>
          <w:rFonts w:ascii="Times New Roman" w:hAnsi="Times New Roman"/>
        </w:rPr>
      </w:pPr>
      <w:r>
        <w:rPr>
          <w:rFonts w:ascii="Times New Roman" w:hAnsi="Times New Roman"/>
        </w:rPr>
        <w:t>2</w:t>
      </w:r>
      <w:r>
        <w:rPr>
          <w:rFonts w:hint="eastAsia" w:ascii="Times New Roman" w:hAnsi="Times New Roman"/>
        </w:rPr>
        <w:t>）</w:t>
      </w:r>
      <w:r>
        <w:rPr>
          <w:rFonts w:ascii="Times New Roman" w:hAnsi="Times New Roman"/>
        </w:rPr>
        <w:t>模型验证</w:t>
      </w:r>
    </w:p>
    <w:p>
      <w:pPr>
        <w:ind w:firstLine="480"/>
        <w:rPr>
          <w:rFonts w:ascii="Times New Roman" w:hAnsi="Times New Roman"/>
          <w:szCs w:val="24"/>
        </w:rPr>
      </w:pPr>
      <w:r>
        <w:rPr>
          <w:rFonts w:ascii="Times New Roman" w:hAnsi="Times New Roman"/>
        </w:rPr>
        <w:t>为进一步验证所建立的数学模型和模型参数的可靠性，以2017年4月</w:t>
      </w:r>
      <w:r>
        <w:rPr>
          <w:rFonts w:hint="eastAsia" w:ascii="Times New Roman" w:hAnsi="Times New Roman"/>
        </w:rPr>
        <w:t>-</w:t>
      </w:r>
      <w:r>
        <w:rPr>
          <w:rFonts w:ascii="Times New Roman" w:hAnsi="Times New Roman"/>
        </w:rPr>
        <w:t>2017年7月作为模型的检验阶段，将识别好的模型用于检验。通过观测水井的实测水位与计算水位的拟合分析，如若误差绝对值的平均值较大，则说明模型不可靠，需进一步调整参数，重复模型的识别与检验过程；如若误差绝对值得平均值在5m以内，说明所建立的数学模型、边界条件、水文地质参数和源汇项的确定都是合理的，该模型可以用于地下水流系统的预报以及进一步溶质运移。模型校核图见图</w:t>
      </w:r>
      <w:r>
        <w:rPr>
          <w:rFonts w:hint="eastAsia" w:ascii="Times New Roman" w:hAnsi="Times New Roman"/>
        </w:rPr>
        <w:t>5.2-12</w:t>
      </w:r>
      <w:r>
        <w:rPr>
          <w:rFonts w:ascii="Times New Roman" w:hAnsi="Times New Roman"/>
        </w:rPr>
        <w:t>。</w:t>
      </w:r>
    </w:p>
    <w:p>
      <w:pPr>
        <w:ind w:firstLine="0" w:firstLineChars="0"/>
      </w:pPr>
      <w:r>
        <w:drawing>
          <wp:inline distT="0" distB="0" distL="0" distR="0">
            <wp:extent cx="2553335" cy="5457825"/>
            <wp:effectExtent l="0" t="0" r="0" b="0"/>
            <wp:docPr id="33" name="图片 33" descr="2017年3月水位拟合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17年3月水位拟合图"/>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2555213" cy="5461656"/>
                    </a:xfrm>
                    <a:prstGeom prst="rect">
                      <a:avLst/>
                    </a:prstGeom>
                    <a:noFill/>
                    <a:ln>
                      <a:noFill/>
                    </a:ln>
                  </pic:spPr>
                </pic:pic>
              </a:graphicData>
            </a:graphic>
          </wp:inline>
        </w:drawing>
      </w:r>
      <w:r>
        <w:rPr>
          <w:rFonts w:hint="eastAsia"/>
        </w:rPr>
        <w:t xml:space="preserve">  </w:t>
      </w:r>
      <w:r>
        <w:drawing>
          <wp:inline distT="0" distB="0" distL="0" distR="0">
            <wp:extent cx="2562225" cy="5457825"/>
            <wp:effectExtent l="0" t="0" r="0" b="0"/>
            <wp:docPr id="32" name="图片 32" descr="2017年7月校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17年7月校核图"/>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2563023" cy="5459590"/>
                    </a:xfrm>
                    <a:prstGeom prst="rect">
                      <a:avLst/>
                    </a:prstGeom>
                    <a:noFill/>
                    <a:ln>
                      <a:noFill/>
                    </a:ln>
                  </pic:spPr>
                </pic:pic>
              </a:graphicData>
            </a:graphic>
          </wp:inline>
        </w:drawing>
      </w:r>
    </w:p>
    <w:p>
      <w:pPr>
        <w:ind w:firstLine="1155" w:firstLineChars="548"/>
      </w:pPr>
      <w:r>
        <w:rPr>
          <w:rFonts w:hint="eastAsia" w:ascii="Times New Roman" w:hAnsi="Times New Roman"/>
          <w:b/>
          <w:sz w:val="21"/>
        </w:rPr>
        <w:t>图5.2-11水位拟合图                      图5.2-12水位校核图</w:t>
      </w:r>
    </w:p>
    <w:p>
      <w:pPr>
        <w:ind w:firstLine="480"/>
        <w:rPr>
          <w:rFonts w:ascii="Times New Roman" w:hAnsi="Times New Roman"/>
        </w:rPr>
      </w:pPr>
      <w:r>
        <w:rPr>
          <w:rFonts w:hint="eastAsia" w:ascii="Times New Roman" w:hAnsi="Times New Roman"/>
        </w:rPr>
        <w:t>（3）模拟预测结果</w:t>
      </w:r>
    </w:p>
    <w:p>
      <w:pPr>
        <w:ind w:firstLine="480"/>
        <w:rPr>
          <w:rFonts w:ascii="Times New Roman" w:hAnsi="Times New Roman"/>
        </w:rPr>
      </w:pPr>
      <w:r>
        <w:rPr>
          <w:rFonts w:hint="eastAsia" w:ascii="Times New Roman" w:hAnsi="Times New Roman"/>
        </w:rPr>
        <w:t>①运营期办公生活区集水池生活污水污染预测</w:t>
      </w:r>
    </w:p>
    <w:p>
      <w:pPr>
        <w:ind w:firstLine="480"/>
        <w:rPr>
          <w:rFonts w:ascii="Times New Roman" w:hAnsi="Times New Roman"/>
        </w:rPr>
      </w:pPr>
      <w:r>
        <w:rPr>
          <w:rFonts w:hint="eastAsia" w:ascii="Times New Roman" w:hAnsi="Times New Roman"/>
        </w:rPr>
        <w:t>运营期办公生活区集水池生活污水的主要污染物为COD、氨氮等，特征污染物为氨氮。倘若集水池系统老化或腐蚀，底部出现裂隙，会使储存在其中的污水下渗，从而污染潜水含水层。本次模拟不考虑包气带垂向运动和吸附、过滤等作用，同时不考虑污染物在地下水中的化学反应，</w:t>
      </w:r>
      <w:r>
        <w:rPr>
          <w:rFonts w:ascii="Times New Roman" w:hAnsi="Times New Roman"/>
        </w:rPr>
        <w:t>纵向弥散系数取经验值10m2/d</w:t>
      </w:r>
      <w:r>
        <w:rPr>
          <w:rFonts w:hint="eastAsia" w:ascii="Times New Roman" w:hAnsi="Times New Roman"/>
        </w:rPr>
        <w:t>。运</w:t>
      </w:r>
      <w:r>
        <w:rPr>
          <w:rFonts w:ascii="Times New Roman" w:hAnsi="Times New Roman"/>
        </w:rPr>
        <w:t>用</w:t>
      </w:r>
      <w:r>
        <w:rPr>
          <w:rFonts w:hint="eastAsia" w:ascii="Times New Roman" w:hAnsi="Times New Roman"/>
        </w:rPr>
        <w:t xml:space="preserve">Visual </w:t>
      </w:r>
      <w:r>
        <w:rPr>
          <w:rFonts w:ascii="Times New Roman" w:hAnsi="Times New Roman"/>
        </w:rPr>
        <w:t>Modflow</w:t>
      </w:r>
      <w:r>
        <w:rPr>
          <w:rFonts w:hint="eastAsia" w:ascii="Times New Roman" w:hAnsi="Times New Roman"/>
        </w:rPr>
        <w:t>中MT3DMS程序</w:t>
      </w:r>
      <w:r>
        <w:rPr>
          <w:rFonts w:ascii="Times New Roman" w:hAnsi="Times New Roman"/>
        </w:rPr>
        <w:t>预测</w:t>
      </w:r>
      <w:r>
        <w:rPr>
          <w:rFonts w:hint="eastAsia" w:ascii="Times New Roman" w:hAnsi="Times New Roman"/>
        </w:rPr>
        <w:t>污染物</w:t>
      </w:r>
      <w:r>
        <w:rPr>
          <w:rFonts w:ascii="Times New Roman" w:hAnsi="Times New Roman"/>
        </w:rPr>
        <w:t>进入目标含水层后，1</w:t>
      </w:r>
      <w:r>
        <w:rPr>
          <w:rFonts w:hint="eastAsia" w:ascii="Times New Roman" w:hAnsi="Times New Roman"/>
        </w:rPr>
        <w:t>00天</w:t>
      </w:r>
      <w:r>
        <w:rPr>
          <w:rFonts w:ascii="Times New Roman" w:hAnsi="Times New Roman"/>
        </w:rPr>
        <w:t>、10</w:t>
      </w:r>
      <w:r>
        <w:rPr>
          <w:rFonts w:hint="eastAsia" w:ascii="Times New Roman" w:hAnsi="Times New Roman"/>
        </w:rPr>
        <w:t>00天</w:t>
      </w:r>
      <w:r>
        <w:rPr>
          <w:rFonts w:ascii="Times New Roman" w:hAnsi="Times New Roman"/>
        </w:rPr>
        <w:t>、</w:t>
      </w:r>
      <w:r>
        <w:rPr>
          <w:rFonts w:hint="eastAsia" w:ascii="Times New Roman" w:hAnsi="Times New Roman"/>
        </w:rPr>
        <w:t>5000天以及7300天</w:t>
      </w:r>
      <w:r>
        <w:rPr>
          <w:rFonts w:ascii="Times New Roman" w:hAnsi="Times New Roman"/>
        </w:rPr>
        <w:t>后</w:t>
      </w:r>
      <w:r>
        <w:rPr>
          <w:rFonts w:hint="eastAsia" w:ascii="Times New Roman" w:hAnsi="Times New Roman"/>
        </w:rPr>
        <w:t>污染晕</w:t>
      </w:r>
      <w:r>
        <w:rPr>
          <w:rFonts w:ascii="Times New Roman" w:hAnsi="Times New Roman"/>
        </w:rPr>
        <w:t>的迁移距离及影响面积。</w:t>
      </w:r>
      <w:r>
        <w:rPr>
          <w:rFonts w:hint="eastAsia" w:ascii="Times New Roman" w:hAnsi="Times New Roman"/>
        </w:rPr>
        <w:t>模拟预测结果见表5.2-14以及图5.2-13图5.2-15。</w:t>
      </w:r>
    </w:p>
    <w:p>
      <w:pPr>
        <w:ind w:firstLine="480"/>
        <w:rPr>
          <w:rFonts w:ascii="Times New Roman" w:hAnsi="Times New Roman"/>
        </w:rPr>
      </w:pP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表5.2-15  办公生活区集水池氨氮污染晕扩散统计表</w:t>
      </w:r>
    </w:p>
    <w:tbl>
      <w:tblPr>
        <w:tblStyle w:val="18"/>
        <w:tblW w:w="0" w:type="auto"/>
        <w:jc w:val="center"/>
        <w:tblLayout w:type="fixed"/>
        <w:tblCellMar>
          <w:top w:w="0" w:type="dxa"/>
          <w:left w:w="108" w:type="dxa"/>
          <w:bottom w:w="0" w:type="dxa"/>
          <w:right w:w="108" w:type="dxa"/>
        </w:tblCellMar>
      </w:tblPr>
      <w:tblGrid>
        <w:gridCol w:w="3085"/>
        <w:gridCol w:w="2978"/>
        <w:gridCol w:w="2940"/>
      </w:tblGrid>
      <w:tr>
        <w:tblPrEx>
          <w:tblCellMar>
            <w:top w:w="0" w:type="dxa"/>
            <w:left w:w="108" w:type="dxa"/>
            <w:bottom w:w="0" w:type="dxa"/>
            <w:right w:w="108" w:type="dxa"/>
          </w:tblCellMar>
        </w:tblPrEx>
        <w:trPr>
          <w:trHeight w:val="375" w:hRule="atLeast"/>
          <w:jc w:val="center"/>
        </w:trPr>
        <w:tc>
          <w:tcPr>
            <w:tcW w:w="3085" w:type="dxa"/>
            <w:tcBorders>
              <w:top w:val="single" w:color="000000" w:sz="4" w:space="0"/>
              <w:left w:val="single" w:color="000000" w:sz="4" w:space="0"/>
              <w:bottom w:val="nil"/>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时间（天）</w:t>
            </w:r>
            <w:r>
              <w:rPr>
                <w:rFonts w:ascii="Times New Roman" w:hAnsi="Times New Roman"/>
                <w:sz w:val="21"/>
              </w:rPr>
              <w:t xml:space="preserve">               </w:t>
            </w:r>
          </w:p>
        </w:tc>
        <w:tc>
          <w:tcPr>
            <w:tcW w:w="2978"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下游超标运移最大距离（</w:t>
            </w:r>
            <w:r>
              <w:rPr>
                <w:rFonts w:ascii="Times New Roman" w:hAnsi="Times New Roman"/>
                <w:sz w:val="21"/>
              </w:rPr>
              <w:t>m</w:t>
            </w:r>
            <w:r>
              <w:rPr>
                <w:rFonts w:hint="eastAsia" w:ascii="Times New Roman" w:hAnsi="Times New Roman"/>
                <w:sz w:val="21"/>
              </w:rPr>
              <w:t>）</w:t>
            </w:r>
          </w:p>
        </w:tc>
        <w:tc>
          <w:tcPr>
            <w:tcW w:w="2940"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污染晕面积（</w:t>
            </w:r>
            <w:r>
              <w:rPr>
                <w:rFonts w:ascii="Times New Roman" w:hAnsi="Times New Roman"/>
                <w:sz w:val="21"/>
              </w:rPr>
              <w:t>hm2</w:t>
            </w:r>
            <w:r>
              <w:rPr>
                <w:rFonts w:hint="eastAsia" w:ascii="Times New Roman" w:hAnsi="Times New Roman"/>
                <w:sz w:val="21"/>
              </w:rPr>
              <w:t>）</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45.23</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0.22</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140.70</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0.66</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5000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321.61</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2.79</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7300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361.81</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3.69</w:t>
            </w:r>
          </w:p>
        </w:tc>
      </w:tr>
    </w:tbl>
    <w:p>
      <w:pPr>
        <w:snapToGrid w:val="0"/>
        <w:spacing w:before="156" w:beforeLines="50" w:line="240" w:lineRule="auto"/>
        <w:ind w:firstLine="0" w:firstLineChars="0"/>
        <w:jc w:val="center"/>
        <w:rPr>
          <w:rFonts w:ascii="Times New Roman" w:hAnsi="Times New Roman"/>
          <w:b/>
          <w:bCs/>
          <w:sz w:val="21"/>
        </w:rPr>
      </w:pPr>
    </w:p>
    <w:p>
      <w:pPr>
        <w:ind w:firstLine="0" w:firstLineChars="0"/>
        <w:jc w:val="center"/>
      </w:pPr>
      <w:r>
        <w:rPr>
          <w:rFonts w:hint="eastAsia"/>
        </w:rPr>
        <w:drawing>
          <wp:inline distT="0" distB="0" distL="0" distR="0">
            <wp:extent cx="4356100" cy="3333750"/>
            <wp:effectExtent l="0" t="0" r="0" b="0"/>
            <wp:docPr id="53" name="图片 53" descr="1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00天"/>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4356604" cy="3333750"/>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图5.2-13  氨氮100天迁移预测图</w:t>
      </w:r>
    </w:p>
    <w:p>
      <w:pPr>
        <w:ind w:firstLine="0" w:firstLineChars="0"/>
        <w:jc w:val="center"/>
      </w:pPr>
      <w:r>
        <w:rPr>
          <w:rFonts w:hint="eastAsia"/>
        </w:rPr>
        <w:drawing>
          <wp:inline distT="0" distB="0" distL="0" distR="0">
            <wp:extent cx="4391025" cy="3358515"/>
            <wp:effectExtent l="0" t="0" r="0" b="0"/>
            <wp:docPr id="52" name="图片 52" descr="10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000天"/>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4391025" cy="3358777"/>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图5.2-14  氨氮1000天迁移预测图</w:t>
      </w:r>
    </w:p>
    <w:p>
      <w:pPr>
        <w:ind w:firstLine="0" w:firstLineChars="0"/>
        <w:jc w:val="center"/>
      </w:pPr>
      <w:r>
        <w:rPr>
          <w:rFonts w:hint="eastAsia"/>
        </w:rPr>
        <w:drawing>
          <wp:inline distT="0" distB="0" distL="0" distR="0">
            <wp:extent cx="4410075" cy="3375025"/>
            <wp:effectExtent l="0" t="0" r="0" b="0"/>
            <wp:docPr id="51" name="图片 51" descr="36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600天"/>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4410075" cy="3375220"/>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图5.2-15  氨氮5000天迁移预测图</w:t>
      </w:r>
    </w:p>
    <w:p>
      <w:pPr>
        <w:ind w:firstLine="0" w:firstLineChars="0"/>
        <w:jc w:val="center"/>
      </w:pPr>
      <w:r>
        <w:rPr>
          <w:rFonts w:hint="eastAsia"/>
        </w:rPr>
        <w:drawing>
          <wp:inline distT="0" distB="0" distL="0" distR="0">
            <wp:extent cx="4543425" cy="3478530"/>
            <wp:effectExtent l="0" t="0" r="0" b="0"/>
            <wp:docPr id="50" name="图片 50" descr="50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000天"/>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4543425" cy="3479056"/>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图5.2-15  氨氮7300天迁移预测图</w:t>
      </w:r>
    </w:p>
    <w:p>
      <w:pPr>
        <w:ind w:firstLine="480"/>
        <w:rPr>
          <w:rFonts w:ascii="Times New Roman" w:hAnsi="Times New Roman"/>
        </w:rPr>
      </w:pPr>
      <w:r>
        <w:rPr>
          <w:rFonts w:hint="eastAsia" w:ascii="Times New Roman" w:hAnsi="Times New Roman"/>
        </w:rPr>
        <w:t>②运营期LX-103井场净化污水处理站沉降池生产废水污染预测</w:t>
      </w:r>
    </w:p>
    <w:p>
      <w:pPr>
        <w:ind w:firstLine="480"/>
        <w:rPr>
          <w:rFonts w:ascii="Times New Roman" w:hAnsi="Times New Roman"/>
        </w:rPr>
      </w:pPr>
      <w:r>
        <w:rPr>
          <w:rFonts w:hint="eastAsia" w:ascii="Times New Roman" w:hAnsi="Times New Roman"/>
        </w:rPr>
        <w:t>运营期净化污水处理站沉降池生产废水的主要污染物为COD、石油类等，特征污染物为石油类。倘若沉降池底部出现裂隙，会使储存在其中的废水下渗，从而污染潜水含水层。本次模拟不考虑包气带垂向运动和吸附、过滤等作用，同时不考虑污染物在地下水中的化学反应，</w:t>
      </w:r>
      <w:r>
        <w:rPr>
          <w:rFonts w:ascii="Times New Roman" w:hAnsi="Times New Roman"/>
        </w:rPr>
        <w:t>纵向弥散系数取经验值10m</w:t>
      </w:r>
      <w:r>
        <w:rPr>
          <w:rFonts w:ascii="Times New Roman" w:hAnsi="Times New Roman"/>
          <w:vertAlign w:val="superscript"/>
        </w:rPr>
        <w:t>2</w:t>
      </w:r>
      <w:r>
        <w:rPr>
          <w:rFonts w:ascii="Times New Roman" w:hAnsi="Times New Roman"/>
        </w:rPr>
        <w:t>/d</w:t>
      </w:r>
      <w:r>
        <w:rPr>
          <w:rFonts w:hint="eastAsia" w:ascii="Times New Roman" w:hAnsi="Times New Roman"/>
        </w:rPr>
        <w:t>。运</w:t>
      </w:r>
      <w:r>
        <w:rPr>
          <w:rFonts w:ascii="Times New Roman" w:hAnsi="Times New Roman"/>
        </w:rPr>
        <w:t>用</w:t>
      </w:r>
      <w:r>
        <w:rPr>
          <w:rFonts w:hint="eastAsia" w:ascii="Times New Roman" w:hAnsi="Times New Roman"/>
        </w:rPr>
        <w:t xml:space="preserve">Visual </w:t>
      </w:r>
      <w:r>
        <w:rPr>
          <w:rFonts w:ascii="Times New Roman" w:hAnsi="Times New Roman"/>
        </w:rPr>
        <w:t>Modflow</w:t>
      </w:r>
      <w:r>
        <w:rPr>
          <w:rFonts w:hint="eastAsia" w:ascii="Times New Roman" w:hAnsi="Times New Roman"/>
        </w:rPr>
        <w:t>中MT3DMS程序</w:t>
      </w:r>
      <w:r>
        <w:rPr>
          <w:rFonts w:ascii="Times New Roman" w:hAnsi="Times New Roman"/>
        </w:rPr>
        <w:t>预测</w:t>
      </w:r>
      <w:r>
        <w:rPr>
          <w:rFonts w:hint="eastAsia" w:ascii="Times New Roman" w:hAnsi="Times New Roman"/>
        </w:rPr>
        <w:t>污染物</w:t>
      </w:r>
      <w:r>
        <w:rPr>
          <w:rFonts w:ascii="Times New Roman" w:hAnsi="Times New Roman"/>
        </w:rPr>
        <w:t>进入目标含水层后，1</w:t>
      </w:r>
      <w:r>
        <w:rPr>
          <w:rFonts w:hint="eastAsia" w:ascii="Times New Roman" w:hAnsi="Times New Roman"/>
        </w:rPr>
        <w:t>00天</w:t>
      </w:r>
      <w:r>
        <w:rPr>
          <w:rFonts w:ascii="Times New Roman" w:hAnsi="Times New Roman"/>
        </w:rPr>
        <w:t>、10</w:t>
      </w:r>
      <w:r>
        <w:rPr>
          <w:rFonts w:hint="eastAsia" w:ascii="Times New Roman" w:hAnsi="Times New Roman"/>
        </w:rPr>
        <w:t>00天</w:t>
      </w:r>
      <w:r>
        <w:rPr>
          <w:rFonts w:ascii="Times New Roman" w:hAnsi="Times New Roman"/>
        </w:rPr>
        <w:t>、</w:t>
      </w:r>
      <w:r>
        <w:rPr>
          <w:rFonts w:hint="eastAsia" w:ascii="Times New Roman" w:hAnsi="Times New Roman"/>
        </w:rPr>
        <w:t>5000天以及7300天</w:t>
      </w:r>
      <w:r>
        <w:rPr>
          <w:rFonts w:ascii="Times New Roman" w:hAnsi="Times New Roman"/>
        </w:rPr>
        <w:t>后</w:t>
      </w:r>
      <w:r>
        <w:rPr>
          <w:rFonts w:hint="eastAsia" w:ascii="Times New Roman" w:hAnsi="Times New Roman"/>
        </w:rPr>
        <w:t>污染晕</w:t>
      </w:r>
      <w:r>
        <w:rPr>
          <w:rFonts w:ascii="Times New Roman" w:hAnsi="Times New Roman"/>
        </w:rPr>
        <w:t>的迁移距离及影响面积。</w:t>
      </w:r>
      <w:r>
        <w:rPr>
          <w:rFonts w:hint="eastAsia" w:ascii="Times New Roman" w:hAnsi="Times New Roman"/>
        </w:rPr>
        <w:t>模拟预测结果见表5.2-16以及图5.2-16至图5.2-19。</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表5.2-16  净化污水处理站沉降池石油类污染晕扩散统计表</w:t>
      </w:r>
    </w:p>
    <w:tbl>
      <w:tblPr>
        <w:tblStyle w:val="18"/>
        <w:tblW w:w="9000" w:type="dxa"/>
        <w:jc w:val="center"/>
        <w:tblLayout w:type="fixed"/>
        <w:tblCellMar>
          <w:top w:w="0" w:type="dxa"/>
          <w:left w:w="108" w:type="dxa"/>
          <w:bottom w:w="0" w:type="dxa"/>
          <w:right w:w="108" w:type="dxa"/>
        </w:tblCellMar>
      </w:tblPr>
      <w:tblGrid>
        <w:gridCol w:w="3084"/>
        <w:gridCol w:w="2977"/>
        <w:gridCol w:w="2939"/>
      </w:tblGrid>
      <w:tr>
        <w:tblPrEx>
          <w:tblCellMar>
            <w:top w:w="0" w:type="dxa"/>
            <w:left w:w="108" w:type="dxa"/>
            <w:bottom w:w="0" w:type="dxa"/>
            <w:right w:w="108" w:type="dxa"/>
          </w:tblCellMar>
        </w:tblPrEx>
        <w:trPr>
          <w:trHeight w:val="375" w:hRule="atLeast"/>
          <w:jc w:val="center"/>
        </w:trPr>
        <w:tc>
          <w:tcPr>
            <w:tcW w:w="3085" w:type="dxa"/>
            <w:tcBorders>
              <w:top w:val="single" w:color="000000" w:sz="4" w:space="0"/>
              <w:left w:val="single" w:color="000000" w:sz="4" w:space="0"/>
              <w:bottom w:val="nil"/>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时间（天）</w:t>
            </w:r>
            <w:r>
              <w:rPr>
                <w:rFonts w:ascii="Times New Roman" w:hAnsi="Times New Roman"/>
                <w:sz w:val="21"/>
              </w:rPr>
              <w:t xml:space="preserve">               </w:t>
            </w:r>
          </w:p>
        </w:tc>
        <w:tc>
          <w:tcPr>
            <w:tcW w:w="2978"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下游超标运移最大距离（</w:t>
            </w:r>
            <w:r>
              <w:rPr>
                <w:rFonts w:ascii="Times New Roman" w:hAnsi="Times New Roman"/>
                <w:sz w:val="21"/>
              </w:rPr>
              <w:t>m</w:t>
            </w:r>
            <w:r>
              <w:rPr>
                <w:rFonts w:hint="eastAsia" w:ascii="Times New Roman" w:hAnsi="Times New Roman"/>
                <w:sz w:val="21"/>
              </w:rPr>
              <w:t>）</w:t>
            </w:r>
          </w:p>
        </w:tc>
        <w:tc>
          <w:tcPr>
            <w:tcW w:w="2940"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污染晕面积（</w:t>
            </w:r>
            <w:r>
              <w:rPr>
                <w:rFonts w:ascii="Times New Roman" w:hAnsi="Times New Roman"/>
                <w:sz w:val="21"/>
              </w:rPr>
              <w:t>hm</w:t>
            </w:r>
            <w:r>
              <w:rPr>
                <w:rFonts w:ascii="Times New Roman" w:hAnsi="Times New Roman"/>
                <w:sz w:val="21"/>
                <w:vertAlign w:val="superscript"/>
              </w:rPr>
              <w:t>2</w:t>
            </w:r>
            <w:r>
              <w:rPr>
                <w:rFonts w:hint="eastAsia" w:ascii="Times New Roman" w:hAnsi="Times New Roman"/>
                <w:sz w:val="21"/>
              </w:rPr>
              <w:t>）</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87.96</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0.54</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171.30</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0.86</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5000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268.52</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3.32</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7300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324.07</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4.04</w:t>
            </w:r>
          </w:p>
        </w:tc>
      </w:tr>
    </w:tbl>
    <w:p>
      <w:pPr>
        <w:snapToGrid w:val="0"/>
        <w:spacing w:before="156" w:beforeLines="50" w:line="240" w:lineRule="auto"/>
        <w:ind w:firstLine="0" w:firstLineChars="0"/>
        <w:jc w:val="center"/>
        <w:rPr>
          <w:rFonts w:ascii="Times New Roman" w:hAnsi="Times New Roman"/>
          <w:b/>
          <w:bCs/>
          <w:sz w:val="21"/>
        </w:rPr>
      </w:pPr>
    </w:p>
    <w:p>
      <w:pPr>
        <w:ind w:firstLine="0" w:firstLineChars="0"/>
        <w:jc w:val="center"/>
      </w:pPr>
      <w:r>
        <w:rPr>
          <w:rFonts w:hint="eastAsia"/>
        </w:rPr>
        <w:drawing>
          <wp:inline distT="0" distB="0" distL="0" distR="0">
            <wp:extent cx="5038725" cy="3850640"/>
            <wp:effectExtent l="0" t="0" r="0" b="0"/>
            <wp:docPr id="49" name="图片 49" descr="1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00天"/>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038725" cy="3851026"/>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图5.2-16  石油类100天迁移预测图</w:t>
      </w:r>
    </w:p>
    <w:p>
      <w:pPr>
        <w:ind w:firstLine="0" w:firstLineChars="0"/>
        <w:jc w:val="center"/>
      </w:pPr>
      <w:r>
        <w:rPr>
          <w:rFonts w:hint="eastAsia"/>
        </w:rPr>
        <w:drawing>
          <wp:inline distT="0" distB="0" distL="0" distR="0">
            <wp:extent cx="5153025" cy="3950970"/>
            <wp:effectExtent l="0" t="0" r="0" b="0"/>
            <wp:docPr id="48" name="图片 48" descr="10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000天"/>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153025" cy="3951259"/>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图5.2-17  石油类1000天迁移预测图</w:t>
      </w:r>
    </w:p>
    <w:p>
      <w:pPr>
        <w:ind w:firstLine="0" w:firstLineChars="0"/>
        <w:jc w:val="center"/>
      </w:pPr>
      <w:r>
        <w:rPr>
          <w:rFonts w:hint="eastAsia"/>
        </w:rPr>
        <w:drawing>
          <wp:inline distT="0" distB="0" distL="0" distR="0">
            <wp:extent cx="5210175" cy="3990340"/>
            <wp:effectExtent l="0" t="0" r="0" b="0"/>
            <wp:docPr id="47" name="图片 47" descr="36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600天"/>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210175" cy="3990772"/>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1"/>
        </w:rPr>
      </w:pPr>
      <w:r>
        <w:rPr>
          <w:rFonts w:hint="eastAsia" w:ascii="Times New Roman" w:hAnsi="Times New Roman"/>
          <w:b/>
          <w:sz w:val="21"/>
        </w:rPr>
        <w:t>图5.2-18  石油类5000天迁移预测图</w:t>
      </w:r>
    </w:p>
    <w:p>
      <w:pPr>
        <w:ind w:firstLine="0" w:firstLineChars="0"/>
        <w:jc w:val="center"/>
      </w:pPr>
      <w:r>
        <w:rPr>
          <w:rFonts w:hint="eastAsia"/>
        </w:rPr>
        <w:drawing>
          <wp:inline distT="0" distB="0" distL="0" distR="0">
            <wp:extent cx="5257800" cy="4026535"/>
            <wp:effectExtent l="0" t="0" r="0" b="0"/>
            <wp:docPr id="46" name="图片 46" descr="5000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000天"/>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57800" cy="4026660"/>
                    </a:xfrm>
                    <a:prstGeom prst="rect">
                      <a:avLst/>
                    </a:prstGeom>
                    <a:noFill/>
                    <a:ln>
                      <a:noFill/>
                    </a:ln>
                  </pic:spPr>
                </pic:pic>
              </a:graphicData>
            </a:graphic>
          </wp:inline>
        </w:drawing>
      </w:r>
    </w:p>
    <w:p>
      <w:pPr>
        <w:spacing w:after="156" w:afterLines="50" w:line="240" w:lineRule="auto"/>
        <w:ind w:firstLine="0" w:firstLineChars="0"/>
        <w:jc w:val="center"/>
      </w:pPr>
      <w:r>
        <w:rPr>
          <w:rFonts w:hint="eastAsia" w:ascii="Times New Roman" w:hAnsi="Times New Roman"/>
          <w:b/>
          <w:sz w:val="21"/>
        </w:rPr>
        <w:t>图5.2-19  石油类7300天迁移预测图</w:t>
      </w:r>
    </w:p>
    <w:p>
      <w:pPr>
        <w:ind w:firstLine="480"/>
        <w:rPr>
          <w:rFonts w:ascii="Times New Roman" w:hAnsi="Times New Roman"/>
        </w:rPr>
      </w:pPr>
      <w:r>
        <w:rPr>
          <w:rFonts w:hint="eastAsia" w:ascii="Times New Roman" w:hAnsi="Times New Roman"/>
        </w:rPr>
        <w:t>③运营期LX-104井场蒸发污水处理站集水池生产废水污染预测</w:t>
      </w:r>
    </w:p>
    <w:p>
      <w:pPr>
        <w:ind w:firstLine="480"/>
        <w:rPr>
          <w:rFonts w:ascii="Times New Roman" w:hAnsi="Times New Roman"/>
        </w:rPr>
      </w:pPr>
      <w:r>
        <w:rPr>
          <w:rFonts w:hint="eastAsia" w:ascii="Times New Roman" w:hAnsi="Times New Roman"/>
        </w:rPr>
        <w:t>运营期净化污水处理站集水池生产废水的主要污染物为COD、石油类等，特征污染物为石油类。倘若集水池底部出现裂隙，会使储存在其中的废水下渗，从而污染潜水含水层。本次模拟不考虑包气带垂向运动和吸附、过滤等作用，同时不考虑污染物在地下水中的化学反应，</w:t>
      </w:r>
      <w:r>
        <w:rPr>
          <w:rFonts w:ascii="Times New Roman" w:hAnsi="Times New Roman"/>
        </w:rPr>
        <w:t>纵向弥散系数取经验值10m</w:t>
      </w:r>
      <w:r>
        <w:rPr>
          <w:rFonts w:ascii="Times New Roman" w:hAnsi="Times New Roman"/>
          <w:vertAlign w:val="superscript"/>
        </w:rPr>
        <w:t>2</w:t>
      </w:r>
      <w:r>
        <w:rPr>
          <w:rFonts w:ascii="Times New Roman" w:hAnsi="Times New Roman"/>
        </w:rPr>
        <w:t>/d</w:t>
      </w:r>
      <w:r>
        <w:rPr>
          <w:rFonts w:hint="eastAsia" w:ascii="Times New Roman" w:hAnsi="Times New Roman"/>
        </w:rPr>
        <w:t>。运</w:t>
      </w:r>
      <w:r>
        <w:rPr>
          <w:rFonts w:ascii="Times New Roman" w:hAnsi="Times New Roman"/>
        </w:rPr>
        <w:t>用</w:t>
      </w:r>
      <w:r>
        <w:rPr>
          <w:rFonts w:hint="eastAsia" w:ascii="Times New Roman" w:hAnsi="Times New Roman"/>
        </w:rPr>
        <w:t xml:space="preserve">Visual </w:t>
      </w:r>
      <w:r>
        <w:rPr>
          <w:rFonts w:ascii="Times New Roman" w:hAnsi="Times New Roman"/>
        </w:rPr>
        <w:t>Modflow</w:t>
      </w:r>
      <w:r>
        <w:rPr>
          <w:rFonts w:hint="eastAsia" w:ascii="Times New Roman" w:hAnsi="Times New Roman"/>
        </w:rPr>
        <w:t>中MT3DMS程序</w:t>
      </w:r>
      <w:r>
        <w:rPr>
          <w:rFonts w:ascii="Times New Roman" w:hAnsi="Times New Roman"/>
        </w:rPr>
        <w:t>预测</w:t>
      </w:r>
      <w:r>
        <w:rPr>
          <w:rFonts w:hint="eastAsia" w:ascii="Times New Roman" w:hAnsi="Times New Roman"/>
        </w:rPr>
        <w:t>污染物</w:t>
      </w:r>
      <w:r>
        <w:rPr>
          <w:rFonts w:ascii="Times New Roman" w:hAnsi="Times New Roman"/>
        </w:rPr>
        <w:t>进入目标含水层后，1</w:t>
      </w:r>
      <w:r>
        <w:rPr>
          <w:rFonts w:hint="eastAsia" w:ascii="Times New Roman" w:hAnsi="Times New Roman"/>
        </w:rPr>
        <w:t>00天</w:t>
      </w:r>
      <w:r>
        <w:rPr>
          <w:rFonts w:ascii="Times New Roman" w:hAnsi="Times New Roman"/>
        </w:rPr>
        <w:t>、10</w:t>
      </w:r>
      <w:r>
        <w:rPr>
          <w:rFonts w:hint="eastAsia" w:ascii="Times New Roman" w:hAnsi="Times New Roman"/>
        </w:rPr>
        <w:t>00天</w:t>
      </w:r>
      <w:r>
        <w:rPr>
          <w:rFonts w:ascii="Times New Roman" w:hAnsi="Times New Roman"/>
        </w:rPr>
        <w:t>、</w:t>
      </w:r>
      <w:r>
        <w:rPr>
          <w:rFonts w:hint="eastAsia" w:ascii="Times New Roman" w:hAnsi="Times New Roman"/>
        </w:rPr>
        <w:t>5000天以及7300天</w:t>
      </w:r>
      <w:r>
        <w:rPr>
          <w:rFonts w:ascii="Times New Roman" w:hAnsi="Times New Roman"/>
        </w:rPr>
        <w:t>后</w:t>
      </w:r>
      <w:r>
        <w:rPr>
          <w:rFonts w:hint="eastAsia" w:ascii="Times New Roman" w:hAnsi="Times New Roman"/>
        </w:rPr>
        <w:t>污染晕</w:t>
      </w:r>
      <w:r>
        <w:rPr>
          <w:rFonts w:ascii="Times New Roman" w:hAnsi="Times New Roman"/>
        </w:rPr>
        <w:t>的迁移距离及影响面积。</w:t>
      </w:r>
      <w:r>
        <w:rPr>
          <w:rFonts w:hint="eastAsia" w:ascii="Times New Roman" w:hAnsi="Times New Roman"/>
        </w:rPr>
        <w:t>模拟预测结果见表5.2-17。</w:t>
      </w:r>
    </w:p>
    <w:p>
      <w:pPr>
        <w:snapToGrid w:val="0"/>
        <w:spacing w:before="156" w:beforeLines="50" w:line="240" w:lineRule="auto"/>
        <w:ind w:firstLine="0" w:firstLineChars="0"/>
        <w:jc w:val="center"/>
        <w:rPr>
          <w:rFonts w:ascii="Times New Roman" w:hAnsi="Times New Roman"/>
          <w:b/>
          <w:bCs/>
          <w:sz w:val="21"/>
        </w:rPr>
      </w:pPr>
      <w:r>
        <w:rPr>
          <w:rFonts w:hint="eastAsia" w:ascii="Times New Roman" w:hAnsi="Times New Roman"/>
          <w:b/>
          <w:bCs/>
          <w:sz w:val="21"/>
        </w:rPr>
        <w:t>表5.2-17 蒸发污水处理站集水池石油类污染晕扩散统计表</w:t>
      </w:r>
    </w:p>
    <w:tbl>
      <w:tblPr>
        <w:tblStyle w:val="18"/>
        <w:tblW w:w="0" w:type="auto"/>
        <w:jc w:val="center"/>
        <w:tblLayout w:type="fixed"/>
        <w:tblCellMar>
          <w:top w:w="0" w:type="dxa"/>
          <w:left w:w="108" w:type="dxa"/>
          <w:bottom w:w="0" w:type="dxa"/>
          <w:right w:w="108" w:type="dxa"/>
        </w:tblCellMar>
      </w:tblPr>
      <w:tblGrid>
        <w:gridCol w:w="3085"/>
        <w:gridCol w:w="2978"/>
        <w:gridCol w:w="2940"/>
      </w:tblGrid>
      <w:tr>
        <w:tblPrEx>
          <w:tblCellMar>
            <w:top w:w="0" w:type="dxa"/>
            <w:left w:w="108" w:type="dxa"/>
            <w:bottom w:w="0" w:type="dxa"/>
            <w:right w:w="108" w:type="dxa"/>
          </w:tblCellMar>
        </w:tblPrEx>
        <w:trPr>
          <w:trHeight w:val="375" w:hRule="atLeast"/>
          <w:jc w:val="center"/>
        </w:trPr>
        <w:tc>
          <w:tcPr>
            <w:tcW w:w="3085" w:type="dxa"/>
            <w:tcBorders>
              <w:top w:val="single" w:color="000000" w:sz="4" w:space="0"/>
              <w:left w:val="single" w:color="000000" w:sz="4" w:space="0"/>
              <w:bottom w:val="nil"/>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时间（天）</w:t>
            </w:r>
            <w:r>
              <w:rPr>
                <w:rFonts w:ascii="Times New Roman" w:hAnsi="Times New Roman"/>
                <w:sz w:val="21"/>
              </w:rPr>
              <w:t xml:space="preserve">               </w:t>
            </w:r>
          </w:p>
        </w:tc>
        <w:tc>
          <w:tcPr>
            <w:tcW w:w="2978"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下游超标运移最大距离（</w:t>
            </w:r>
            <w:r>
              <w:rPr>
                <w:rFonts w:ascii="Times New Roman" w:hAnsi="Times New Roman"/>
                <w:sz w:val="21"/>
              </w:rPr>
              <w:t>m</w:t>
            </w:r>
            <w:r>
              <w:rPr>
                <w:rFonts w:hint="eastAsia" w:ascii="Times New Roman" w:hAnsi="Times New Roman"/>
                <w:sz w:val="21"/>
              </w:rPr>
              <w:t>）</w:t>
            </w:r>
          </w:p>
        </w:tc>
        <w:tc>
          <w:tcPr>
            <w:tcW w:w="2940" w:type="dxa"/>
            <w:tcBorders>
              <w:top w:val="single" w:color="000000" w:sz="4" w:space="0"/>
              <w:left w:val="single" w:color="000000" w:sz="4" w:space="0"/>
              <w:bottom w:val="single" w:color="auto" w:sz="4" w:space="0"/>
              <w:right w:val="single" w:color="000000"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污染晕面积（</w:t>
            </w:r>
            <w:r>
              <w:rPr>
                <w:rFonts w:ascii="Times New Roman" w:hAnsi="Times New Roman"/>
                <w:sz w:val="21"/>
              </w:rPr>
              <w:t>hm</w:t>
            </w:r>
            <w:r>
              <w:rPr>
                <w:rFonts w:ascii="Times New Roman" w:hAnsi="Times New Roman"/>
                <w:sz w:val="21"/>
                <w:vertAlign w:val="superscript"/>
              </w:rPr>
              <w:t>2</w:t>
            </w:r>
            <w:r>
              <w:rPr>
                <w:rFonts w:hint="eastAsia" w:ascii="Times New Roman" w:hAnsi="Times New Roman"/>
                <w:sz w:val="21"/>
              </w:rPr>
              <w:t>）</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92.75</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0.68</w:t>
            </w:r>
          </w:p>
        </w:tc>
      </w:tr>
      <w:tr>
        <w:tblPrEx>
          <w:tblCellMar>
            <w:top w:w="0" w:type="dxa"/>
            <w:left w:w="108" w:type="dxa"/>
            <w:bottom w:w="0" w:type="dxa"/>
            <w:right w:w="108" w:type="dxa"/>
          </w:tblCellMar>
        </w:tblPrEx>
        <w:trPr>
          <w:trHeight w:val="268"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193.56</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1.27</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5000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303.87</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3.76</w:t>
            </w:r>
          </w:p>
        </w:tc>
      </w:tr>
      <w:tr>
        <w:tblPrEx>
          <w:tblCellMar>
            <w:top w:w="0" w:type="dxa"/>
            <w:left w:w="108" w:type="dxa"/>
            <w:bottom w:w="0" w:type="dxa"/>
            <w:right w:w="108" w:type="dxa"/>
          </w:tblCellMar>
        </w:tblPrEx>
        <w:trPr>
          <w:trHeight w:val="296" w:hRule="atLeast"/>
          <w:jc w:val="center"/>
        </w:trPr>
        <w:tc>
          <w:tcPr>
            <w:tcW w:w="308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7300</w:t>
            </w:r>
          </w:p>
        </w:tc>
        <w:tc>
          <w:tcPr>
            <w:tcW w:w="2978"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335.68</w:t>
            </w:r>
          </w:p>
        </w:tc>
        <w:tc>
          <w:tcPr>
            <w:tcW w:w="2940" w:type="dxa"/>
            <w:tcBorders>
              <w:top w:val="single" w:color="000000" w:sz="4" w:space="0"/>
              <w:left w:val="single" w:color="000000" w:sz="4" w:space="0"/>
              <w:bottom w:val="single" w:color="000000" w:sz="4" w:space="0"/>
              <w:right w:val="single" w:color="000000" w:sz="4" w:space="0"/>
            </w:tcBorders>
            <w:vAlign w:val="bottom"/>
          </w:tcPr>
          <w:p>
            <w:pPr>
              <w:spacing w:line="240" w:lineRule="auto"/>
              <w:ind w:firstLine="0" w:firstLineChars="0"/>
              <w:jc w:val="center"/>
              <w:rPr>
                <w:rFonts w:ascii="Times New Roman" w:hAnsi="Times New Roman"/>
                <w:sz w:val="21"/>
              </w:rPr>
            </w:pPr>
            <w:r>
              <w:rPr>
                <w:rFonts w:ascii="Times New Roman" w:hAnsi="Times New Roman"/>
                <w:sz w:val="21"/>
              </w:rPr>
              <w:t>4.16</w:t>
            </w:r>
          </w:p>
        </w:tc>
      </w:tr>
    </w:tbl>
    <w:p>
      <w:pPr>
        <w:ind w:firstLine="480"/>
        <w:rPr>
          <w:rFonts w:ascii="Times New Roman" w:hAnsi="Times New Roman"/>
        </w:rPr>
      </w:pPr>
      <w:r>
        <w:rPr>
          <w:rFonts w:hint="eastAsia" w:ascii="Times New Roman" w:hAnsi="Times New Roman"/>
        </w:rPr>
        <w:t>（4）运营期地下水、水源地的影响评价</w:t>
      </w:r>
    </w:p>
    <w:p>
      <w:pPr>
        <w:ind w:firstLine="480"/>
        <w:rPr>
          <w:rFonts w:ascii="Times New Roman" w:hAnsi="Times New Roman"/>
        </w:rPr>
      </w:pPr>
      <w:r>
        <w:rPr>
          <w:rFonts w:hint="eastAsia" w:ascii="Times New Roman" w:hAnsi="Times New Roman"/>
        </w:rPr>
        <w:t>经分析，本项目运营期对地下水的影响主要体现在污废水的处理过程。比如运营期办公生活区生活污水处理站集水池，LX-103井场布设的处理生产废水的净化污水处理站，以及LX-104井场布设的蒸发污水处理站等。对地埋式的、发生渗漏后难被发现的或者污染可能性较大的设施场所通过数值模拟的方法进行重点评价，对其他的可能的污染源进行分析评价。现分述如下：</w:t>
      </w:r>
    </w:p>
    <w:p>
      <w:pPr>
        <w:ind w:firstLine="480"/>
        <w:rPr>
          <w:rFonts w:ascii="Times New Roman" w:hAnsi="Times New Roman"/>
        </w:rPr>
      </w:pPr>
      <w:r>
        <w:rPr>
          <w:rFonts w:hint="eastAsia" w:ascii="Times New Roman" w:hAnsi="Times New Roman"/>
        </w:rPr>
        <w:t>①运营期办公生活区生活污水处理站集水池底板破裂对地下水的影响评价</w:t>
      </w:r>
    </w:p>
    <w:p>
      <w:pPr>
        <w:ind w:firstLine="480"/>
        <w:rPr>
          <w:rFonts w:ascii="Times New Roman" w:hAnsi="Times New Roman"/>
        </w:rPr>
      </w:pPr>
      <w:r>
        <w:rPr>
          <w:rFonts w:hint="eastAsia" w:ascii="Times New Roman" w:hAnsi="Times New Roman"/>
        </w:rPr>
        <w:t>本次模拟了办公生活区生活污水处理站集水池在事故发生后的100天、1000天、5000天以及服务年限7300天四个时间节点对地下水的影响情况。由模拟预测结果可知：在不考虑包气带垂向运动以及化学反应和吸附的作用下，污染晕的范围在逐步扩大，顺着地下水流向的距离也在不断增大，由于设定为连续污染，污染晕最大浓度在不断扩大。</w:t>
      </w:r>
    </w:p>
    <w:p>
      <w:pPr>
        <w:ind w:firstLine="480"/>
        <w:rPr>
          <w:rFonts w:ascii="Times New Roman" w:hAnsi="Times New Roman"/>
        </w:rPr>
      </w:pPr>
      <w:r>
        <w:rPr>
          <w:rFonts w:hint="eastAsia" w:ascii="Times New Roman" w:hAnsi="Times New Roman"/>
        </w:rPr>
        <w:t>由模拟结果可知：在污染物进入地下水后的100天、1000天以及5000天三个时间段，污染晕范围始终没有波及到赵家坪水源地潜水井二级保护区，但在污染后的1000天，污染晕的边缘可能会影响到企业自备井（#1）。该井开采三叠系砂岩裂隙水及第四系松散孔隙潜水，属于混采型水井，用于地下水水质检测，以后可能作为办公区生活用水。由于本次模拟没有考虑化学反应、吸附等地下水净化作用，实际情况要好于模拟结果，但也不能解除生活污水处理站对自备井的威胁。因此，运营期公生活区生活污水处理站集水池事故状态下池底破裂对水源地影响较小，对企业自备井有一定的风险。建设单位应采取严格的环保措施以及跟踪监测措施后，项目可行。</w:t>
      </w:r>
    </w:p>
    <w:p>
      <w:pPr>
        <w:ind w:firstLine="480"/>
        <w:rPr>
          <w:rFonts w:ascii="Times New Roman" w:hAnsi="Times New Roman"/>
        </w:rPr>
      </w:pPr>
      <w:r>
        <w:rPr>
          <w:rFonts w:hint="eastAsia" w:ascii="Times New Roman" w:hAnsi="Times New Roman"/>
        </w:rPr>
        <w:t>②运营期LX-103井场净化污水处理站沉降池底板破裂对地下水的影响评价</w:t>
      </w:r>
    </w:p>
    <w:p>
      <w:pPr>
        <w:ind w:firstLine="480"/>
        <w:rPr>
          <w:rFonts w:ascii="Times New Roman" w:hAnsi="Times New Roman"/>
        </w:rPr>
      </w:pPr>
      <w:r>
        <w:rPr>
          <w:rFonts w:hint="eastAsia" w:ascii="Times New Roman" w:hAnsi="Times New Roman"/>
        </w:rPr>
        <w:t>本次模拟了LX-103井场净化污水处理站沉降池在事故发生后的100天、1000天、5000天以及服务年限7300天四个时间节点对地下水的影响情况。由模拟预测结果可知：在不考虑包气带垂向运动以及化学反应和吸附的作用下，污染晕的范围在逐步扩大，顺着地下水流向的距离也在不断增大，由于设定为连续污染，污染晕最大浓度在不断扩大。</w:t>
      </w:r>
    </w:p>
    <w:p>
      <w:pPr>
        <w:ind w:firstLine="480"/>
        <w:rPr>
          <w:rFonts w:ascii="Times New Roman" w:hAnsi="Times New Roman"/>
        </w:rPr>
      </w:pPr>
      <w:r>
        <w:rPr>
          <w:rFonts w:hint="eastAsia" w:ascii="Times New Roman" w:hAnsi="Times New Roman"/>
        </w:rPr>
        <w:t>由模拟结果可知：在污染物进入地下水后的各个时间段，污染晕范围始终没有波及到各村分散居民用水水源以及赵家坪水源地潜水井二级保护区，加之本次模拟没有考虑化学反应、吸附等地下水净化作用，实际情况要好于模拟结果，因此，运营期污水处理站沉降池事故状态下池底破裂对地下水及水源地影响较小，项目可行。</w:t>
      </w:r>
    </w:p>
    <w:p>
      <w:pPr>
        <w:ind w:firstLine="480"/>
        <w:rPr>
          <w:rFonts w:ascii="Times New Roman" w:hAnsi="Times New Roman"/>
        </w:rPr>
      </w:pPr>
      <w:r>
        <w:rPr>
          <w:rFonts w:hint="eastAsia" w:ascii="Times New Roman" w:hAnsi="Times New Roman"/>
        </w:rPr>
        <w:t>③运营期LX-104井场蒸发污水处理站集水池底板破裂对地下水的影响评价</w:t>
      </w:r>
    </w:p>
    <w:p>
      <w:pPr>
        <w:ind w:firstLine="480"/>
        <w:rPr>
          <w:rFonts w:ascii="Times New Roman" w:hAnsi="Times New Roman"/>
        </w:rPr>
      </w:pPr>
      <w:r>
        <w:rPr>
          <w:rFonts w:hint="eastAsia" w:ascii="Times New Roman" w:hAnsi="Times New Roman"/>
        </w:rPr>
        <w:t>本次模拟了LX-104井场蒸发污水处理站集水池在事故发生后的100天、1000天、5000天以及服务年限7300天四个时间节点对地下水的影响情况。由模拟预测结果可知：在不考虑包气带垂向运动以及化学反应和吸附的作用下，污染晕的范围在逐步扩大，顺着地下水流向的距离也在不断增大，由于设定为连续污染，污染晕最大浓度在不断扩大。</w:t>
      </w:r>
    </w:p>
    <w:p>
      <w:pPr>
        <w:ind w:firstLine="480"/>
        <w:rPr>
          <w:rFonts w:ascii="Times New Roman" w:hAnsi="Times New Roman"/>
        </w:rPr>
      </w:pPr>
      <w:r>
        <w:rPr>
          <w:rFonts w:hint="eastAsia" w:ascii="Times New Roman" w:hAnsi="Times New Roman"/>
        </w:rPr>
        <w:t>由模拟结果可知：在污染物进入地下水后的各个时间段，污染晕范围始终没有波及到各村分散居民用水水源以及赵家坪水源地潜水井二级保护区，加之本次模拟没有考虑化学反应、吸附等地下水净化作用，实际情况要好于模拟结果，因此，运营期污水处理站集水池事故状态下池底破裂对地下水及水源地影响较小，项目可行。</w:t>
      </w:r>
    </w:p>
    <w:p>
      <w:pPr>
        <w:ind w:firstLine="480"/>
        <w:rPr>
          <w:rFonts w:ascii="Times New Roman" w:hAnsi="Times New Roman"/>
        </w:rPr>
      </w:pPr>
      <w:r>
        <w:rPr>
          <w:rFonts w:hint="eastAsia" w:ascii="Times New Roman" w:hAnsi="Times New Roman"/>
        </w:rPr>
        <w:t>④采气管线、闭排罐等设施对地下水的影响评价</w:t>
      </w:r>
    </w:p>
    <w:p>
      <w:pPr>
        <w:ind w:firstLine="480"/>
        <w:rPr>
          <w:rFonts w:ascii="Times New Roman" w:hAnsi="Times New Roman"/>
        </w:rPr>
      </w:pPr>
      <w:r>
        <w:rPr>
          <w:rFonts w:hint="eastAsia" w:ascii="Times New Roman" w:hAnsi="Times New Roman"/>
        </w:rPr>
        <w:t>在水气输送过程中，采气管线、污水管线等局部破裂会导致废水泄漏或者局部腐蚀，出现跑、冒、漏、滴的现象，从而可能污染地下水。但是，由于各井场以及集气站都设有计量阀，能够在24小时内发现问题并及时补救，所以对地下水的污染是短暂的、局部的、有限的，对地下水环境影响轻微，项目可行。</w:t>
      </w:r>
    </w:p>
    <w:p>
      <w:pPr>
        <w:ind w:firstLine="480"/>
        <w:rPr>
          <w:rFonts w:ascii="Times New Roman" w:hAnsi="Times New Roman"/>
        </w:rPr>
      </w:pPr>
      <w:r>
        <w:rPr>
          <w:rFonts w:hint="eastAsia" w:ascii="Times New Roman" w:hAnsi="Times New Roman"/>
        </w:rPr>
        <w:t>闭排罐为撬装式，倘若罐体意外破裂，石油将会流向地面。但是，罐体泄漏会被工作人员及时发现，并采取相应补救措施，而且罐体布置场地地面做了防渗硬化处理，对地下水污染的可能性很小，对地下水环境影响轻微，故项目可行。</w:t>
      </w:r>
    </w:p>
    <w:p>
      <w:pPr>
        <w:ind w:firstLine="480"/>
        <w:rPr>
          <w:rFonts w:ascii="Times New Roman" w:hAnsi="Times New Roman"/>
        </w:rPr>
      </w:pPr>
      <w:r>
        <w:rPr>
          <w:rFonts w:hint="eastAsia" w:ascii="Times New Roman" w:hAnsi="Times New Roman"/>
        </w:rPr>
        <w:t>综上所述，项目运营期事故状态下污染晕浓度很高，但基本上都没有波及到地下水环境保护目标。在采取一些积极的环保措施后，项目在地下水环境方面是可行的。</w:t>
      </w:r>
    </w:p>
    <w:p>
      <w:pPr>
        <w:ind w:firstLine="0" w:firstLineChars="0"/>
        <w:outlineLvl w:val="2"/>
        <w:rPr>
          <w:rFonts w:ascii="Times New Roman" w:hAnsi="Times New Roman"/>
          <w:b/>
          <w:sz w:val="28"/>
          <w:szCs w:val="28"/>
        </w:rPr>
      </w:pPr>
      <w:bookmarkStart w:id="92" w:name="_Toc524624621"/>
      <w:r>
        <w:rPr>
          <w:rFonts w:hint="eastAsia" w:ascii="Times New Roman" w:hAnsi="Times New Roman"/>
          <w:b/>
          <w:sz w:val="28"/>
          <w:szCs w:val="28"/>
        </w:rPr>
        <w:t>5.2.4 运营期噪声影响分析</w:t>
      </w:r>
      <w:bookmarkEnd w:id="92"/>
    </w:p>
    <w:p>
      <w:pPr>
        <w:ind w:firstLine="480"/>
        <w:rPr>
          <w:rFonts w:ascii="Times New Roman" w:hAnsi="Times New Roman"/>
        </w:rPr>
      </w:pPr>
      <w:r>
        <w:rPr>
          <w:rFonts w:hint="eastAsia" w:ascii="Times New Roman" w:hAnsi="Times New Roman"/>
        </w:rPr>
        <w:t>（1）预测模式</w:t>
      </w:r>
    </w:p>
    <w:p>
      <w:pPr>
        <w:ind w:firstLine="480"/>
        <w:rPr>
          <w:rFonts w:ascii="Times New Roman" w:hAnsi="宋体"/>
          <w:szCs w:val="24"/>
          <w:lang w:val="en-GB"/>
        </w:rPr>
      </w:pPr>
      <w:r>
        <w:rPr>
          <w:rFonts w:hint="eastAsia" w:hAnsi="宋体"/>
          <w:lang w:val="en-GB"/>
        </w:rPr>
        <w:t>影响声波从声源到受声点传播的因素有很多，它们主要包括传播发散、气温、平均速度、遮挡物状况、植被状况、风向、风速等，其中对声波的传播影响最大的是与声源到受声点的距离有关的传播发散，即声波随距离的衰减。</w:t>
      </w:r>
    </w:p>
    <w:p>
      <w:pPr>
        <w:ind w:firstLine="480"/>
        <w:rPr>
          <w:rFonts w:hAnsi="Times New Roman"/>
          <w:lang w:val="en-GB"/>
        </w:rPr>
      </w:pPr>
      <w:r>
        <w:rPr>
          <w:rFonts w:hint="eastAsia"/>
          <w:lang w:val="en-GB"/>
        </w:rPr>
        <w:t>厂界噪声预测模式</w:t>
      </w:r>
    </w:p>
    <w:p>
      <w:pPr>
        <w:pStyle w:val="8"/>
        <w:spacing w:line="360" w:lineRule="auto"/>
        <w:ind w:firstLine="498" w:firstLineChars="201"/>
        <w:rPr>
          <w:rFonts w:ascii="Times New Roman" w:hAnsi="Times New Roman" w:cs="Times New Roman"/>
          <w:color w:val="auto"/>
          <w:spacing w:val="4"/>
          <w:sz w:val="24"/>
        </w:rPr>
      </w:pPr>
      <w:r>
        <w:rPr>
          <w:rFonts w:hint="eastAsia" w:ascii="Times New Roman" w:cs="Times New Roman"/>
          <w:color w:val="auto"/>
          <w:spacing w:val="4"/>
          <w:sz w:val="24"/>
        </w:rPr>
        <w:t>根据</w:t>
      </w:r>
      <w:r>
        <w:rPr>
          <w:rFonts w:hint="eastAsia" w:ascii="Times New Roman" w:cs="Times New Roman"/>
          <w:color w:val="auto"/>
          <w:sz w:val="24"/>
        </w:rPr>
        <w:t>《环境影响评价技术导则</w:t>
      </w:r>
      <w:r>
        <w:rPr>
          <w:rFonts w:ascii="Times New Roman" w:hAnsi="Times New Roman" w:cs="Times New Roman"/>
          <w:color w:val="auto"/>
          <w:sz w:val="24"/>
        </w:rPr>
        <w:t xml:space="preserve"> </w:t>
      </w:r>
      <w:r>
        <w:rPr>
          <w:rFonts w:hint="eastAsia" w:ascii="Times New Roman" w:cs="Times New Roman"/>
          <w:color w:val="auto"/>
          <w:sz w:val="24"/>
        </w:rPr>
        <w:t>声环境》（</w:t>
      </w:r>
      <w:r>
        <w:rPr>
          <w:rFonts w:ascii="Times New Roman" w:hAnsi="Times New Roman" w:cs="Times New Roman"/>
          <w:color w:val="auto"/>
          <w:sz w:val="24"/>
        </w:rPr>
        <w:t>HJ2.4-2009</w:t>
      </w:r>
      <w:r>
        <w:rPr>
          <w:rFonts w:hint="eastAsia" w:ascii="Times New Roman" w:cs="Times New Roman"/>
          <w:color w:val="auto"/>
          <w:sz w:val="24"/>
        </w:rPr>
        <w:t>）</w:t>
      </w:r>
      <w:r>
        <w:rPr>
          <w:rFonts w:hint="eastAsia" w:ascii="Times New Roman" w:cs="Times New Roman"/>
          <w:color w:val="auto"/>
          <w:spacing w:val="4"/>
          <w:sz w:val="24"/>
        </w:rPr>
        <w:t>推荐的公式：</w:t>
      </w:r>
    </w:p>
    <w:p>
      <w:pPr>
        <w:tabs>
          <w:tab w:val="left" w:pos="0"/>
        </w:tabs>
        <w:ind w:firstLine="2410" w:firstLineChars="972"/>
        <w:rPr>
          <w:rFonts w:ascii="Times New Roman" w:hAnsi="Times New Roman"/>
          <w:spacing w:val="4"/>
        </w:rPr>
      </w:pPr>
      <w:r>
        <w:rPr>
          <w:spacing w:val="4"/>
        </w:rPr>
        <w:t>Lp</w:t>
      </w:r>
      <w:r>
        <w:rPr>
          <w:rFonts w:hint="eastAsia"/>
          <w:spacing w:val="4"/>
        </w:rPr>
        <w:t>（</w:t>
      </w:r>
      <w:r>
        <w:rPr>
          <w:spacing w:val="4"/>
        </w:rPr>
        <w:t>r</w:t>
      </w:r>
      <w:r>
        <w:rPr>
          <w:rFonts w:hint="eastAsia"/>
          <w:spacing w:val="4"/>
        </w:rPr>
        <w:t>）</w:t>
      </w:r>
      <w:r>
        <w:rPr>
          <w:spacing w:val="4"/>
        </w:rPr>
        <w:t>=Lp</w:t>
      </w:r>
      <w:r>
        <w:rPr>
          <w:rFonts w:hint="eastAsia"/>
          <w:spacing w:val="4"/>
        </w:rPr>
        <w:t>（</w:t>
      </w:r>
      <w:r>
        <w:rPr>
          <w:spacing w:val="4"/>
        </w:rPr>
        <w:t>r0</w:t>
      </w:r>
      <w:r>
        <w:rPr>
          <w:rFonts w:hint="eastAsia"/>
          <w:spacing w:val="4"/>
        </w:rPr>
        <w:t>）</w:t>
      </w:r>
      <w:r>
        <w:rPr>
          <w:spacing w:val="4"/>
        </w:rPr>
        <w:t>—</w:t>
      </w:r>
      <w:r>
        <w:rPr>
          <w:rFonts w:hint="eastAsia"/>
          <w:spacing w:val="4"/>
        </w:rPr>
        <w:t>（</w:t>
      </w:r>
      <w:r>
        <w:rPr>
          <w:spacing w:val="4"/>
        </w:rPr>
        <w:t>Adiv+Aatm+Abar+Agr+Amisc</w:t>
      </w:r>
      <w:r>
        <w:rPr>
          <w:rFonts w:hint="eastAsia"/>
          <w:spacing w:val="4"/>
        </w:rPr>
        <w:t>）</w:t>
      </w:r>
    </w:p>
    <w:p>
      <w:pPr>
        <w:tabs>
          <w:tab w:val="left" w:pos="0"/>
        </w:tabs>
        <w:ind w:firstLine="496"/>
        <w:rPr>
          <w:i/>
          <w:spacing w:val="4"/>
          <w:vertAlign w:val="subscript"/>
        </w:rPr>
      </w:pPr>
      <w:r>
        <w:rPr>
          <w:rFonts w:hint="eastAsia"/>
          <w:spacing w:val="4"/>
        </w:rPr>
        <w:t>本次噪声预测计算将从偏保守角度出发，仅考虑声波随距离的衰减</w:t>
      </w:r>
      <w:r>
        <w:rPr>
          <w:i/>
          <w:spacing w:val="4"/>
        </w:rPr>
        <w:t>A</w:t>
      </w:r>
      <w:r>
        <w:rPr>
          <w:i/>
          <w:spacing w:val="4"/>
          <w:vertAlign w:val="subscript"/>
        </w:rPr>
        <w:t>div</w:t>
      </w:r>
    </w:p>
    <w:p>
      <w:pPr>
        <w:tabs>
          <w:tab w:val="left" w:pos="0"/>
        </w:tabs>
        <w:ind w:firstLine="496"/>
        <w:rPr>
          <w:spacing w:val="4"/>
        </w:rPr>
      </w:pPr>
      <w:r>
        <w:rPr>
          <w:rFonts w:hint="eastAsia"/>
          <w:spacing w:val="4"/>
        </w:rPr>
        <w:t>对单个点声源的几何衰减用以下公式计算：</w:t>
      </w:r>
    </w:p>
    <w:p>
      <w:pPr>
        <w:tabs>
          <w:tab w:val="left" w:pos="0"/>
        </w:tabs>
        <w:ind w:firstLine="2410" w:firstLineChars="972"/>
        <w:rPr>
          <w:spacing w:val="4"/>
        </w:rPr>
      </w:pPr>
      <w:r>
        <w:rPr>
          <w:spacing w:val="4"/>
        </w:rPr>
        <w:t>L</w:t>
      </w:r>
      <w:r>
        <w:rPr>
          <w:spacing w:val="4"/>
          <w:vertAlign w:val="subscript"/>
        </w:rPr>
        <w:t>p</w:t>
      </w:r>
      <w:r>
        <w:rPr>
          <w:rFonts w:hint="eastAsia"/>
          <w:spacing w:val="4"/>
        </w:rPr>
        <w:t>（</w:t>
      </w:r>
      <w:r>
        <w:rPr>
          <w:spacing w:val="4"/>
        </w:rPr>
        <w:t>r</w:t>
      </w:r>
      <w:r>
        <w:rPr>
          <w:rFonts w:hint="eastAsia"/>
          <w:spacing w:val="4"/>
        </w:rPr>
        <w:t>）</w:t>
      </w:r>
      <w:r>
        <w:rPr>
          <w:spacing w:val="4"/>
        </w:rPr>
        <w:t>= L</w:t>
      </w:r>
      <w:r>
        <w:rPr>
          <w:spacing w:val="4"/>
          <w:vertAlign w:val="subscript"/>
        </w:rPr>
        <w:t>p</w:t>
      </w:r>
      <w:r>
        <w:rPr>
          <w:rFonts w:hint="eastAsia"/>
          <w:spacing w:val="4"/>
        </w:rPr>
        <w:t>（</w:t>
      </w:r>
      <w:r>
        <w:rPr>
          <w:spacing w:val="4"/>
        </w:rPr>
        <w:t>r</w:t>
      </w:r>
      <w:r>
        <w:rPr>
          <w:spacing w:val="4"/>
          <w:vertAlign w:val="subscript"/>
        </w:rPr>
        <w:t>0</w:t>
      </w:r>
      <w:r>
        <w:rPr>
          <w:rFonts w:hint="eastAsia"/>
          <w:spacing w:val="4"/>
        </w:rPr>
        <w:t>）</w:t>
      </w:r>
      <w:r>
        <w:rPr>
          <w:spacing w:val="4"/>
        </w:rPr>
        <w:t>-20lg(r/r</w:t>
      </w:r>
      <w:r>
        <w:rPr>
          <w:spacing w:val="4"/>
          <w:vertAlign w:val="subscript"/>
        </w:rPr>
        <w:t>0</w:t>
      </w:r>
      <w:r>
        <w:rPr>
          <w:spacing w:val="4"/>
        </w:rPr>
        <w:t>)</w:t>
      </w:r>
    </w:p>
    <w:p>
      <w:pPr>
        <w:tabs>
          <w:tab w:val="left" w:pos="0"/>
        </w:tabs>
        <w:ind w:firstLine="480"/>
        <w:rPr>
          <w:spacing w:val="4"/>
        </w:rPr>
      </w:pPr>
      <w:r>
        <w:drawing>
          <wp:anchor distT="0" distB="0" distL="114300" distR="114300" simplePos="0" relativeHeight="251661312" behindDoc="0" locked="0" layoutInCell="1" allowOverlap="1">
            <wp:simplePos x="0" y="0"/>
            <wp:positionH relativeFrom="column">
              <wp:posOffset>1527810</wp:posOffset>
            </wp:positionH>
            <wp:positionV relativeFrom="paragraph">
              <wp:posOffset>261620</wp:posOffset>
            </wp:positionV>
            <wp:extent cx="1219200" cy="418465"/>
            <wp:effectExtent l="0" t="0" r="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219200" cy="418465"/>
                    </a:xfrm>
                    <a:prstGeom prst="rect">
                      <a:avLst/>
                    </a:prstGeom>
                    <a:noFill/>
                  </pic:spPr>
                </pic:pic>
              </a:graphicData>
            </a:graphic>
          </wp:anchor>
        </w:drawing>
      </w:r>
      <w:r>
        <w:rPr>
          <w:rFonts w:hint="eastAsia"/>
          <w:spacing w:val="4"/>
        </w:rPr>
        <w:t>两个以上的多个噪声源同时存在时，总声级计算公式为：</w:t>
      </w:r>
    </w:p>
    <w:p>
      <w:pPr>
        <w:tabs>
          <w:tab w:val="left" w:pos="0"/>
        </w:tabs>
        <w:ind w:firstLine="496"/>
        <w:rPr>
          <w:spacing w:val="4"/>
        </w:rPr>
      </w:pPr>
    </w:p>
    <w:p>
      <w:pPr>
        <w:tabs>
          <w:tab w:val="left" w:pos="0"/>
        </w:tabs>
        <w:ind w:firstLine="496"/>
        <w:rPr>
          <w:spacing w:val="4"/>
        </w:rPr>
      </w:pPr>
      <w:r>
        <w:rPr>
          <w:rFonts w:hint="eastAsia"/>
          <w:spacing w:val="4"/>
        </w:rPr>
        <w:t>现状监测值与预测贡献值叠加的预测总声级计算公式为：</w:t>
      </w:r>
    </w:p>
    <w:p>
      <w:pPr>
        <w:tabs>
          <w:tab w:val="left" w:pos="0"/>
        </w:tabs>
        <w:ind w:firstLine="480"/>
        <w:rPr>
          <w:spacing w:val="4"/>
        </w:rPr>
      </w:pPr>
      <w:r>
        <w:drawing>
          <wp:anchor distT="0" distB="0" distL="114300" distR="114300" simplePos="0" relativeHeight="251662336" behindDoc="0" locked="0" layoutInCell="1" allowOverlap="1">
            <wp:simplePos x="0" y="0"/>
            <wp:positionH relativeFrom="column">
              <wp:posOffset>1352550</wp:posOffset>
            </wp:positionH>
            <wp:positionV relativeFrom="paragraph">
              <wp:posOffset>45085</wp:posOffset>
            </wp:positionV>
            <wp:extent cx="1623060" cy="243205"/>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623060" cy="243205"/>
                    </a:xfrm>
                    <a:prstGeom prst="rect">
                      <a:avLst/>
                    </a:prstGeom>
                    <a:noFill/>
                  </pic:spPr>
                </pic:pic>
              </a:graphicData>
            </a:graphic>
          </wp:anchor>
        </w:drawing>
      </w:r>
    </w:p>
    <w:p>
      <w:pPr>
        <w:tabs>
          <w:tab w:val="left" w:pos="0"/>
        </w:tabs>
        <w:ind w:firstLine="486" w:firstLineChars="196"/>
        <w:rPr>
          <w:spacing w:val="4"/>
        </w:rPr>
      </w:pPr>
      <w:r>
        <w:rPr>
          <w:rFonts w:hint="eastAsia"/>
          <w:spacing w:val="4"/>
        </w:rPr>
        <w:t>以上式中：</w:t>
      </w:r>
    </w:p>
    <w:p>
      <w:pPr>
        <w:tabs>
          <w:tab w:val="left" w:pos="0"/>
        </w:tabs>
        <w:ind w:firstLine="992" w:firstLineChars="400"/>
        <w:rPr>
          <w:spacing w:val="4"/>
        </w:rPr>
      </w:pPr>
      <w:r>
        <w:rPr>
          <w:i/>
          <w:spacing w:val="4"/>
        </w:rPr>
        <w:t xml:space="preserve">r </w:t>
      </w:r>
      <w:r>
        <w:rPr>
          <w:rFonts w:hint="eastAsia"/>
          <w:spacing w:val="4"/>
        </w:rPr>
        <w:t>：预测点到声源的距离；</w:t>
      </w:r>
    </w:p>
    <w:p>
      <w:pPr>
        <w:tabs>
          <w:tab w:val="left" w:pos="0"/>
        </w:tabs>
        <w:ind w:firstLine="992" w:firstLineChars="400"/>
        <w:rPr>
          <w:spacing w:val="4"/>
        </w:rPr>
      </w:pPr>
      <w:r>
        <w:rPr>
          <w:spacing w:val="4"/>
        </w:rPr>
        <w:t>A</w:t>
      </w:r>
      <w:r>
        <w:rPr>
          <w:spacing w:val="4"/>
          <w:vertAlign w:val="subscript"/>
        </w:rPr>
        <w:t>div</w:t>
      </w:r>
      <w:r>
        <w:rPr>
          <w:rFonts w:hint="eastAsia"/>
          <w:spacing w:val="4"/>
        </w:rPr>
        <w:t>：距离衰减，</w:t>
      </w:r>
      <w:r>
        <w:rPr>
          <w:spacing w:val="4"/>
        </w:rPr>
        <w:t>dB</w:t>
      </w:r>
      <w:r>
        <w:rPr>
          <w:rFonts w:hint="eastAsia"/>
          <w:spacing w:val="4"/>
        </w:rPr>
        <w:t>；</w:t>
      </w:r>
    </w:p>
    <w:p>
      <w:pPr>
        <w:tabs>
          <w:tab w:val="left" w:pos="0"/>
        </w:tabs>
        <w:ind w:firstLine="992" w:firstLineChars="400"/>
        <w:rPr>
          <w:spacing w:val="4"/>
        </w:rPr>
      </w:pPr>
      <w:r>
        <w:rPr>
          <w:spacing w:val="4"/>
        </w:rPr>
        <w:t>A</w:t>
      </w:r>
      <w:r>
        <w:rPr>
          <w:spacing w:val="4"/>
          <w:vertAlign w:val="subscript"/>
        </w:rPr>
        <w:t>atm</w:t>
      </w:r>
      <w:r>
        <w:rPr>
          <w:spacing w:val="4"/>
        </w:rPr>
        <w:t xml:space="preserve"> </w:t>
      </w:r>
      <w:r>
        <w:rPr>
          <w:rFonts w:hint="eastAsia"/>
          <w:spacing w:val="4"/>
        </w:rPr>
        <w:t>：空气吸收衰减，</w:t>
      </w:r>
      <w:r>
        <w:rPr>
          <w:spacing w:val="4"/>
        </w:rPr>
        <w:t>dB</w:t>
      </w:r>
      <w:r>
        <w:rPr>
          <w:rFonts w:hint="eastAsia"/>
          <w:spacing w:val="4"/>
        </w:rPr>
        <w:t>；</w:t>
      </w:r>
    </w:p>
    <w:p>
      <w:pPr>
        <w:tabs>
          <w:tab w:val="left" w:pos="0"/>
        </w:tabs>
        <w:ind w:firstLine="992" w:firstLineChars="400"/>
        <w:rPr>
          <w:spacing w:val="4"/>
        </w:rPr>
      </w:pPr>
      <w:r>
        <w:rPr>
          <w:spacing w:val="4"/>
        </w:rPr>
        <w:t>A</w:t>
      </w:r>
      <w:r>
        <w:rPr>
          <w:spacing w:val="4"/>
          <w:vertAlign w:val="subscript"/>
        </w:rPr>
        <w:t>bar</w:t>
      </w:r>
      <w:r>
        <w:rPr>
          <w:spacing w:val="4"/>
        </w:rPr>
        <w:t xml:space="preserve"> </w:t>
      </w:r>
      <w:r>
        <w:rPr>
          <w:rFonts w:hint="eastAsia"/>
          <w:spacing w:val="4"/>
        </w:rPr>
        <w:t>：遮挡物衰减，</w:t>
      </w:r>
      <w:r>
        <w:rPr>
          <w:spacing w:val="4"/>
        </w:rPr>
        <w:t>dB</w:t>
      </w:r>
      <w:r>
        <w:rPr>
          <w:rFonts w:hint="eastAsia"/>
          <w:spacing w:val="4"/>
        </w:rPr>
        <w:t>；</w:t>
      </w:r>
    </w:p>
    <w:p>
      <w:pPr>
        <w:tabs>
          <w:tab w:val="left" w:pos="0"/>
        </w:tabs>
        <w:ind w:firstLine="992" w:firstLineChars="400"/>
        <w:rPr>
          <w:spacing w:val="4"/>
        </w:rPr>
      </w:pPr>
      <w:r>
        <w:rPr>
          <w:spacing w:val="4"/>
        </w:rPr>
        <w:t>A</w:t>
      </w:r>
      <w:r>
        <w:rPr>
          <w:spacing w:val="4"/>
          <w:vertAlign w:val="subscript"/>
        </w:rPr>
        <w:t>gr</w:t>
      </w:r>
      <w:r>
        <w:rPr>
          <w:rFonts w:hint="eastAsia"/>
          <w:spacing w:val="4"/>
        </w:rPr>
        <w:t>：地面效应，</w:t>
      </w:r>
      <w:r>
        <w:rPr>
          <w:spacing w:val="4"/>
        </w:rPr>
        <w:t>dB</w:t>
      </w:r>
      <w:r>
        <w:rPr>
          <w:rFonts w:hint="eastAsia"/>
          <w:spacing w:val="4"/>
        </w:rPr>
        <w:t>；</w:t>
      </w:r>
      <w:r>
        <w:rPr>
          <w:spacing w:val="4"/>
        </w:rPr>
        <w:t xml:space="preserve"> </w:t>
      </w:r>
    </w:p>
    <w:p>
      <w:pPr>
        <w:tabs>
          <w:tab w:val="left" w:pos="0"/>
        </w:tabs>
        <w:ind w:firstLine="992" w:firstLineChars="400"/>
        <w:rPr>
          <w:spacing w:val="4"/>
        </w:rPr>
      </w:pPr>
      <w:r>
        <w:rPr>
          <w:spacing w:val="4"/>
        </w:rPr>
        <w:t>A</w:t>
      </w:r>
      <w:r>
        <w:rPr>
          <w:spacing w:val="4"/>
          <w:vertAlign w:val="subscript"/>
        </w:rPr>
        <w:t>misc</w:t>
      </w:r>
      <w:r>
        <w:rPr>
          <w:spacing w:val="4"/>
        </w:rPr>
        <w:t xml:space="preserve"> </w:t>
      </w:r>
      <w:r>
        <w:rPr>
          <w:rFonts w:hint="eastAsia"/>
          <w:spacing w:val="4"/>
        </w:rPr>
        <w:t>：其他多方面效应，</w:t>
      </w:r>
      <w:r>
        <w:rPr>
          <w:spacing w:val="4"/>
        </w:rPr>
        <w:t>dB</w:t>
      </w:r>
      <w:r>
        <w:rPr>
          <w:rFonts w:hint="eastAsia"/>
          <w:spacing w:val="4"/>
        </w:rPr>
        <w:t>；</w:t>
      </w:r>
    </w:p>
    <w:p>
      <w:pPr>
        <w:tabs>
          <w:tab w:val="left" w:pos="0"/>
        </w:tabs>
        <w:ind w:firstLine="992" w:firstLineChars="400"/>
        <w:rPr>
          <w:spacing w:val="4"/>
        </w:rPr>
      </w:pPr>
      <w:r>
        <w:rPr>
          <w:spacing w:val="4"/>
        </w:rPr>
        <w:t>L</w:t>
      </w:r>
      <w:r>
        <w:rPr>
          <w:rFonts w:hint="eastAsia"/>
          <w:spacing w:val="4"/>
          <w:vertAlign w:val="subscript"/>
        </w:rPr>
        <w:t>（</w:t>
      </w:r>
      <w:r>
        <w:rPr>
          <w:spacing w:val="4"/>
          <w:vertAlign w:val="subscript"/>
        </w:rPr>
        <w:t>r</w:t>
      </w:r>
      <w:r>
        <w:rPr>
          <w:rFonts w:hint="eastAsia"/>
          <w:spacing w:val="4"/>
          <w:vertAlign w:val="subscript"/>
        </w:rPr>
        <w:t>）</w:t>
      </w:r>
      <w:r>
        <w:rPr>
          <w:rFonts w:hint="eastAsia"/>
          <w:spacing w:val="4"/>
        </w:rPr>
        <w:t>：声源衰减至</w:t>
      </w:r>
      <w:r>
        <w:rPr>
          <w:spacing w:val="4"/>
        </w:rPr>
        <w:t>r</w:t>
      </w:r>
      <w:r>
        <w:rPr>
          <w:rFonts w:hint="eastAsia"/>
          <w:spacing w:val="4"/>
        </w:rPr>
        <w:t>处的声压级，</w:t>
      </w:r>
      <w:r>
        <w:rPr>
          <w:spacing w:val="4"/>
        </w:rPr>
        <w:t>dB</w:t>
      </w:r>
      <w:r>
        <w:rPr>
          <w:rFonts w:hint="eastAsia"/>
          <w:spacing w:val="4"/>
        </w:rPr>
        <w:t>；</w:t>
      </w:r>
    </w:p>
    <w:p>
      <w:pPr>
        <w:tabs>
          <w:tab w:val="left" w:pos="0"/>
        </w:tabs>
        <w:ind w:firstLine="992" w:firstLineChars="400"/>
        <w:rPr>
          <w:spacing w:val="4"/>
        </w:rPr>
      </w:pPr>
      <w:r>
        <w:rPr>
          <w:spacing w:val="4"/>
        </w:rPr>
        <w:t>L</w:t>
      </w:r>
      <w:r>
        <w:rPr>
          <w:spacing w:val="4"/>
          <w:vertAlign w:val="subscript"/>
        </w:rPr>
        <w:t>p</w:t>
      </w:r>
      <w:r>
        <w:rPr>
          <w:rFonts w:hint="eastAsia"/>
          <w:spacing w:val="4"/>
        </w:rPr>
        <w:t>（</w:t>
      </w:r>
      <w:r>
        <w:rPr>
          <w:spacing w:val="4"/>
        </w:rPr>
        <w:t>r</w:t>
      </w:r>
      <w:r>
        <w:rPr>
          <w:spacing w:val="4"/>
          <w:vertAlign w:val="subscript"/>
        </w:rPr>
        <w:t>0</w:t>
      </w:r>
      <w:r>
        <w:rPr>
          <w:rFonts w:hint="eastAsia"/>
          <w:spacing w:val="4"/>
        </w:rPr>
        <w:t>）：声源在参考距离</w:t>
      </w:r>
      <w:r>
        <w:rPr>
          <w:spacing w:val="4"/>
        </w:rPr>
        <w:t>r</w:t>
      </w:r>
      <w:r>
        <w:rPr>
          <w:spacing w:val="4"/>
          <w:vertAlign w:val="subscript"/>
        </w:rPr>
        <w:t>0</w:t>
      </w:r>
      <w:r>
        <w:rPr>
          <w:rFonts w:hint="eastAsia"/>
          <w:spacing w:val="4"/>
        </w:rPr>
        <w:t>处的声压级；</w:t>
      </w:r>
    </w:p>
    <w:p>
      <w:pPr>
        <w:tabs>
          <w:tab w:val="left" w:pos="0"/>
        </w:tabs>
        <w:ind w:firstLine="992" w:firstLineChars="400"/>
        <w:rPr>
          <w:spacing w:val="4"/>
        </w:rPr>
      </w:pPr>
      <w:r>
        <w:rPr>
          <w:spacing w:val="4"/>
        </w:rPr>
        <w:t>r</w:t>
      </w:r>
      <w:r>
        <w:rPr>
          <w:spacing w:val="4"/>
          <w:vertAlign w:val="subscript"/>
        </w:rPr>
        <w:t>0</w:t>
      </w:r>
      <w:r>
        <w:rPr>
          <w:rFonts w:hint="eastAsia"/>
          <w:spacing w:val="4"/>
        </w:rPr>
        <w:t>：预测参考距离，</w:t>
      </w:r>
      <w:r>
        <w:rPr>
          <w:spacing w:val="4"/>
        </w:rPr>
        <w:t>m</w:t>
      </w:r>
      <w:r>
        <w:rPr>
          <w:rFonts w:hint="eastAsia"/>
          <w:spacing w:val="4"/>
        </w:rPr>
        <w:t>；</w:t>
      </w:r>
    </w:p>
    <w:p>
      <w:pPr>
        <w:tabs>
          <w:tab w:val="left" w:pos="0"/>
        </w:tabs>
        <w:ind w:firstLine="992" w:firstLineChars="400"/>
        <w:rPr>
          <w:spacing w:val="4"/>
        </w:rPr>
      </w:pPr>
      <w:r>
        <w:rPr>
          <w:spacing w:val="4"/>
        </w:rPr>
        <w:t>L</w:t>
      </w:r>
      <w:r>
        <w:rPr>
          <w:spacing w:val="4"/>
          <w:vertAlign w:val="subscript"/>
        </w:rPr>
        <w:t>0</w:t>
      </w:r>
      <w:r>
        <w:rPr>
          <w:rFonts w:hint="eastAsia"/>
          <w:spacing w:val="4"/>
        </w:rPr>
        <w:t>：预测点的噪声现状值，</w:t>
      </w:r>
      <w:r>
        <w:rPr>
          <w:spacing w:val="4"/>
        </w:rPr>
        <w:t>dB</w:t>
      </w:r>
      <w:r>
        <w:rPr>
          <w:rFonts w:hint="eastAsia"/>
          <w:spacing w:val="4"/>
        </w:rPr>
        <w:t>。</w:t>
      </w:r>
    </w:p>
    <w:p>
      <w:pPr>
        <w:ind w:firstLine="496"/>
        <w:rPr>
          <w:spacing w:val="4"/>
        </w:rPr>
      </w:pPr>
      <w:r>
        <w:rPr>
          <w:rFonts w:hint="eastAsia"/>
          <w:spacing w:val="4"/>
        </w:rPr>
        <w:t>本次噪声预测计算从偏保守出发，只考虑声波随距离的衰减</w:t>
      </w:r>
      <w:r>
        <w:rPr>
          <w:i/>
          <w:spacing w:val="4"/>
        </w:rPr>
        <w:t>A</w:t>
      </w:r>
      <w:r>
        <w:rPr>
          <w:i/>
          <w:spacing w:val="4"/>
          <w:vertAlign w:val="subscript"/>
        </w:rPr>
        <w:t>div</w:t>
      </w:r>
      <w:r>
        <w:rPr>
          <w:rFonts w:hint="eastAsia"/>
          <w:spacing w:val="4"/>
        </w:rPr>
        <w:t>，以保证实际效果优于预测结果。</w:t>
      </w:r>
    </w:p>
    <w:p>
      <w:pPr>
        <w:ind w:firstLine="480"/>
        <w:rPr>
          <w:rFonts w:ascii="Times New Roman" w:hAnsi="Times New Roman"/>
        </w:rPr>
      </w:pPr>
      <w:r>
        <w:rPr>
          <w:rFonts w:hint="eastAsia" w:ascii="Times New Roman" w:hAnsi="Times New Roman"/>
        </w:rPr>
        <w:t>（2）噪声影响分析</w:t>
      </w:r>
    </w:p>
    <w:p>
      <w:pPr>
        <w:ind w:firstLine="480"/>
        <w:rPr>
          <w:rFonts w:ascii="Times New Roman" w:hAnsi="Times New Roman"/>
          <w:szCs w:val="24"/>
        </w:rPr>
      </w:pPr>
      <w:r>
        <w:rPr>
          <w:rFonts w:ascii="Times New Roman" w:hAnsi="Times New Roman"/>
        </w:rPr>
        <w:t>生产运营期以集气站内、废水处理站的各类机泵、压缩机等产生的噪声为主，对环境影响的周期较长，贯穿于整个生产期。运营期噪声防治措施主要采取合理布置噪声源，在压缩机等强噪声源周围布置隔声板，并在外围植树绿化；选择低噪声设备，设备设有减振基础并采用消声措施；设备与管道之间的连接采用柔性连接，以减少噪声和振动的传递。本项目运营期采取噪声防治措施后，主要噪声源强见表5.2-16。</w:t>
      </w:r>
    </w:p>
    <w:p>
      <w:pPr>
        <w:snapToGrid w:val="0"/>
        <w:spacing w:before="156" w:beforeLines="50" w:line="240" w:lineRule="auto"/>
        <w:ind w:firstLine="0" w:firstLineChars="0"/>
        <w:jc w:val="center"/>
        <w:rPr>
          <w:rFonts w:ascii="Times New Roman" w:hAnsi="Times New Roman"/>
          <w:b/>
          <w:bCs/>
          <w:sz w:val="21"/>
        </w:rPr>
      </w:pPr>
      <w:r>
        <w:rPr>
          <w:rFonts w:ascii="Times New Roman" w:hAnsi="Times New Roman"/>
          <w:b/>
          <w:bCs/>
          <w:sz w:val="21"/>
        </w:rPr>
        <w:t>表5.2-16  生产运营期主要噪声源单位：dB（A）</w:t>
      </w:r>
    </w:p>
    <w:tbl>
      <w:tblPr>
        <w:tblStyle w:val="18"/>
        <w:tblW w:w="8601"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1" w:type="dxa"/>
          <w:bottom w:w="0" w:type="dxa"/>
          <w:right w:w="11" w:type="dxa"/>
        </w:tblCellMar>
      </w:tblPr>
      <w:tblGrid>
        <w:gridCol w:w="1114"/>
        <w:gridCol w:w="1115"/>
        <w:gridCol w:w="888"/>
        <w:gridCol w:w="1134"/>
        <w:gridCol w:w="993"/>
        <w:gridCol w:w="1983"/>
        <w:gridCol w:w="137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噪声源位置</w:t>
            </w: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设备名称</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数量</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声源性质</w:t>
            </w:r>
          </w:p>
        </w:tc>
        <w:tc>
          <w:tcPr>
            <w:tcW w:w="577"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声源强度</w:t>
            </w:r>
          </w:p>
        </w:tc>
        <w:tc>
          <w:tcPr>
            <w:tcW w:w="1153"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治理措施</w:t>
            </w:r>
          </w:p>
        </w:tc>
        <w:tc>
          <w:tcPr>
            <w:tcW w:w="799"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治理后声压级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648" w:type="pct"/>
            <w:vMerge w:val="restar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集气站</w:t>
            </w: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压缩机</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szCs w:val="21"/>
              </w:rPr>
              <w:t>2</w:t>
            </w:r>
            <w:r>
              <w:rPr>
                <w:rFonts w:hint="eastAsia"/>
                <w:szCs w:val="21"/>
              </w:rPr>
              <w:t>台（</w:t>
            </w:r>
            <w:r>
              <w:rPr>
                <w:szCs w:val="21"/>
              </w:rPr>
              <w:t>1</w:t>
            </w:r>
            <w:r>
              <w:rPr>
                <w:rFonts w:hint="eastAsia"/>
                <w:szCs w:val="21"/>
              </w:rPr>
              <w:t>开</w:t>
            </w:r>
            <w:r>
              <w:rPr>
                <w:szCs w:val="21"/>
              </w:rPr>
              <w:t>1</w:t>
            </w:r>
            <w:r>
              <w:rPr>
                <w:rFonts w:hint="eastAsia"/>
                <w:szCs w:val="21"/>
              </w:rPr>
              <w:t>备）</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连续稳态</w:t>
            </w:r>
          </w:p>
        </w:tc>
        <w:tc>
          <w:tcPr>
            <w:tcW w:w="577"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85~90</w:t>
            </w:r>
          </w:p>
        </w:tc>
        <w:tc>
          <w:tcPr>
            <w:tcW w:w="1153"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采用加装消声器的撬装成套设备、防震底座加装隔声罩</w:t>
            </w:r>
          </w:p>
        </w:tc>
        <w:tc>
          <w:tcPr>
            <w:tcW w:w="799"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0" w:type="auto"/>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tLeast"/>
              <w:ind w:firstLine="420"/>
              <w:rPr>
                <w:rFonts w:ascii="Times New Roman" w:hAnsi="Times New Roman"/>
                <w:sz w:val="21"/>
              </w:rPr>
            </w:pP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柴油发电机</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szCs w:val="21"/>
              </w:rPr>
              <w:t>2</w:t>
            </w:r>
            <w:r>
              <w:rPr>
                <w:rFonts w:hint="eastAsia"/>
                <w:szCs w:val="21"/>
              </w:rPr>
              <w:t>台（</w:t>
            </w:r>
            <w:r>
              <w:rPr>
                <w:szCs w:val="21"/>
              </w:rPr>
              <w:t>1</w:t>
            </w:r>
            <w:r>
              <w:rPr>
                <w:rFonts w:hint="eastAsia"/>
                <w:szCs w:val="21"/>
              </w:rPr>
              <w:t>开</w:t>
            </w:r>
            <w:r>
              <w:rPr>
                <w:szCs w:val="21"/>
              </w:rPr>
              <w:t>1</w:t>
            </w:r>
            <w:r>
              <w:rPr>
                <w:rFonts w:hint="eastAsia"/>
                <w:szCs w:val="21"/>
              </w:rPr>
              <w:t>备）</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连续稳态</w:t>
            </w:r>
          </w:p>
        </w:tc>
        <w:tc>
          <w:tcPr>
            <w:tcW w:w="577"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90</w:t>
            </w:r>
          </w:p>
        </w:tc>
        <w:tc>
          <w:tcPr>
            <w:tcW w:w="115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隔声屏障、消声器</w:t>
            </w:r>
          </w:p>
        </w:tc>
        <w:tc>
          <w:tcPr>
            <w:tcW w:w="799"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0" w:type="auto"/>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tLeast"/>
              <w:ind w:firstLine="420"/>
              <w:rPr>
                <w:rFonts w:ascii="Times New Roman" w:hAnsi="Times New Roman"/>
                <w:sz w:val="21"/>
              </w:rPr>
            </w:pP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变压器</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szCs w:val="21"/>
              </w:rPr>
              <w:t>2</w:t>
            </w:r>
            <w:r>
              <w:rPr>
                <w:rFonts w:hint="eastAsia"/>
                <w:szCs w:val="21"/>
              </w:rPr>
              <w:t>台</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连续稳态</w:t>
            </w:r>
          </w:p>
        </w:tc>
        <w:tc>
          <w:tcPr>
            <w:tcW w:w="577"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70</w:t>
            </w:r>
          </w:p>
        </w:tc>
        <w:tc>
          <w:tcPr>
            <w:tcW w:w="115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bCs/>
                <w:sz w:val="21"/>
              </w:rPr>
            </w:pPr>
            <w:r>
              <w:rPr>
                <w:rFonts w:hint="eastAsia" w:ascii="Times New Roman" w:hAnsi="Times New Roman"/>
                <w:bCs/>
                <w:sz w:val="21"/>
              </w:rPr>
              <w:t>采用低噪声设备</w:t>
            </w:r>
          </w:p>
        </w:tc>
        <w:tc>
          <w:tcPr>
            <w:tcW w:w="799"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bCs/>
                <w:sz w:val="21"/>
              </w:rPr>
            </w:pPr>
            <w:r>
              <w:rPr>
                <w:rFonts w:ascii="Times New Roman" w:hAnsi="Times New Roman"/>
                <w:bCs/>
                <w:sz w:val="21"/>
              </w:rPr>
              <w:t>70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0" w:type="auto"/>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tLeast"/>
              <w:ind w:firstLine="420"/>
              <w:rPr>
                <w:rFonts w:ascii="Times New Roman" w:hAnsi="Times New Roman"/>
                <w:sz w:val="21"/>
              </w:rPr>
            </w:pP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水泵</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若干</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连续稳态</w:t>
            </w:r>
          </w:p>
        </w:tc>
        <w:tc>
          <w:tcPr>
            <w:tcW w:w="577"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85</w:t>
            </w:r>
            <w:r>
              <w:rPr>
                <w:rFonts w:hint="eastAsia"/>
                <w:szCs w:val="21"/>
              </w:rPr>
              <w:t>～</w:t>
            </w:r>
            <w:r>
              <w:rPr>
                <w:szCs w:val="21"/>
              </w:rPr>
              <w:t>90</w:t>
            </w:r>
          </w:p>
        </w:tc>
        <w:tc>
          <w:tcPr>
            <w:tcW w:w="1153"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室内安装，柔性连接、基础减振</w:t>
            </w:r>
          </w:p>
        </w:tc>
        <w:tc>
          <w:tcPr>
            <w:tcW w:w="799"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60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0" w:type="auto"/>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tLeast"/>
              <w:ind w:firstLine="420"/>
              <w:rPr>
                <w:rFonts w:ascii="Times New Roman" w:hAnsi="Times New Roman"/>
                <w:sz w:val="21"/>
              </w:rPr>
            </w:pPr>
          </w:p>
        </w:tc>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放空火炬</w:t>
            </w:r>
          </w:p>
        </w:tc>
        <w:tc>
          <w:tcPr>
            <w:tcW w:w="516" w:type="pct"/>
            <w:tcBorders>
              <w:top w:val="single" w:color="auto" w:sz="2" w:space="0"/>
              <w:left w:val="single" w:color="auto" w:sz="2" w:space="0"/>
              <w:bottom w:val="single" w:color="auto" w:sz="2" w:space="0"/>
              <w:right w:val="single" w:color="auto" w:sz="4" w:space="0"/>
            </w:tcBorders>
            <w:vAlign w:val="center"/>
          </w:tcPr>
          <w:p>
            <w:pPr>
              <w:pStyle w:val="17"/>
              <w:spacing w:after="0" w:line="240" w:lineRule="atLeast"/>
              <w:ind w:firstLine="0" w:firstLineChars="0"/>
              <w:jc w:val="center"/>
              <w:rPr>
                <w:szCs w:val="21"/>
              </w:rPr>
            </w:pPr>
            <w:r>
              <w:rPr>
                <w:szCs w:val="21"/>
              </w:rPr>
              <w:t>1</w:t>
            </w:r>
            <w:r>
              <w:rPr>
                <w:rFonts w:hint="eastAsia"/>
                <w:szCs w:val="21"/>
              </w:rPr>
              <w:t>个</w:t>
            </w:r>
          </w:p>
        </w:tc>
        <w:tc>
          <w:tcPr>
            <w:tcW w:w="659" w:type="pct"/>
            <w:tcBorders>
              <w:top w:val="single" w:color="auto" w:sz="2" w:space="0"/>
              <w:left w:val="single" w:color="auto" w:sz="4"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间歇</w:t>
            </w:r>
          </w:p>
        </w:tc>
        <w:tc>
          <w:tcPr>
            <w:tcW w:w="577"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90</w:t>
            </w:r>
          </w:p>
        </w:tc>
        <w:tc>
          <w:tcPr>
            <w:tcW w:w="1153"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挡风罩</w:t>
            </w:r>
          </w:p>
        </w:tc>
        <w:tc>
          <w:tcPr>
            <w:tcW w:w="799"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85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40" w:hRule="atLeast"/>
        </w:trPr>
        <w:tc>
          <w:tcPr>
            <w:tcW w:w="648"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办公生活区</w:t>
            </w:r>
          </w:p>
        </w:tc>
        <w:tc>
          <w:tcPr>
            <w:tcW w:w="648"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水泵</w:t>
            </w:r>
          </w:p>
        </w:tc>
        <w:tc>
          <w:tcPr>
            <w:tcW w:w="516" w:type="pct"/>
            <w:tcBorders>
              <w:top w:val="single" w:color="auto" w:sz="2" w:space="0"/>
              <w:left w:val="single" w:color="auto" w:sz="2" w:space="0"/>
              <w:bottom w:val="single" w:color="auto" w:sz="2"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若干</w:t>
            </w:r>
          </w:p>
        </w:tc>
        <w:tc>
          <w:tcPr>
            <w:tcW w:w="659" w:type="pct"/>
            <w:tcBorders>
              <w:top w:val="single" w:color="auto" w:sz="2" w:space="0"/>
              <w:left w:val="single" w:color="auto" w:sz="4"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连续稳态</w:t>
            </w:r>
          </w:p>
        </w:tc>
        <w:tc>
          <w:tcPr>
            <w:tcW w:w="577"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85</w:t>
            </w:r>
            <w:r>
              <w:rPr>
                <w:rFonts w:hint="eastAsia" w:ascii="Times New Roman" w:hAnsi="Times New Roman"/>
                <w:sz w:val="21"/>
              </w:rPr>
              <w:t>～</w:t>
            </w:r>
            <w:r>
              <w:rPr>
                <w:rFonts w:ascii="Times New Roman" w:hAnsi="Times New Roman"/>
                <w:sz w:val="21"/>
              </w:rPr>
              <w:t>90</w:t>
            </w:r>
          </w:p>
        </w:tc>
        <w:tc>
          <w:tcPr>
            <w:tcW w:w="1153"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室内安装，柔性连接、基础减振</w:t>
            </w:r>
          </w:p>
        </w:tc>
        <w:tc>
          <w:tcPr>
            <w:tcW w:w="799" w:type="pc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60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294" w:hRule="atLeast"/>
        </w:trPr>
        <w:tc>
          <w:tcPr>
            <w:tcW w:w="648" w:type="pct"/>
            <w:vMerge w:val="restart"/>
            <w:tcBorders>
              <w:top w:val="single" w:color="auto" w:sz="2"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废水处理站</w:t>
            </w:r>
          </w:p>
        </w:tc>
        <w:tc>
          <w:tcPr>
            <w:tcW w:w="648" w:type="pct"/>
            <w:tcBorders>
              <w:top w:val="single" w:color="auto" w:sz="2" w:space="0"/>
              <w:left w:val="single" w:color="auto" w:sz="2" w:space="0"/>
              <w:bottom w:val="single" w:color="auto" w:sz="4"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水泵</w:t>
            </w:r>
          </w:p>
        </w:tc>
        <w:tc>
          <w:tcPr>
            <w:tcW w:w="516" w:type="pct"/>
            <w:tcBorders>
              <w:top w:val="single" w:color="auto" w:sz="2" w:space="0"/>
              <w:left w:val="single" w:color="auto" w:sz="2"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若干</w:t>
            </w:r>
          </w:p>
        </w:tc>
        <w:tc>
          <w:tcPr>
            <w:tcW w:w="659" w:type="pct"/>
            <w:tcBorders>
              <w:top w:val="single" w:color="auto" w:sz="2" w:space="0"/>
              <w:left w:val="single" w:color="auto" w:sz="4" w:space="0"/>
              <w:bottom w:val="single" w:color="auto" w:sz="4"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连续稳态</w:t>
            </w:r>
          </w:p>
        </w:tc>
        <w:tc>
          <w:tcPr>
            <w:tcW w:w="577" w:type="pct"/>
            <w:tcBorders>
              <w:top w:val="single" w:color="auto" w:sz="2" w:space="0"/>
              <w:left w:val="single" w:color="auto" w:sz="2" w:space="0"/>
              <w:bottom w:val="single" w:color="auto" w:sz="4" w:space="0"/>
              <w:right w:val="single" w:color="auto" w:sz="2"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85</w:t>
            </w:r>
            <w:r>
              <w:rPr>
                <w:rFonts w:hint="eastAsia" w:ascii="Times New Roman" w:hAnsi="Times New Roman"/>
                <w:sz w:val="21"/>
              </w:rPr>
              <w:t>～</w:t>
            </w:r>
            <w:r>
              <w:rPr>
                <w:rFonts w:ascii="Times New Roman" w:hAnsi="Times New Roman"/>
                <w:sz w:val="21"/>
              </w:rPr>
              <w:t>90</w:t>
            </w:r>
          </w:p>
        </w:tc>
        <w:tc>
          <w:tcPr>
            <w:tcW w:w="1153" w:type="pct"/>
            <w:tcBorders>
              <w:top w:val="single" w:color="auto" w:sz="2" w:space="0"/>
              <w:left w:val="single" w:color="auto" w:sz="2" w:space="0"/>
              <w:bottom w:val="single" w:color="auto" w:sz="4" w:space="0"/>
              <w:right w:val="single" w:color="auto" w:sz="2" w:space="0"/>
            </w:tcBorders>
            <w:vAlign w:val="center"/>
          </w:tcPr>
          <w:p>
            <w:pPr>
              <w:pStyle w:val="17"/>
              <w:spacing w:after="0" w:line="240" w:lineRule="atLeast"/>
              <w:ind w:firstLine="0" w:firstLineChars="0"/>
              <w:jc w:val="center"/>
              <w:rPr>
                <w:szCs w:val="21"/>
              </w:rPr>
            </w:pPr>
            <w:r>
              <w:rPr>
                <w:rFonts w:hint="eastAsia"/>
                <w:szCs w:val="21"/>
              </w:rPr>
              <w:t>室内安装，柔性连接、基础减振</w:t>
            </w:r>
          </w:p>
        </w:tc>
        <w:tc>
          <w:tcPr>
            <w:tcW w:w="799" w:type="pct"/>
            <w:tcBorders>
              <w:top w:val="single" w:color="auto" w:sz="2" w:space="0"/>
              <w:left w:val="single" w:color="auto" w:sz="2" w:space="0"/>
              <w:bottom w:val="single" w:color="auto" w:sz="4" w:space="0"/>
              <w:right w:val="single" w:color="auto" w:sz="2" w:space="0"/>
            </w:tcBorders>
            <w:vAlign w:val="center"/>
          </w:tcPr>
          <w:p>
            <w:pPr>
              <w:pStyle w:val="17"/>
              <w:spacing w:after="0" w:line="240" w:lineRule="atLeast"/>
              <w:ind w:firstLine="0" w:firstLineChars="0"/>
              <w:jc w:val="center"/>
              <w:rPr>
                <w:szCs w:val="21"/>
              </w:rPr>
            </w:pPr>
            <w:r>
              <w:rPr>
                <w:szCs w:val="21"/>
              </w:rPr>
              <w:t>60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1" w:type="dxa"/>
            <w:bottom w:w="0" w:type="dxa"/>
            <w:right w:w="11" w:type="dxa"/>
          </w:tblCellMar>
        </w:tblPrEx>
        <w:trPr>
          <w:cantSplit/>
          <w:trHeight w:val="315" w:hRule="atLeast"/>
        </w:trPr>
        <w:tc>
          <w:tcPr>
            <w:tcW w:w="0" w:type="auto"/>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tLeast"/>
              <w:ind w:firstLine="420"/>
              <w:rPr>
                <w:rFonts w:ascii="Times New Roman" w:hAnsi="Times New Roman"/>
                <w:sz w:val="21"/>
              </w:rPr>
            </w:pPr>
          </w:p>
        </w:tc>
        <w:tc>
          <w:tcPr>
            <w:tcW w:w="648" w:type="pct"/>
            <w:tcBorders>
              <w:top w:val="single" w:color="auto" w:sz="4"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燃气发电机</w:t>
            </w:r>
          </w:p>
        </w:tc>
        <w:tc>
          <w:tcPr>
            <w:tcW w:w="516" w:type="pct"/>
            <w:tcBorders>
              <w:top w:val="single" w:color="auto" w:sz="4" w:space="0"/>
              <w:left w:val="single" w:color="auto" w:sz="2" w:space="0"/>
              <w:bottom w:val="single" w:color="auto" w:sz="2"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2</w:t>
            </w:r>
            <w:r>
              <w:rPr>
                <w:rFonts w:hint="eastAsia" w:ascii="Times New Roman" w:hAnsi="Times New Roman"/>
                <w:sz w:val="21"/>
              </w:rPr>
              <w:t>台（</w:t>
            </w:r>
            <w:r>
              <w:rPr>
                <w:rFonts w:ascii="Times New Roman" w:hAnsi="Times New Roman"/>
                <w:sz w:val="21"/>
              </w:rPr>
              <w:t>1</w:t>
            </w:r>
            <w:r>
              <w:rPr>
                <w:rFonts w:hint="eastAsia" w:ascii="Times New Roman" w:hAnsi="Times New Roman"/>
                <w:sz w:val="21"/>
              </w:rPr>
              <w:t>开</w:t>
            </w:r>
            <w:r>
              <w:rPr>
                <w:rFonts w:ascii="Times New Roman" w:hAnsi="Times New Roman"/>
                <w:sz w:val="21"/>
              </w:rPr>
              <w:t>1</w:t>
            </w:r>
            <w:r>
              <w:rPr>
                <w:rFonts w:hint="eastAsia" w:ascii="Times New Roman" w:hAnsi="Times New Roman"/>
                <w:sz w:val="21"/>
              </w:rPr>
              <w:t>备）</w:t>
            </w:r>
          </w:p>
        </w:tc>
        <w:tc>
          <w:tcPr>
            <w:tcW w:w="659" w:type="pct"/>
            <w:tcBorders>
              <w:top w:val="single" w:color="auto" w:sz="4" w:space="0"/>
              <w:left w:val="single" w:color="auto" w:sz="4"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连续稳态</w:t>
            </w:r>
          </w:p>
        </w:tc>
        <w:tc>
          <w:tcPr>
            <w:tcW w:w="577" w:type="pct"/>
            <w:tcBorders>
              <w:top w:val="single" w:color="auto" w:sz="4"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90</w:t>
            </w:r>
          </w:p>
        </w:tc>
        <w:tc>
          <w:tcPr>
            <w:tcW w:w="1153" w:type="pct"/>
            <w:tcBorders>
              <w:top w:val="single" w:color="auto" w:sz="4" w:space="0"/>
              <w:left w:val="single" w:color="auto" w:sz="2" w:space="0"/>
              <w:bottom w:val="single" w:color="auto" w:sz="2" w:space="0"/>
              <w:right w:val="single" w:color="auto" w:sz="2"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隔声屏障、消声器</w:t>
            </w:r>
          </w:p>
        </w:tc>
        <w:tc>
          <w:tcPr>
            <w:tcW w:w="799" w:type="pct"/>
            <w:tcBorders>
              <w:top w:val="single" w:color="auto" w:sz="4" w:space="0"/>
              <w:left w:val="single" w:color="auto" w:sz="2" w:space="0"/>
              <w:bottom w:val="single" w:color="auto" w:sz="2" w:space="0"/>
              <w:right w:val="single" w:color="auto" w:sz="2" w:space="0"/>
            </w:tcBorders>
            <w:vAlign w:val="center"/>
          </w:tcPr>
          <w:p>
            <w:pPr>
              <w:pStyle w:val="17"/>
              <w:spacing w:after="0" w:line="240" w:lineRule="atLeast"/>
              <w:ind w:firstLine="0" w:firstLineChars="0"/>
              <w:jc w:val="center"/>
              <w:rPr>
                <w:szCs w:val="21"/>
              </w:rPr>
            </w:pPr>
            <w:r>
              <w:rPr>
                <w:szCs w:val="21"/>
              </w:rPr>
              <w:t>75</w:t>
            </w:r>
          </w:p>
        </w:tc>
      </w:tr>
    </w:tbl>
    <w:p>
      <w:pPr>
        <w:ind w:firstLine="480"/>
        <w:rPr>
          <w:rFonts w:ascii="Times New Roman" w:hAnsi="Times New Roman"/>
          <w:szCs w:val="24"/>
        </w:rPr>
      </w:pPr>
      <w:r>
        <w:rPr>
          <w:rFonts w:hint="eastAsia" w:ascii="Times New Roman" w:hAnsi="Times New Roman"/>
          <w:szCs w:val="24"/>
        </w:rPr>
        <w:t>距离集气站最近村庄为东侧</w:t>
      </w:r>
      <w:r>
        <w:rPr>
          <w:rFonts w:ascii="Times New Roman" w:hAnsi="Times New Roman"/>
          <w:szCs w:val="24"/>
        </w:rPr>
        <w:t>554m</w:t>
      </w:r>
      <w:r>
        <w:rPr>
          <w:rFonts w:hint="eastAsia" w:ascii="Times New Roman" w:hAnsi="Times New Roman"/>
          <w:szCs w:val="24"/>
        </w:rPr>
        <w:t>处的佐子坪村。佐子坪村和集气站的周边环境与小湾则村相似，因此佐子坪村和集气站声环境背景值参照小湾则村的声环境背景值。利用噪声衰减模式和噪声预测模式，噪声预测结果见表</w:t>
      </w:r>
      <w:r>
        <w:rPr>
          <w:rFonts w:ascii="Times New Roman" w:hAnsi="Times New Roman"/>
          <w:szCs w:val="24"/>
        </w:rPr>
        <w:t>5.2-17</w:t>
      </w:r>
      <w:r>
        <w:rPr>
          <w:rFonts w:hint="eastAsia" w:ascii="Times New Roman" w:hAnsi="Times New Roman"/>
          <w:szCs w:val="24"/>
        </w:rPr>
        <w:t>。</w:t>
      </w:r>
    </w:p>
    <w:p>
      <w:pPr>
        <w:snapToGrid w:val="0"/>
        <w:spacing w:before="156" w:beforeLines="50" w:line="240" w:lineRule="auto"/>
        <w:ind w:firstLine="0"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5.2-17</w:t>
      </w:r>
      <w:r>
        <w:rPr>
          <w:rFonts w:hint="eastAsia" w:ascii="Times New Roman" w:hAnsi="Times New Roman"/>
          <w:b/>
          <w:sz w:val="21"/>
        </w:rPr>
        <w:t>集气站噪声影响预测单位：</w:t>
      </w:r>
      <w:r>
        <w:rPr>
          <w:rFonts w:ascii="Times New Roman" w:hAnsi="Times New Roman"/>
          <w:b/>
          <w:sz w:val="21"/>
        </w:rPr>
        <w:t>dB</w:t>
      </w:r>
      <w:r>
        <w:rPr>
          <w:rFonts w:hint="eastAsia" w:ascii="Times New Roman" w:hAnsi="Times New Roman"/>
          <w:b/>
          <w:sz w:val="21"/>
        </w:rPr>
        <w:t>（</w:t>
      </w:r>
      <w:r>
        <w:rPr>
          <w:rFonts w:ascii="Times New Roman" w:hAnsi="Times New Roman"/>
          <w:b/>
          <w:sz w:val="21"/>
        </w:rPr>
        <w:t>A</w:t>
      </w:r>
      <w:r>
        <w:rPr>
          <w:rFonts w:hint="eastAsia" w:ascii="Times New Roman" w:hAnsi="Times New Roman"/>
          <w:b/>
          <w:sz w:val="21"/>
        </w:rPr>
        <w:t>）</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0" w:type="dxa"/>
          <w:bottom w:w="28" w:type="dxa"/>
          <w:right w:w="0" w:type="dxa"/>
        </w:tblCellMar>
      </w:tblPr>
      <w:tblGrid>
        <w:gridCol w:w="571"/>
        <w:gridCol w:w="1067"/>
        <w:gridCol w:w="867"/>
        <w:gridCol w:w="1003"/>
        <w:gridCol w:w="825"/>
        <w:gridCol w:w="1339"/>
        <w:gridCol w:w="1189"/>
        <w:gridCol w:w="1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1"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位置</w:t>
            </w:r>
          </w:p>
        </w:tc>
        <w:tc>
          <w:tcPr>
            <w:tcW w:w="10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监测时段</w:t>
            </w: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监测点</w:t>
            </w:r>
          </w:p>
        </w:tc>
        <w:tc>
          <w:tcPr>
            <w:tcW w:w="1004"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现状值</w:t>
            </w:r>
          </w:p>
        </w:tc>
        <w:tc>
          <w:tcPr>
            <w:tcW w:w="82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评价标准</w:t>
            </w: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贡献值</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值叠加</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预测值达标情况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1"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集气站</w:t>
            </w:r>
          </w:p>
        </w:tc>
        <w:tc>
          <w:tcPr>
            <w:tcW w:w="1068"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昼</w:t>
            </w:r>
          </w:p>
          <w:p>
            <w:pPr>
              <w:pStyle w:val="17"/>
              <w:spacing w:after="0" w:line="240" w:lineRule="atLeast"/>
              <w:ind w:firstLine="0" w:firstLineChars="0"/>
              <w:jc w:val="center"/>
              <w:rPr>
                <w:szCs w:val="21"/>
              </w:rPr>
            </w:pPr>
            <w:r>
              <w:rPr>
                <w:rFonts w:hint="eastAsia"/>
                <w:szCs w:val="21"/>
              </w:rPr>
              <w:t>间</w:t>
            </w: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南</w:t>
            </w:r>
          </w:p>
        </w:tc>
        <w:tc>
          <w:tcPr>
            <w:tcW w:w="1004"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48.2</w:t>
            </w:r>
          </w:p>
        </w:tc>
        <w:tc>
          <w:tcPr>
            <w:tcW w:w="826"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60</w:t>
            </w: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47</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50.65</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东</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43</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49.35</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北</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51.11</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西</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46</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50.25</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068"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夜</w:t>
            </w:r>
          </w:p>
          <w:p>
            <w:pPr>
              <w:pStyle w:val="17"/>
              <w:spacing w:after="0" w:line="240" w:lineRule="atLeast"/>
              <w:ind w:firstLine="0" w:firstLineChars="0"/>
              <w:jc w:val="center"/>
              <w:rPr>
                <w:szCs w:val="21"/>
              </w:rPr>
            </w:pPr>
            <w:r>
              <w:rPr>
                <w:rFonts w:hint="eastAsia"/>
                <w:szCs w:val="21"/>
              </w:rPr>
              <w:t>间</w:t>
            </w: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南</w:t>
            </w:r>
          </w:p>
        </w:tc>
        <w:tc>
          <w:tcPr>
            <w:tcW w:w="1004"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42.9</w:t>
            </w:r>
          </w:p>
        </w:tc>
        <w:tc>
          <w:tcPr>
            <w:tcW w:w="826"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50</w:t>
            </w: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47</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48.43</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东</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43</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45.96</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北</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49.17</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868"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西</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46</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47.73</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1" w:type="dxa"/>
            <w:vMerge w:val="restart"/>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佐子坪村</w:t>
            </w:r>
          </w:p>
        </w:tc>
        <w:tc>
          <w:tcPr>
            <w:tcW w:w="1936" w:type="dxa"/>
            <w:gridSpan w:val="2"/>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昼间</w:t>
            </w:r>
          </w:p>
        </w:tc>
        <w:tc>
          <w:tcPr>
            <w:tcW w:w="1004"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48.2</w:t>
            </w:r>
          </w:p>
        </w:tc>
        <w:tc>
          <w:tcPr>
            <w:tcW w:w="82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55</w:t>
            </w: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31.38</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48.3</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936" w:type="dxa"/>
            <w:gridSpan w:val="2"/>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夜间</w:t>
            </w:r>
          </w:p>
        </w:tc>
        <w:tc>
          <w:tcPr>
            <w:tcW w:w="1004"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42.9</w:t>
            </w:r>
          </w:p>
        </w:tc>
        <w:tc>
          <w:tcPr>
            <w:tcW w:w="82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45</w:t>
            </w:r>
          </w:p>
        </w:tc>
        <w:tc>
          <w:tcPr>
            <w:tcW w:w="1340"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31.38</w:t>
            </w:r>
          </w:p>
        </w:tc>
        <w:tc>
          <w:tcPr>
            <w:tcW w:w="1189"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szCs w:val="21"/>
              </w:rPr>
              <w:t>43.2</w:t>
            </w:r>
          </w:p>
        </w:tc>
        <w:tc>
          <w:tcPr>
            <w:tcW w:w="1456" w:type="dxa"/>
            <w:tcBorders>
              <w:top w:val="single" w:color="auto" w:sz="4" w:space="0"/>
              <w:left w:val="single" w:color="auto" w:sz="4" w:space="0"/>
              <w:bottom w:val="single" w:color="auto" w:sz="4" w:space="0"/>
              <w:right w:val="single" w:color="auto" w:sz="4" w:space="0"/>
            </w:tcBorders>
            <w:vAlign w:val="center"/>
          </w:tcPr>
          <w:p>
            <w:pPr>
              <w:pStyle w:val="17"/>
              <w:spacing w:after="0" w:line="240" w:lineRule="atLeast"/>
              <w:ind w:firstLine="0" w:firstLineChars="0"/>
              <w:jc w:val="center"/>
              <w:rPr>
                <w:szCs w:val="21"/>
              </w:rPr>
            </w:pPr>
            <w:r>
              <w:rPr>
                <w:rFonts w:hint="eastAsia"/>
                <w:szCs w:val="21"/>
              </w:rPr>
              <w:t>达标</w:t>
            </w:r>
          </w:p>
        </w:tc>
      </w:tr>
    </w:tbl>
    <w:p>
      <w:pPr>
        <w:ind w:firstLine="480"/>
        <w:rPr>
          <w:rFonts w:ascii="Times New Roman" w:hAnsi="Times New Roman"/>
          <w:szCs w:val="24"/>
        </w:rPr>
      </w:pPr>
      <w:r>
        <w:rPr>
          <w:rFonts w:hint="eastAsia" w:ascii="Times New Roman" w:hAnsi="Times New Roman"/>
          <w:szCs w:val="24"/>
        </w:rPr>
        <w:t>由表5.2-17预测结果知，集气站各厂界的噪声贡献值在43-48dB(A)之间，与现状值叠加后均满足《工业企业厂界环境噪声排放标准》（GB12348-2008）中的2类标准限值；集气站对佐子坪村噪声贡献值为31.38 dB(A)，与现状值叠加后满足《声环境质量标准》（GB3096-2008）中1类标准。本项目集气站运营期对周围声环境影响小。</w:t>
      </w:r>
    </w:p>
    <w:p>
      <w:pPr>
        <w:ind w:firstLine="0" w:firstLineChars="0"/>
        <w:outlineLvl w:val="2"/>
        <w:rPr>
          <w:rFonts w:ascii="Times New Roman" w:hAnsi="Times New Roman"/>
          <w:b/>
          <w:sz w:val="28"/>
          <w:szCs w:val="28"/>
        </w:rPr>
      </w:pPr>
      <w:bookmarkStart w:id="93" w:name="_Toc524624622"/>
      <w:r>
        <w:rPr>
          <w:rFonts w:hint="eastAsia" w:ascii="Times New Roman" w:hAnsi="Times New Roman"/>
          <w:b/>
          <w:sz w:val="28"/>
          <w:szCs w:val="28"/>
        </w:rPr>
        <w:t>5.2.5 运营期固体废物影响分析</w:t>
      </w:r>
      <w:bookmarkEnd w:id="93"/>
    </w:p>
    <w:p>
      <w:pPr>
        <w:ind w:firstLine="480"/>
        <w:rPr>
          <w:szCs w:val="24"/>
        </w:rPr>
      </w:pPr>
      <w:r>
        <w:rPr>
          <w:szCs w:val="24"/>
        </w:rPr>
        <w:t>本项目运营期固体废物主要为</w:t>
      </w:r>
      <w:r>
        <w:rPr>
          <w:rFonts w:hint="eastAsia"/>
          <w:szCs w:val="24"/>
        </w:rPr>
        <w:t>集气站分离撬</w:t>
      </w:r>
      <w:r>
        <w:rPr>
          <w:szCs w:val="24"/>
        </w:rPr>
        <w:t>分离出的</w:t>
      </w:r>
      <w:r>
        <w:rPr>
          <w:rFonts w:hint="eastAsia"/>
          <w:szCs w:val="24"/>
        </w:rPr>
        <w:t>凝析油和</w:t>
      </w:r>
      <w:r>
        <w:rPr>
          <w:szCs w:val="24"/>
        </w:rPr>
        <w:t>废弃分子筛</w:t>
      </w:r>
      <w:r>
        <w:rPr>
          <w:rFonts w:hint="eastAsia"/>
          <w:szCs w:val="24"/>
        </w:rPr>
        <w:t>，采出</w:t>
      </w:r>
      <w:r>
        <w:rPr>
          <w:szCs w:val="24"/>
        </w:rPr>
        <w:t>废水处理站</w:t>
      </w:r>
      <w:r>
        <w:rPr>
          <w:rFonts w:hint="eastAsia"/>
          <w:szCs w:val="24"/>
        </w:rPr>
        <w:t>产生的干化污泥和废盐，办公生活区生活污水处理站污泥和</w:t>
      </w:r>
      <w:r>
        <w:rPr>
          <w:szCs w:val="24"/>
        </w:rPr>
        <w:t>职工生活垃圾。</w:t>
      </w:r>
    </w:p>
    <w:p>
      <w:pPr>
        <w:ind w:firstLine="480"/>
        <w:rPr>
          <w:szCs w:val="24"/>
        </w:rPr>
      </w:pPr>
      <w:r>
        <w:rPr>
          <w:rFonts w:hint="eastAsia"/>
          <w:szCs w:val="24"/>
        </w:rPr>
        <w:t>凝析油、采出废水处理站干化污泥和废盐为含油危险废物，</w:t>
      </w:r>
      <w:r>
        <w:rPr>
          <w:szCs w:val="24"/>
        </w:rPr>
        <w:t>交由</w:t>
      </w:r>
      <w:r>
        <w:rPr>
          <w:rFonts w:hint="eastAsia"/>
          <w:snapToGrid w:val="0"/>
        </w:rPr>
        <w:t>广灵金隅水泥有限公司</w:t>
      </w:r>
      <w:r>
        <w:rPr>
          <w:snapToGrid w:val="0"/>
        </w:rPr>
        <w:t>按照危废转运要求将危险废物送至该公司处置。</w:t>
      </w:r>
      <w:r>
        <w:rPr>
          <w:rFonts w:hint="eastAsia"/>
          <w:szCs w:val="24"/>
        </w:rPr>
        <w:t>危废</w:t>
      </w:r>
      <w:r>
        <w:rPr>
          <w:szCs w:val="24"/>
        </w:rPr>
        <w:t>暂存应严格按照《危险废物贮存污染控制标准》（GB18597-2001）和《危险废物收集、贮存、运输技术规范》（HJ2025-2012）中的有关规定进行处置。生活垃圾定期由封闭式车辆运至当地政府指定的垃圾场统一处理，废弃分子筛由厂家回收处理后再利用。</w:t>
      </w:r>
      <w:r>
        <w:rPr>
          <w:rFonts w:hint="eastAsia"/>
          <w:szCs w:val="24"/>
        </w:rPr>
        <w:t>生活污水处理站污泥收集后作为一般固废，定期送填埋场处理。</w:t>
      </w:r>
      <w:r>
        <w:rPr>
          <w:szCs w:val="24"/>
        </w:rPr>
        <w:t>本项目产生的固体废物均得到了合理处置，对周边环境影响较小。</w:t>
      </w:r>
    </w:p>
    <w:p>
      <w:pPr>
        <w:ind w:firstLine="0" w:firstLineChars="0"/>
        <w:outlineLvl w:val="2"/>
        <w:rPr>
          <w:rFonts w:ascii="Times New Roman" w:hAnsi="Times New Roman"/>
          <w:b/>
          <w:sz w:val="28"/>
          <w:szCs w:val="28"/>
        </w:rPr>
      </w:pPr>
      <w:bookmarkStart w:id="94" w:name="_Toc524624623"/>
      <w:r>
        <w:rPr>
          <w:rFonts w:hint="eastAsia" w:ascii="Times New Roman" w:hAnsi="Times New Roman"/>
          <w:b/>
          <w:sz w:val="28"/>
          <w:szCs w:val="28"/>
        </w:rPr>
        <w:t>5.2.6 运营期生态影响分析</w:t>
      </w:r>
      <w:bookmarkEnd w:id="94"/>
    </w:p>
    <w:p>
      <w:pPr>
        <w:ind w:firstLine="480"/>
        <w:rPr>
          <w:rFonts w:ascii="Times New Roman" w:hAnsi="Times New Roman"/>
          <w:szCs w:val="24"/>
        </w:rPr>
      </w:pPr>
      <w:r>
        <w:rPr>
          <w:rFonts w:ascii="Times New Roman" w:hAnsi="Times New Roman"/>
          <w:szCs w:val="24"/>
        </w:rPr>
        <w:t>（1）对土壤、动植物的影响</w:t>
      </w:r>
    </w:p>
    <w:p>
      <w:pPr>
        <w:ind w:firstLine="480"/>
        <w:rPr>
          <w:rFonts w:ascii="Times New Roman" w:hAnsi="Times New Roman"/>
          <w:szCs w:val="24"/>
        </w:rPr>
      </w:pPr>
      <w:r>
        <w:rPr>
          <w:rFonts w:ascii="Times New Roman" w:hAnsi="Times New Roman"/>
          <w:szCs w:val="24"/>
        </w:rPr>
        <w:t>运营期正常情况下集气站分离撬分离出的采出水全部自然蒸发，不外排；办公生活区生活废水全部处理达标后回用于绿化和降尘，不外排。因此本项目运营期对土壤、动物、植物等生态环境因子影响不大。</w:t>
      </w:r>
    </w:p>
    <w:p>
      <w:pPr>
        <w:ind w:firstLine="480"/>
        <w:rPr>
          <w:rFonts w:ascii="Times New Roman" w:hAnsi="Times New Roman"/>
          <w:szCs w:val="24"/>
        </w:rPr>
      </w:pPr>
      <w:r>
        <w:rPr>
          <w:rFonts w:ascii="Times New Roman" w:hAnsi="Times New Roman"/>
          <w:szCs w:val="24"/>
        </w:rPr>
        <w:t>站场内绿化面积达到1</w:t>
      </w:r>
      <w:r>
        <w:rPr>
          <w:rFonts w:hint="eastAsia" w:ascii="Times New Roman" w:hAnsi="Times New Roman"/>
          <w:szCs w:val="24"/>
        </w:rPr>
        <w:t>0</w:t>
      </w:r>
      <w:r>
        <w:rPr>
          <w:rFonts w:ascii="Times New Roman" w:hAnsi="Times New Roman"/>
          <w:szCs w:val="24"/>
        </w:rPr>
        <w:t>%以上，绿化措施以草坪为主，会引入当地部分观赏性较强的绿化植物，站场面积相对较小，因此不会引起物种代替。站场在运营期间会产生一定量的垃圾，垃圾将运入当地环保部门指定的垃圾填埋场，因此对动物及植被的影响相对较小。</w:t>
      </w:r>
    </w:p>
    <w:p>
      <w:pPr>
        <w:ind w:firstLine="480"/>
        <w:rPr>
          <w:rFonts w:ascii="Times New Roman" w:hAnsi="Times New Roman"/>
          <w:szCs w:val="24"/>
        </w:rPr>
      </w:pPr>
      <w:r>
        <w:rPr>
          <w:rFonts w:ascii="Times New Roman" w:hAnsi="Times New Roman"/>
          <w:szCs w:val="24"/>
        </w:rPr>
        <w:t>（2）景观影响分析</w:t>
      </w:r>
    </w:p>
    <w:p>
      <w:pPr>
        <w:ind w:firstLine="480"/>
        <w:rPr>
          <w:rFonts w:ascii="Times New Roman" w:hAnsi="Times New Roman"/>
          <w:b/>
          <w:sz w:val="28"/>
          <w:szCs w:val="28"/>
        </w:rPr>
      </w:pPr>
      <w:r>
        <w:rPr>
          <w:rFonts w:ascii="Times New Roman" w:hAnsi="Times New Roman"/>
          <w:szCs w:val="24"/>
        </w:rPr>
        <w:t>本项目完成后，评价区内的景观格局发生了一定的变化。气田开发用地，使原有斑块发生破碎化倾向，景观类型的优势度均有所下降；气田用地的景观优势度提高，景观斑块密度增大，频度增加；但气田景观面积相对较小，比例较低，景观斑块分散、破碎且连通性差，不具备动态控制能力，对生态调控作用小，尚构不成对生态环境起决定作用的景观基底。总体上看来，原有区域的景观连通程度仍较好，区域的景观基底仍以绿色植被为主。</w:t>
      </w:r>
    </w:p>
    <w:p>
      <w:pPr>
        <w:spacing w:before="156" w:beforeLines="50" w:after="156" w:afterLines="50"/>
        <w:ind w:firstLine="0" w:firstLineChars="0"/>
        <w:outlineLvl w:val="1"/>
        <w:rPr>
          <w:rFonts w:ascii="Times New Roman" w:hAnsi="Times New Roman"/>
          <w:b/>
          <w:sz w:val="30"/>
          <w:szCs w:val="30"/>
        </w:rPr>
      </w:pPr>
      <w:bookmarkStart w:id="95" w:name="_Toc523143048"/>
      <w:bookmarkStart w:id="96" w:name="_Toc524624624"/>
      <w:r>
        <w:rPr>
          <w:rFonts w:hint="eastAsia" w:ascii="Times New Roman" w:hAnsi="Times New Roman"/>
          <w:b/>
          <w:sz w:val="30"/>
          <w:szCs w:val="30"/>
        </w:rPr>
        <w:t>5.</w:t>
      </w:r>
      <w:r>
        <w:rPr>
          <w:rFonts w:ascii="Times New Roman" w:hAnsi="Times New Roman"/>
          <w:b/>
          <w:sz w:val="30"/>
          <w:szCs w:val="30"/>
        </w:rPr>
        <w:t>3</w:t>
      </w:r>
      <w:bookmarkEnd w:id="95"/>
      <w:r>
        <w:rPr>
          <w:rFonts w:hint="eastAsia" w:ascii="Times New Roman" w:hAnsi="Times New Roman"/>
          <w:b/>
          <w:sz w:val="30"/>
          <w:szCs w:val="30"/>
        </w:rPr>
        <w:t xml:space="preserve"> 环境风险评价</w:t>
      </w:r>
      <w:bookmarkEnd w:id="96"/>
    </w:p>
    <w:p>
      <w:pPr>
        <w:ind w:firstLine="0" w:firstLineChars="0"/>
        <w:outlineLvl w:val="2"/>
        <w:rPr>
          <w:rFonts w:ascii="Times New Roman" w:hAnsi="Times New Roman"/>
          <w:b/>
          <w:sz w:val="28"/>
          <w:szCs w:val="28"/>
        </w:rPr>
      </w:pPr>
      <w:bookmarkStart w:id="97" w:name="_Toc523143049"/>
      <w:bookmarkStart w:id="98" w:name="_Toc524624625"/>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 xml:space="preserve">.1 </w:t>
      </w:r>
      <w:bookmarkEnd w:id="97"/>
      <w:r>
        <w:rPr>
          <w:rFonts w:hint="eastAsia" w:ascii="Times New Roman" w:hAnsi="Times New Roman"/>
          <w:b/>
          <w:sz w:val="28"/>
          <w:szCs w:val="28"/>
        </w:rPr>
        <w:t>环境风险评价的目的和重点</w:t>
      </w:r>
      <w:bookmarkEnd w:id="98"/>
    </w:p>
    <w:p>
      <w:pPr>
        <w:ind w:firstLine="480"/>
        <w:rPr>
          <w:szCs w:val="24"/>
        </w:rPr>
      </w:pPr>
      <w:r>
        <w:rPr>
          <w:szCs w:val="24"/>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ind w:firstLine="0" w:firstLineChars="0"/>
        <w:rPr>
          <w:rFonts w:ascii="Times New Roman" w:hAnsi="Times New Roman"/>
          <w:b/>
          <w:szCs w:val="24"/>
        </w:rPr>
      </w:pPr>
      <w:r>
        <w:rPr>
          <w:rFonts w:ascii="Times New Roman" w:hAnsi="Times New Roman"/>
          <w:b/>
          <w:szCs w:val="24"/>
        </w:rPr>
        <w:t xml:space="preserve">5.3.1.1 </w:t>
      </w:r>
      <w:r>
        <w:rPr>
          <w:rFonts w:hint="eastAsia" w:ascii="Times New Roman" w:hAnsi="Times New Roman"/>
          <w:b/>
          <w:szCs w:val="24"/>
        </w:rPr>
        <w:t>评价目的</w:t>
      </w:r>
    </w:p>
    <w:p>
      <w:pPr>
        <w:ind w:firstLine="480"/>
        <w:rPr>
          <w:szCs w:val="24"/>
        </w:rPr>
      </w:pPr>
      <w:r>
        <w:rPr>
          <w:szCs w:val="24"/>
        </w:rPr>
        <w:t>本次环境风险评价的主要目的是分析本项目</w:t>
      </w:r>
      <w:r>
        <w:rPr>
          <w:rFonts w:hint="eastAsia"/>
          <w:szCs w:val="24"/>
        </w:rPr>
        <w:t>勘探和开发</w:t>
      </w:r>
      <w:r>
        <w:rPr>
          <w:szCs w:val="24"/>
        </w:rPr>
        <w:t>过程中存在的危险、有害因素，可能发生的突发事件和事故，可能造成的危害，提出合理可行的风险防范措施、应急与减缓措施，保护井场</w:t>
      </w:r>
      <w:r>
        <w:rPr>
          <w:rFonts w:hint="eastAsia"/>
          <w:szCs w:val="24"/>
        </w:rPr>
        <w:t>和集气站</w:t>
      </w:r>
      <w:r>
        <w:rPr>
          <w:szCs w:val="24"/>
        </w:rPr>
        <w:t>周围居民和生态环境，以使</w:t>
      </w:r>
      <w:r>
        <w:rPr>
          <w:rFonts w:hint="eastAsia"/>
          <w:szCs w:val="24"/>
        </w:rPr>
        <w:t>煤成气勘探开发</w:t>
      </w:r>
      <w:r>
        <w:rPr>
          <w:szCs w:val="24"/>
        </w:rPr>
        <w:t>事故率和事故影响达到可接受水平。</w:t>
      </w:r>
    </w:p>
    <w:p>
      <w:pPr>
        <w:ind w:firstLine="480"/>
        <w:rPr>
          <w:szCs w:val="24"/>
        </w:rPr>
      </w:pPr>
      <w:r>
        <w:rPr>
          <w:szCs w:val="24"/>
        </w:rPr>
        <w:t>本项目</w:t>
      </w:r>
      <w:r>
        <w:rPr>
          <w:rFonts w:hint="eastAsia"/>
          <w:szCs w:val="24"/>
        </w:rPr>
        <w:t>煤成气</w:t>
      </w:r>
      <w:r>
        <w:rPr>
          <w:szCs w:val="24"/>
        </w:rPr>
        <w:t>开采过程中风险的发生可能带来较大的安全和环境污染事故。由此，风险防范和风险预案的制定显得尤为必要。本</w:t>
      </w:r>
      <w:r>
        <w:rPr>
          <w:rFonts w:hint="eastAsia"/>
          <w:szCs w:val="24"/>
        </w:rPr>
        <w:t>评价</w:t>
      </w:r>
      <w:r>
        <w:rPr>
          <w:szCs w:val="24"/>
        </w:rPr>
        <w:t>通过风险分析和风险预案的制定达到以下目的：</w:t>
      </w:r>
    </w:p>
    <w:p>
      <w:pPr>
        <w:ind w:firstLine="480"/>
        <w:rPr>
          <w:szCs w:val="24"/>
        </w:rPr>
      </w:pPr>
      <w:r>
        <w:rPr>
          <w:rFonts w:ascii="Times New Roman" w:hAnsi="Times New Roman"/>
          <w:szCs w:val="24"/>
        </w:rPr>
        <w:t>（1）</w:t>
      </w:r>
      <w:r>
        <w:rPr>
          <w:szCs w:val="24"/>
        </w:rPr>
        <w:t>分析可能发生的潜在危险，便于</w:t>
      </w:r>
      <w:r>
        <w:rPr>
          <w:rFonts w:hint="eastAsia"/>
          <w:szCs w:val="24"/>
        </w:rPr>
        <w:t>中联煤层气有限责任公司</w:t>
      </w:r>
      <w:r>
        <w:rPr>
          <w:szCs w:val="24"/>
        </w:rPr>
        <w:t>有针对性的加强防范措施；</w:t>
      </w:r>
    </w:p>
    <w:p>
      <w:pPr>
        <w:ind w:firstLine="480"/>
        <w:rPr>
          <w:szCs w:val="24"/>
        </w:rPr>
      </w:pPr>
      <w:r>
        <w:rPr>
          <w:rFonts w:ascii="Times New Roman" w:hAnsi="Times New Roman"/>
          <w:szCs w:val="24"/>
        </w:rPr>
        <w:t>（2）</w:t>
      </w:r>
      <w:r>
        <w:rPr>
          <w:szCs w:val="24"/>
        </w:rPr>
        <w:t>采取应急措施，尽可能将风险可能性和危害程度降至最低；</w:t>
      </w:r>
    </w:p>
    <w:p>
      <w:pPr>
        <w:ind w:firstLine="480"/>
        <w:rPr>
          <w:szCs w:val="24"/>
        </w:rPr>
      </w:pPr>
      <w:r>
        <w:rPr>
          <w:rFonts w:ascii="Times New Roman" w:hAnsi="Times New Roman"/>
          <w:szCs w:val="24"/>
        </w:rPr>
        <w:t>（3）</w:t>
      </w:r>
      <w:r>
        <w:rPr>
          <w:szCs w:val="24"/>
        </w:rPr>
        <w:t>提供应急预案，为突发事故提供应急措施，提高风险防范意识。</w:t>
      </w:r>
    </w:p>
    <w:p>
      <w:pPr>
        <w:ind w:firstLine="0" w:firstLineChars="0"/>
        <w:rPr>
          <w:rFonts w:ascii="Times New Roman" w:hAnsi="Times New Roman"/>
          <w:b/>
          <w:szCs w:val="24"/>
        </w:rPr>
      </w:pPr>
      <w:r>
        <w:rPr>
          <w:rFonts w:ascii="Times New Roman" w:hAnsi="Times New Roman"/>
          <w:b/>
          <w:szCs w:val="24"/>
        </w:rPr>
        <w:t xml:space="preserve">5.3.1.2 </w:t>
      </w:r>
      <w:r>
        <w:rPr>
          <w:rFonts w:hint="eastAsia" w:ascii="Times New Roman" w:hAnsi="Times New Roman"/>
          <w:b/>
          <w:szCs w:val="24"/>
        </w:rPr>
        <w:t>评价重点</w:t>
      </w:r>
    </w:p>
    <w:p>
      <w:pPr>
        <w:ind w:firstLine="480"/>
        <w:rPr>
          <w:szCs w:val="24"/>
        </w:rPr>
      </w:pPr>
      <w:r>
        <w:rPr>
          <w:szCs w:val="24"/>
        </w:rPr>
        <w:t>本项目的评价重点为井喷事故引起场界外人员的伤害，环境质量的恶化，以及所采取的相关防护措施作为评价工作重点。</w:t>
      </w:r>
    </w:p>
    <w:p>
      <w:pPr>
        <w:ind w:firstLine="0" w:firstLineChars="0"/>
        <w:outlineLvl w:val="2"/>
        <w:rPr>
          <w:rFonts w:ascii="Times New Roman" w:hAnsi="Times New Roman"/>
          <w:b/>
          <w:sz w:val="28"/>
          <w:szCs w:val="28"/>
        </w:rPr>
      </w:pPr>
      <w:bookmarkStart w:id="99" w:name="_Toc524624626"/>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2</w:t>
      </w:r>
      <w:r>
        <w:rPr>
          <w:rFonts w:hint="eastAsia" w:ascii="Times New Roman" w:hAnsi="Times New Roman"/>
          <w:b/>
          <w:sz w:val="28"/>
          <w:szCs w:val="28"/>
        </w:rPr>
        <w:t>评价工作等级、评价范围的确定</w:t>
      </w:r>
      <w:bookmarkEnd w:id="99"/>
    </w:p>
    <w:p>
      <w:pPr>
        <w:ind w:firstLine="0" w:firstLineChars="0"/>
        <w:rPr>
          <w:rFonts w:ascii="Times New Roman" w:hAnsi="Times New Roman"/>
          <w:b/>
          <w:szCs w:val="24"/>
        </w:rPr>
      </w:pPr>
      <w:r>
        <w:rPr>
          <w:rFonts w:ascii="Times New Roman" w:hAnsi="Times New Roman"/>
          <w:b/>
          <w:szCs w:val="24"/>
        </w:rPr>
        <w:t xml:space="preserve">5.3.2.1 </w:t>
      </w:r>
      <w:r>
        <w:rPr>
          <w:rFonts w:hint="eastAsia" w:ascii="Times New Roman" w:hAnsi="Times New Roman"/>
          <w:b/>
          <w:szCs w:val="24"/>
        </w:rPr>
        <w:t>重大危险源辨识</w:t>
      </w:r>
    </w:p>
    <w:p>
      <w:pPr>
        <w:ind w:firstLine="480"/>
        <w:rPr>
          <w:szCs w:val="24"/>
        </w:rPr>
      </w:pPr>
      <w:r>
        <w:rPr>
          <w:szCs w:val="24"/>
        </w:rPr>
        <w:t>根据《危险化学品重大危险源辨识》</w:t>
      </w:r>
      <w:r>
        <w:rPr>
          <w:rFonts w:ascii="Times New Roman" w:hAnsi="Times New Roman"/>
          <w:szCs w:val="24"/>
        </w:rPr>
        <w:t>（GB18218-2009）的规定，重大危险源的辨识依据是物质危险特性及其数量。辨识规定，单元内存在危险物质的数量等于或超过标准（GB18218-2009）中规定的临界量，即被定为重</w:t>
      </w:r>
      <w:r>
        <w:rPr>
          <w:szCs w:val="24"/>
        </w:rPr>
        <w:t>大危险源。单元内存在危险物质的数量根据物质种类的多少可分为两种情况：</w:t>
      </w:r>
    </w:p>
    <w:p>
      <w:pPr>
        <w:ind w:firstLine="480"/>
        <w:rPr>
          <w:szCs w:val="24"/>
        </w:rPr>
      </w:pPr>
      <w:r>
        <w:rPr>
          <w:szCs w:val="24"/>
        </w:rPr>
        <w:t>（1）单元内存在的危险物质为单一品种，则该物质的数量即为单元内危险物质的总量，若等于或超过相应的临界量，则定为重大危险源。</w:t>
      </w:r>
    </w:p>
    <w:p>
      <w:pPr>
        <w:ind w:firstLine="480"/>
        <w:rPr>
          <w:szCs w:val="24"/>
        </w:rPr>
      </w:pPr>
      <w:r>
        <w:rPr>
          <w:szCs w:val="24"/>
        </w:rPr>
        <w:t>（2）单元内存在的危险物质为多品种时，则按下式计算，若满足下式的规定，则定为重大危险源。</w:t>
      </w:r>
    </w:p>
    <w:p>
      <w:pPr>
        <w:ind w:firstLine="480"/>
        <w:jc w:val="center"/>
      </w:pPr>
    </w:p>
    <w:p>
      <w:pPr>
        <w:ind w:firstLine="480"/>
        <w:rPr>
          <w:rFonts w:ascii="Times New Roman" w:hAnsi="Times New Roman"/>
          <w:szCs w:val="24"/>
        </w:rPr>
      </w:pPr>
      <w:r>
        <w:rPr>
          <w:szCs w:val="24"/>
        </w:rPr>
        <w:t>式中：</w:t>
      </w:r>
      <w:r>
        <w:rPr>
          <w:rFonts w:ascii="Times New Roman" w:hAnsi="Times New Roman"/>
          <w:szCs w:val="24"/>
        </w:rPr>
        <w:t>q</w:t>
      </w:r>
      <w:r>
        <w:rPr>
          <w:rFonts w:ascii="Times New Roman" w:hAnsi="Times New Roman"/>
          <w:szCs w:val="24"/>
          <w:vertAlign w:val="subscript"/>
        </w:rPr>
        <w:t>1</w:t>
      </w:r>
      <w:r>
        <w:rPr>
          <w:rFonts w:ascii="Times New Roman" w:hAnsi="Times New Roman"/>
          <w:szCs w:val="24"/>
        </w:rPr>
        <w:t>，q</w:t>
      </w:r>
      <w:r>
        <w:rPr>
          <w:rFonts w:ascii="Times New Roman" w:hAnsi="Times New Roman"/>
          <w:szCs w:val="24"/>
          <w:vertAlign w:val="subscript"/>
        </w:rPr>
        <w:t>2</w:t>
      </w:r>
      <w:r>
        <w:rPr>
          <w:rFonts w:ascii="Times New Roman" w:hAnsi="Times New Roman"/>
          <w:szCs w:val="24"/>
        </w:rPr>
        <w:t>…q</w:t>
      </w:r>
      <w:r>
        <w:rPr>
          <w:rFonts w:ascii="Times New Roman" w:hAnsi="Times New Roman"/>
          <w:szCs w:val="24"/>
          <w:vertAlign w:val="subscript"/>
        </w:rPr>
        <w:t>n</w:t>
      </w:r>
      <w:r>
        <w:rPr>
          <w:rFonts w:ascii="Times New Roman" w:hAnsi="Times New Roman"/>
          <w:szCs w:val="24"/>
        </w:rPr>
        <w:t>——每种危险物质实际存在量，t；</w:t>
      </w:r>
    </w:p>
    <w:p>
      <w:pPr>
        <w:ind w:firstLine="1200" w:firstLineChars="500"/>
        <w:rPr>
          <w:rFonts w:ascii="Times New Roman" w:hAnsi="Times New Roman"/>
          <w:szCs w:val="24"/>
        </w:rPr>
      </w:pPr>
      <w:r>
        <w:rPr>
          <w:rFonts w:ascii="Times New Roman" w:hAnsi="Times New Roman"/>
          <w:szCs w:val="24"/>
        </w:rPr>
        <w:t>Q</w:t>
      </w:r>
      <w:r>
        <w:rPr>
          <w:rFonts w:ascii="Times New Roman" w:hAnsi="Times New Roman"/>
          <w:szCs w:val="24"/>
          <w:vertAlign w:val="subscript"/>
        </w:rPr>
        <w:t>1</w:t>
      </w:r>
      <w:r>
        <w:rPr>
          <w:rFonts w:ascii="Times New Roman" w:hAnsi="Times New Roman"/>
          <w:szCs w:val="24"/>
        </w:rPr>
        <w:t>，Q</w:t>
      </w:r>
      <w:r>
        <w:rPr>
          <w:rFonts w:ascii="Times New Roman" w:hAnsi="Times New Roman"/>
          <w:szCs w:val="24"/>
          <w:vertAlign w:val="subscript"/>
        </w:rPr>
        <w:t>2</w:t>
      </w:r>
      <w:r>
        <w:rPr>
          <w:rFonts w:ascii="Times New Roman" w:hAnsi="Times New Roman"/>
          <w:szCs w:val="24"/>
        </w:rPr>
        <w:t>…Q</w:t>
      </w:r>
      <w:r>
        <w:rPr>
          <w:rFonts w:ascii="Times New Roman" w:hAnsi="Times New Roman"/>
          <w:szCs w:val="24"/>
          <w:vertAlign w:val="subscript"/>
        </w:rPr>
        <w:t>n</w:t>
      </w:r>
      <w:r>
        <w:rPr>
          <w:rFonts w:ascii="Times New Roman" w:hAnsi="Times New Roman"/>
          <w:szCs w:val="24"/>
        </w:rPr>
        <w:t>——与各危险物质相对应的生产场所或贮存区的临界量，t。</w:t>
      </w:r>
    </w:p>
    <w:p>
      <w:pPr>
        <w:ind w:firstLine="480"/>
        <w:rPr>
          <w:szCs w:val="24"/>
        </w:rPr>
      </w:pPr>
      <w:r>
        <w:rPr>
          <w:rFonts w:ascii="Times New Roman"/>
          <w:szCs w:val="24"/>
        </w:rPr>
        <w:t>重大危险源辨识表见表</w:t>
      </w:r>
      <w:r>
        <w:rPr>
          <w:rFonts w:ascii="Times New Roman" w:hAnsi="Times New Roman"/>
          <w:szCs w:val="24"/>
        </w:rPr>
        <w:t>2.5-7</w:t>
      </w:r>
      <w:r>
        <w:rPr>
          <w:rFonts w:ascii="Times New Roman"/>
          <w:szCs w:val="24"/>
        </w:rPr>
        <w:t>。</w:t>
      </w:r>
      <w:r>
        <w:rPr>
          <w:rFonts w:hint="eastAsia" w:ascii="Times New Roman" w:hAnsi="Times New Roman"/>
          <w:szCs w:val="24"/>
        </w:rPr>
        <w:t>本项目建成后，处理后的煤成气通过集输管网输送至</w:t>
      </w:r>
      <w:r>
        <w:rPr>
          <w:rFonts w:ascii="Times New Roman"/>
          <w:szCs w:val="24"/>
        </w:rPr>
        <w:t>兴县华盛燃气有限公司的康宁中心处理厂</w:t>
      </w:r>
      <w:r>
        <w:rPr>
          <w:rFonts w:hint="eastAsia" w:ascii="Times New Roman"/>
          <w:szCs w:val="24"/>
        </w:rPr>
        <w:t>，不在集气站暂存，因此不属于重大危险源</w:t>
      </w:r>
      <w:r>
        <w:rPr>
          <w:szCs w:val="24"/>
        </w:rPr>
        <w:t>。</w:t>
      </w:r>
    </w:p>
    <w:p>
      <w:pPr>
        <w:ind w:firstLine="0" w:firstLineChars="0"/>
        <w:rPr>
          <w:rFonts w:ascii="Times New Roman" w:hAnsi="Times New Roman"/>
          <w:b/>
          <w:szCs w:val="24"/>
        </w:rPr>
      </w:pPr>
      <w:r>
        <w:rPr>
          <w:rFonts w:ascii="Times New Roman" w:hAnsi="Times New Roman"/>
          <w:b/>
          <w:szCs w:val="24"/>
        </w:rPr>
        <w:t xml:space="preserve">5.3.2.2 </w:t>
      </w:r>
      <w:r>
        <w:rPr>
          <w:rFonts w:hint="eastAsia" w:ascii="Times New Roman" w:hAnsi="Times New Roman"/>
          <w:b/>
          <w:szCs w:val="24"/>
        </w:rPr>
        <w:t>评价工作等级</w:t>
      </w:r>
    </w:p>
    <w:p>
      <w:pPr>
        <w:adjustRightInd w:val="0"/>
        <w:spacing w:before="156" w:beforeLines="50"/>
        <w:ind w:firstLine="480"/>
        <w:textAlignment w:val="baseline"/>
        <w:rPr>
          <w:rFonts w:ascii="Times New Roman" w:hAnsi="Times New Roman"/>
          <w:szCs w:val="24"/>
        </w:rPr>
      </w:pPr>
      <w:r>
        <w:rPr>
          <w:szCs w:val="24"/>
        </w:rPr>
        <w:t>根据《建设项目环境风险评价技术导则》</w:t>
      </w:r>
      <w:r>
        <w:rPr>
          <w:rFonts w:ascii="Times New Roman" w:hAnsi="Times New Roman"/>
          <w:szCs w:val="24"/>
        </w:rPr>
        <w:t>HJ/T169－2004，</w:t>
      </w:r>
      <w:r>
        <w:rPr>
          <w:szCs w:val="24"/>
        </w:rPr>
        <w:t>风险评价的级别划分具体见表</w:t>
      </w:r>
      <w:r>
        <w:rPr>
          <w:rFonts w:hint="eastAsia" w:ascii="Times New Roman" w:hAnsi="Times New Roman"/>
          <w:szCs w:val="24"/>
        </w:rPr>
        <w:t>2.5-8</w:t>
      </w:r>
      <w:r>
        <w:rPr>
          <w:rFonts w:ascii="Times New Roman" w:hAnsi="Times New Roman"/>
          <w:szCs w:val="24"/>
        </w:rPr>
        <w:t>。本项目所处地区，无特殊保护区域与保护目标，因此该区域不属于环境敏感区；</w:t>
      </w:r>
      <w:r>
        <w:rPr>
          <w:rFonts w:hint="eastAsia" w:ascii="Times New Roman" w:hAnsi="Times New Roman"/>
          <w:szCs w:val="24"/>
        </w:rPr>
        <w:t>煤成气</w:t>
      </w:r>
      <w:r>
        <w:rPr>
          <w:rFonts w:ascii="Times New Roman" w:hAnsi="Times New Roman"/>
          <w:szCs w:val="24"/>
        </w:rPr>
        <w:t>量均不属于重大危险源，本项目风险评价等级为二级。</w:t>
      </w:r>
    </w:p>
    <w:p>
      <w:pPr>
        <w:ind w:firstLine="0" w:firstLineChars="0"/>
        <w:rPr>
          <w:rFonts w:ascii="Times New Roman" w:hAnsi="Times New Roman"/>
          <w:b/>
          <w:szCs w:val="24"/>
        </w:rPr>
      </w:pPr>
      <w:r>
        <w:rPr>
          <w:rFonts w:ascii="Times New Roman" w:hAnsi="Times New Roman"/>
          <w:b/>
          <w:szCs w:val="24"/>
        </w:rPr>
        <w:t xml:space="preserve">5.3.2.3 </w:t>
      </w:r>
      <w:r>
        <w:rPr>
          <w:rFonts w:hint="eastAsia" w:ascii="Times New Roman" w:hAnsi="Times New Roman"/>
          <w:b/>
          <w:szCs w:val="24"/>
        </w:rPr>
        <w:t>评价范围的确定</w:t>
      </w:r>
    </w:p>
    <w:p>
      <w:pPr>
        <w:ind w:firstLine="480"/>
        <w:rPr>
          <w:rFonts w:ascii="Times New Roman" w:hAnsi="Times New Roman"/>
          <w:szCs w:val="24"/>
        </w:rPr>
      </w:pPr>
      <w:r>
        <w:rPr>
          <w:rFonts w:ascii="Times New Roman" w:hAnsi="Times New Roman"/>
          <w:szCs w:val="24"/>
        </w:rPr>
        <w:t>根据主要化学品伤害阈和工业场所有害因素职业接触限值及敏感区位置，本项目风险影响范围为：井口周边点3km圆形区域。</w:t>
      </w:r>
    </w:p>
    <w:p>
      <w:pPr>
        <w:ind w:firstLine="0" w:firstLineChars="0"/>
        <w:outlineLvl w:val="2"/>
        <w:rPr>
          <w:rFonts w:ascii="Times New Roman" w:hAnsi="Times New Roman"/>
          <w:b/>
          <w:sz w:val="28"/>
          <w:szCs w:val="28"/>
        </w:rPr>
      </w:pPr>
      <w:bookmarkStart w:id="100" w:name="_Toc524624627"/>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3</w:t>
      </w:r>
      <w:r>
        <w:rPr>
          <w:rFonts w:hint="eastAsia" w:ascii="Times New Roman" w:hAnsi="Times New Roman"/>
          <w:b/>
          <w:sz w:val="28"/>
          <w:szCs w:val="28"/>
        </w:rPr>
        <w:t>风险识别</w:t>
      </w:r>
      <w:bookmarkEnd w:id="100"/>
    </w:p>
    <w:p>
      <w:pPr>
        <w:ind w:firstLine="480"/>
        <w:rPr>
          <w:szCs w:val="24"/>
        </w:rPr>
      </w:pPr>
      <w:r>
        <w:rPr>
          <w:rFonts w:hint="eastAsia"/>
        </w:rPr>
        <w:t>勘探</w:t>
      </w:r>
      <w:r>
        <w:t>过程中潜在的环境风险因素包括</w:t>
      </w:r>
      <w:r>
        <w:rPr>
          <w:rFonts w:hint="eastAsia"/>
        </w:rPr>
        <w:t>煤成气</w:t>
      </w:r>
      <w:r>
        <w:t>泄露、钻井井喷、泥浆池事故以及地质灾害风险等。</w:t>
      </w:r>
      <w:r>
        <w:rPr>
          <w:rFonts w:hint="eastAsia"/>
        </w:rPr>
        <w:t>开采</w:t>
      </w:r>
      <w:r>
        <w:t>过程中潜在的环境风险因素包括管道开裂等造成</w:t>
      </w:r>
      <w:r>
        <w:rPr>
          <w:rFonts w:hint="eastAsia"/>
        </w:rPr>
        <w:t>煤成气</w:t>
      </w:r>
      <w:r>
        <w:t>泄漏、集气站事故放空、集气站废水事故外排等风险。其中，尤以钻井发生井喷</w:t>
      </w:r>
      <w:r>
        <w:rPr>
          <w:szCs w:val="24"/>
        </w:rPr>
        <w:t>为风险大的事故。</w:t>
      </w:r>
    </w:p>
    <w:p>
      <w:pPr>
        <w:ind w:firstLine="0" w:firstLineChars="0"/>
        <w:rPr>
          <w:rFonts w:ascii="Times New Roman" w:hAnsi="Times New Roman"/>
          <w:b/>
          <w:szCs w:val="24"/>
        </w:rPr>
      </w:pPr>
      <w:r>
        <w:rPr>
          <w:rFonts w:ascii="Times New Roman" w:hAnsi="Times New Roman"/>
          <w:b/>
          <w:szCs w:val="24"/>
        </w:rPr>
        <w:t xml:space="preserve">5.3.3.1 </w:t>
      </w:r>
      <w:r>
        <w:rPr>
          <w:rFonts w:hint="eastAsia" w:ascii="Times New Roman" w:hAnsi="Times New Roman"/>
          <w:b/>
          <w:szCs w:val="24"/>
        </w:rPr>
        <w:t>物质危险性识别</w:t>
      </w:r>
    </w:p>
    <w:p>
      <w:pPr>
        <w:ind w:firstLine="480"/>
        <w:rPr>
          <w:rFonts w:ascii="Times New Roman" w:hAnsi="Times New Roman"/>
          <w:b/>
          <w:sz w:val="21"/>
        </w:rPr>
      </w:pPr>
      <w:r>
        <w:rPr>
          <w:rFonts w:ascii="Times New Roman" w:hAnsi="Times New Roman"/>
        </w:rPr>
        <w:t>根据《建设项目环境风险评价技术导则》（HJ/T169-2004）中物质危险性标准来判定物质的危险程度，衡量标准见表5.3-2。</w:t>
      </w:r>
    </w:p>
    <w:p>
      <w:pPr>
        <w:spacing w:line="500" w:lineRule="exact"/>
        <w:ind w:left="397" w:firstLineChars="0"/>
        <w:jc w:val="center"/>
        <w:rPr>
          <w:rFonts w:ascii="Times New Roman" w:hAnsi="Times New Roman"/>
          <w:b/>
          <w:sz w:val="21"/>
        </w:rPr>
      </w:pPr>
    </w:p>
    <w:p>
      <w:pPr>
        <w:spacing w:line="500" w:lineRule="exact"/>
        <w:ind w:left="397" w:firstLineChars="0"/>
        <w:jc w:val="center"/>
        <w:rPr>
          <w:rFonts w:ascii="Times New Roman" w:hAnsi="Times New Roman"/>
          <w:b/>
          <w:sz w:val="21"/>
        </w:rPr>
      </w:pPr>
      <w:r>
        <w:rPr>
          <w:rFonts w:ascii="Times New Roman" w:hAnsi="Times New Roman"/>
          <w:b/>
          <w:sz w:val="21"/>
        </w:rPr>
        <w:t>表5.3-2物质危险性标准</w:t>
      </w:r>
    </w:p>
    <w:tbl>
      <w:tblPr>
        <w:tblStyle w:val="18"/>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30"/>
        <w:gridCol w:w="546"/>
        <w:gridCol w:w="2484"/>
        <w:gridCol w:w="1934"/>
        <w:gridCol w:w="249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1376" w:type="dxa"/>
            <w:gridSpan w:val="2"/>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类别</w:t>
            </w:r>
          </w:p>
        </w:tc>
        <w:tc>
          <w:tcPr>
            <w:tcW w:w="248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（大鼠经口）</w:t>
            </w:r>
            <w:r>
              <w:rPr>
                <w:rFonts w:ascii="Times New Roman" w:hAnsi="Times New Roman"/>
                <w:kern w:val="0"/>
                <w:sz w:val="21"/>
              </w:rPr>
              <w:t>mg/kg</w:t>
            </w:r>
          </w:p>
        </w:tc>
        <w:tc>
          <w:tcPr>
            <w:tcW w:w="193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（大鼠经皮）</w:t>
            </w:r>
            <w:r>
              <w:rPr>
                <w:rFonts w:ascii="Times New Roman" w:hAnsi="Times New Roman"/>
                <w:kern w:val="0"/>
                <w:sz w:val="21"/>
              </w:rPr>
              <w:t>mg/kg</w:t>
            </w:r>
          </w:p>
        </w:tc>
        <w:tc>
          <w:tcPr>
            <w:tcW w:w="249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LC</w:t>
            </w:r>
            <w:r>
              <w:rPr>
                <w:rFonts w:ascii="Times New Roman" w:hAnsi="Times New Roman"/>
                <w:kern w:val="0"/>
                <w:sz w:val="21"/>
                <w:vertAlign w:val="subscript"/>
              </w:rPr>
              <w:t>50</w:t>
            </w:r>
            <w:r>
              <w:rPr>
                <w:rFonts w:hint="eastAsia" w:ascii="Times New Roman" w:hAnsi="Times New Roman"/>
                <w:kern w:val="0"/>
                <w:sz w:val="21"/>
              </w:rPr>
              <w:t>（小鼠吸入，</w:t>
            </w:r>
            <w:r>
              <w:rPr>
                <w:rFonts w:ascii="Times New Roman" w:hAnsi="Times New Roman"/>
                <w:kern w:val="0"/>
                <w:sz w:val="21"/>
              </w:rPr>
              <w:t>4</w:t>
            </w:r>
            <w:r>
              <w:rPr>
                <w:rFonts w:hint="eastAsia" w:ascii="Times New Roman" w:hAnsi="Times New Roman"/>
                <w:kern w:val="0"/>
                <w:sz w:val="21"/>
              </w:rPr>
              <w:t>小时）</w:t>
            </w:r>
            <w:r>
              <w:rPr>
                <w:rFonts w:ascii="Times New Roman" w:hAnsi="Times New Roman"/>
                <w:kern w:val="0"/>
                <w:sz w:val="21"/>
              </w:rPr>
              <w:t>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830" w:type="dxa"/>
            <w:vMerge w:val="restart"/>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有毒物质</w:t>
            </w: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1</w:t>
            </w:r>
          </w:p>
        </w:tc>
        <w:tc>
          <w:tcPr>
            <w:tcW w:w="248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w:t>
            </w:r>
            <w:r>
              <w:rPr>
                <w:rFonts w:ascii="Times New Roman" w:hAnsi="Times New Roman"/>
                <w:kern w:val="0"/>
                <w:sz w:val="21"/>
              </w:rPr>
              <w:t>5</w:t>
            </w:r>
          </w:p>
        </w:tc>
        <w:tc>
          <w:tcPr>
            <w:tcW w:w="193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w:t>
            </w:r>
            <w:r>
              <w:rPr>
                <w:rFonts w:ascii="Times New Roman" w:hAnsi="Times New Roman"/>
                <w:kern w:val="0"/>
                <w:sz w:val="21"/>
              </w:rPr>
              <w:t>1</w:t>
            </w:r>
          </w:p>
        </w:tc>
        <w:tc>
          <w:tcPr>
            <w:tcW w:w="249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w:t>
            </w:r>
            <w:r>
              <w:rPr>
                <w:rFonts w:ascii="Times New Roman" w:hAnsi="Times New Roman"/>
                <w:kern w:val="0"/>
                <w:sz w:val="21"/>
              </w:rPr>
              <w:t>0.01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kern w:val="0"/>
                <w:sz w:val="21"/>
              </w:rPr>
            </w:pP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2</w:t>
            </w:r>
          </w:p>
        </w:tc>
        <w:tc>
          <w:tcPr>
            <w:tcW w:w="248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5</w:t>
            </w:r>
            <w:r>
              <w:rPr>
                <w:rFonts w:hint="eastAsia" w:ascii="Times New Roman" w:hAnsi="Times New Roman"/>
                <w:kern w:val="0"/>
                <w:sz w:val="21"/>
              </w:rPr>
              <w:t>＜</w:t>
            </w: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25</w:t>
            </w:r>
          </w:p>
        </w:tc>
        <w:tc>
          <w:tcPr>
            <w:tcW w:w="193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10</w:t>
            </w:r>
            <w:r>
              <w:rPr>
                <w:rFonts w:hint="eastAsia" w:ascii="Times New Roman" w:hAnsi="Times New Roman"/>
                <w:kern w:val="0"/>
                <w:sz w:val="21"/>
              </w:rPr>
              <w:t>＜</w:t>
            </w: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50</w:t>
            </w:r>
          </w:p>
        </w:tc>
        <w:tc>
          <w:tcPr>
            <w:tcW w:w="249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0.1</w:t>
            </w:r>
            <w:r>
              <w:rPr>
                <w:rFonts w:hint="eastAsia" w:ascii="Times New Roman" w:hAnsi="Times New Roman"/>
                <w:kern w:val="0"/>
                <w:sz w:val="21"/>
              </w:rPr>
              <w:t>＜</w:t>
            </w:r>
            <w:r>
              <w:rPr>
                <w:rFonts w:ascii="Times New Roman" w:hAnsi="Times New Roman"/>
                <w:kern w:val="0"/>
                <w:sz w:val="21"/>
              </w:rPr>
              <w:t>LC</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kern w:val="0"/>
                <w:sz w:val="21"/>
              </w:rPr>
            </w:pP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3</w:t>
            </w:r>
          </w:p>
        </w:tc>
        <w:tc>
          <w:tcPr>
            <w:tcW w:w="248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25</w:t>
            </w:r>
            <w:r>
              <w:rPr>
                <w:rFonts w:hint="eastAsia" w:ascii="Times New Roman" w:hAnsi="Times New Roman"/>
                <w:kern w:val="0"/>
                <w:sz w:val="21"/>
              </w:rPr>
              <w:t>＜</w:t>
            </w: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200</w:t>
            </w:r>
          </w:p>
        </w:tc>
        <w:tc>
          <w:tcPr>
            <w:tcW w:w="1934"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50</w:t>
            </w:r>
            <w:r>
              <w:rPr>
                <w:rFonts w:hint="eastAsia" w:ascii="Times New Roman" w:hAnsi="Times New Roman"/>
                <w:kern w:val="0"/>
                <w:sz w:val="21"/>
              </w:rPr>
              <w:t>＜</w:t>
            </w:r>
            <w:r>
              <w:rPr>
                <w:rFonts w:ascii="Times New Roman" w:hAnsi="Times New Roman"/>
                <w:kern w:val="0"/>
                <w:sz w:val="21"/>
              </w:rPr>
              <w:t>LD</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400</w:t>
            </w:r>
          </w:p>
        </w:tc>
        <w:tc>
          <w:tcPr>
            <w:tcW w:w="249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0.5</w:t>
            </w:r>
            <w:r>
              <w:rPr>
                <w:rFonts w:hint="eastAsia" w:ascii="Times New Roman" w:hAnsi="Times New Roman"/>
                <w:kern w:val="0"/>
                <w:sz w:val="21"/>
              </w:rPr>
              <w:t>＜</w:t>
            </w:r>
            <w:r>
              <w:rPr>
                <w:rFonts w:ascii="Times New Roman" w:hAnsi="Times New Roman"/>
                <w:kern w:val="0"/>
                <w:sz w:val="21"/>
              </w:rPr>
              <w:t>LC</w:t>
            </w:r>
            <w:r>
              <w:rPr>
                <w:rFonts w:ascii="Times New Roman" w:hAnsi="Times New Roman"/>
                <w:kern w:val="0"/>
                <w:sz w:val="21"/>
                <w:vertAlign w:val="subscript"/>
              </w:rPr>
              <w:t>50</w:t>
            </w:r>
            <w:r>
              <w:rPr>
                <w:rFonts w:hint="eastAsia" w:ascii="Times New Roman" w:hAnsi="Times New Roman"/>
                <w:kern w:val="0"/>
                <w:sz w:val="21"/>
              </w:rPr>
              <w:t>＜</w:t>
            </w:r>
            <w:r>
              <w:rPr>
                <w:rFonts w:ascii="Times New Roman" w:hAnsi="Times New Roman"/>
                <w:kern w:val="0"/>
                <w:sz w:val="21"/>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atLeast"/>
        </w:trPr>
        <w:tc>
          <w:tcPr>
            <w:tcW w:w="830" w:type="dxa"/>
            <w:vMerge w:val="restart"/>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易燃物质</w:t>
            </w: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1</w:t>
            </w:r>
          </w:p>
        </w:tc>
        <w:tc>
          <w:tcPr>
            <w:tcW w:w="6914" w:type="dxa"/>
            <w:gridSpan w:val="3"/>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left"/>
              <w:textAlignment w:val="center"/>
              <w:rPr>
                <w:rFonts w:ascii="Times New Roman" w:hAnsi="Times New Roman"/>
                <w:kern w:val="0"/>
                <w:sz w:val="21"/>
              </w:rPr>
            </w:pPr>
            <w:r>
              <w:rPr>
                <w:rFonts w:hint="eastAsia" w:ascii="Times New Roman" w:hAnsi="Times New Roman"/>
                <w:kern w:val="0"/>
                <w:sz w:val="21"/>
              </w:rPr>
              <w:t>可燃气体</w:t>
            </w:r>
            <w:r>
              <w:rPr>
                <w:rFonts w:ascii="Times New Roman" w:hAnsi="Times New Roman"/>
                <w:kern w:val="0"/>
                <w:sz w:val="21"/>
              </w:rPr>
              <w:t>—</w:t>
            </w:r>
            <w:r>
              <w:rPr>
                <w:rFonts w:hint="eastAsia" w:ascii="Times New Roman" w:hAnsi="Times New Roman"/>
                <w:kern w:val="0"/>
                <w:sz w:val="21"/>
              </w:rPr>
              <w:t>在常压下以气态存在并与空气混合形成可燃混合物；其沸点（常压下）是</w:t>
            </w:r>
            <w:r>
              <w:rPr>
                <w:rFonts w:ascii="Times New Roman" w:hAnsi="Times New Roman"/>
                <w:kern w:val="0"/>
                <w:sz w:val="21"/>
              </w:rPr>
              <w:t>20</w:t>
            </w:r>
            <w:r>
              <w:rPr>
                <w:rFonts w:hint="eastAsia" w:ascii="宋体" w:hAnsi="宋体" w:cs="宋体"/>
                <w:kern w:val="0"/>
                <w:sz w:val="21"/>
              </w:rPr>
              <w:t>℃</w:t>
            </w:r>
            <w:r>
              <w:rPr>
                <w:rFonts w:hint="eastAsia" w:ascii="Times New Roman" w:hAnsi="Times New Roman"/>
                <w:kern w:val="0"/>
                <w:sz w:val="21"/>
              </w:rPr>
              <w:t>或</w:t>
            </w:r>
            <w:r>
              <w:rPr>
                <w:rFonts w:ascii="Times New Roman" w:hAnsi="Times New Roman"/>
                <w:kern w:val="0"/>
                <w:sz w:val="21"/>
              </w:rPr>
              <w:t>20</w:t>
            </w:r>
            <w:r>
              <w:rPr>
                <w:rFonts w:hint="eastAsia" w:ascii="宋体" w:hAnsi="宋体" w:cs="宋体"/>
                <w:kern w:val="0"/>
                <w:sz w:val="21"/>
              </w:rPr>
              <w:t>℃</w:t>
            </w:r>
            <w:r>
              <w:rPr>
                <w:rFonts w:hint="eastAsia" w:ascii="Times New Roman" w:hAnsi="Times New Roman"/>
                <w:kern w:val="0"/>
                <w:sz w:val="21"/>
              </w:rPr>
              <w:t>以下的物质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6" w:hRule="atLeas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kern w:val="0"/>
                <w:sz w:val="21"/>
              </w:rPr>
            </w:pP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2</w:t>
            </w:r>
          </w:p>
        </w:tc>
        <w:tc>
          <w:tcPr>
            <w:tcW w:w="6914" w:type="dxa"/>
            <w:gridSpan w:val="3"/>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left"/>
              <w:textAlignment w:val="center"/>
              <w:rPr>
                <w:rFonts w:ascii="Times New Roman" w:hAnsi="Times New Roman"/>
                <w:kern w:val="0"/>
                <w:sz w:val="21"/>
              </w:rPr>
            </w:pPr>
            <w:r>
              <w:rPr>
                <w:rFonts w:hint="eastAsia" w:ascii="Times New Roman" w:hAnsi="Times New Roman"/>
                <w:kern w:val="0"/>
                <w:sz w:val="21"/>
              </w:rPr>
              <w:t>易燃液体</w:t>
            </w:r>
            <w:r>
              <w:rPr>
                <w:rFonts w:ascii="Times New Roman" w:hAnsi="Times New Roman"/>
                <w:kern w:val="0"/>
                <w:sz w:val="21"/>
              </w:rPr>
              <w:t>—</w:t>
            </w:r>
            <w:r>
              <w:rPr>
                <w:rFonts w:hint="eastAsia" w:ascii="Times New Roman" w:hAnsi="Times New Roman"/>
                <w:kern w:val="0"/>
                <w:sz w:val="21"/>
              </w:rPr>
              <w:t>闪点低于</w:t>
            </w:r>
            <w:r>
              <w:rPr>
                <w:rFonts w:ascii="Times New Roman" w:hAnsi="Times New Roman"/>
                <w:kern w:val="0"/>
                <w:sz w:val="21"/>
              </w:rPr>
              <w:t>21</w:t>
            </w:r>
            <w:r>
              <w:rPr>
                <w:rFonts w:hint="eastAsia" w:ascii="宋体" w:hAnsi="宋体" w:cs="宋体"/>
                <w:kern w:val="0"/>
                <w:sz w:val="21"/>
              </w:rPr>
              <w:t>℃</w:t>
            </w:r>
            <w:r>
              <w:rPr>
                <w:rFonts w:hint="eastAsia" w:ascii="Times New Roman" w:hAnsi="Times New Roman"/>
                <w:kern w:val="0"/>
                <w:sz w:val="21"/>
              </w:rPr>
              <w:t>，沸点高于</w:t>
            </w:r>
            <w:r>
              <w:rPr>
                <w:rFonts w:ascii="Times New Roman" w:hAnsi="Times New Roman"/>
                <w:kern w:val="0"/>
                <w:sz w:val="21"/>
              </w:rPr>
              <w:t>20</w:t>
            </w:r>
            <w:r>
              <w:rPr>
                <w:rFonts w:hint="eastAsia" w:ascii="宋体" w:hAnsi="宋体" w:cs="宋体"/>
                <w:kern w:val="0"/>
                <w:sz w:val="21"/>
              </w:rPr>
              <w:t>℃</w:t>
            </w:r>
            <w:r>
              <w:rPr>
                <w:rFonts w:hint="eastAsia" w:ascii="Times New Roman" w:hAnsi="Times New Roman"/>
                <w:kern w:val="0"/>
                <w:sz w:val="21"/>
              </w:rPr>
              <w:t>的物质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1" w:hRule="atLeas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kern w:val="0"/>
                <w:sz w:val="21"/>
              </w:rPr>
            </w:pPr>
          </w:p>
        </w:tc>
        <w:tc>
          <w:tcPr>
            <w:tcW w:w="546" w:type="dxa"/>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ascii="Times New Roman" w:hAnsi="Times New Roman"/>
                <w:kern w:val="0"/>
                <w:sz w:val="21"/>
              </w:rPr>
              <w:t>3</w:t>
            </w:r>
          </w:p>
        </w:tc>
        <w:tc>
          <w:tcPr>
            <w:tcW w:w="6914" w:type="dxa"/>
            <w:gridSpan w:val="3"/>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left"/>
              <w:textAlignment w:val="center"/>
              <w:rPr>
                <w:rFonts w:ascii="Times New Roman" w:hAnsi="Times New Roman"/>
                <w:kern w:val="0"/>
                <w:sz w:val="21"/>
              </w:rPr>
            </w:pPr>
            <w:r>
              <w:rPr>
                <w:rFonts w:hint="eastAsia" w:ascii="Times New Roman" w:hAnsi="Times New Roman"/>
                <w:kern w:val="0"/>
                <w:sz w:val="21"/>
              </w:rPr>
              <w:t>可燃液体</w:t>
            </w:r>
            <w:r>
              <w:rPr>
                <w:rFonts w:ascii="Times New Roman" w:hAnsi="Times New Roman"/>
                <w:kern w:val="0"/>
                <w:sz w:val="21"/>
              </w:rPr>
              <w:t>—</w:t>
            </w:r>
            <w:r>
              <w:rPr>
                <w:rFonts w:hint="eastAsia" w:ascii="Times New Roman" w:hAnsi="Times New Roman"/>
                <w:kern w:val="0"/>
                <w:sz w:val="21"/>
              </w:rPr>
              <w:t>闪点低于</w:t>
            </w:r>
            <w:r>
              <w:rPr>
                <w:rFonts w:ascii="Times New Roman" w:hAnsi="Times New Roman"/>
                <w:kern w:val="0"/>
                <w:sz w:val="21"/>
              </w:rPr>
              <w:t>55</w:t>
            </w:r>
            <w:r>
              <w:rPr>
                <w:rFonts w:hint="eastAsia" w:ascii="宋体" w:hAnsi="宋体" w:cs="宋体"/>
                <w:kern w:val="0"/>
                <w:sz w:val="21"/>
              </w:rPr>
              <w:t>℃</w:t>
            </w:r>
            <w:r>
              <w:rPr>
                <w:rFonts w:hint="eastAsia" w:ascii="Times New Roman" w:hAnsi="Times New Roman"/>
                <w:kern w:val="0"/>
                <w:sz w:val="21"/>
              </w:rPr>
              <w:t>，压力下保持液态，在实际操作条件下（如高温高压）可以引起重大事故的物质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2" w:hRule="atLeast"/>
        </w:trPr>
        <w:tc>
          <w:tcPr>
            <w:tcW w:w="1376" w:type="dxa"/>
            <w:gridSpan w:val="2"/>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爆炸性物质</w:t>
            </w:r>
          </w:p>
        </w:tc>
        <w:tc>
          <w:tcPr>
            <w:tcW w:w="6914" w:type="dxa"/>
            <w:gridSpan w:val="3"/>
            <w:tcBorders>
              <w:top w:val="single" w:color="auto" w:sz="6" w:space="0"/>
              <w:left w:val="single" w:color="auto" w:sz="6" w:space="0"/>
              <w:bottom w:val="single" w:color="auto" w:sz="6" w:space="0"/>
              <w:right w:val="single" w:color="auto" w:sz="6" w:space="0"/>
            </w:tcBorders>
            <w:vAlign w:val="center"/>
          </w:tcPr>
          <w:p>
            <w:pPr>
              <w:keepNext/>
              <w:keepLines/>
              <w:adjustRightInd w:val="0"/>
              <w:spacing w:line="240" w:lineRule="auto"/>
              <w:ind w:firstLine="0" w:firstLineChars="0"/>
              <w:jc w:val="center"/>
              <w:textAlignment w:val="center"/>
              <w:rPr>
                <w:rFonts w:ascii="Times New Roman" w:hAnsi="Times New Roman"/>
                <w:kern w:val="0"/>
                <w:sz w:val="21"/>
              </w:rPr>
            </w:pPr>
            <w:r>
              <w:rPr>
                <w:rFonts w:hint="eastAsia" w:ascii="Times New Roman" w:hAnsi="Times New Roman"/>
                <w:kern w:val="0"/>
                <w:sz w:val="21"/>
              </w:rPr>
              <w:t>在火焰影响下可以爆炸，或者对冲击、摩擦比硝基苯更为敏感的物质</w:t>
            </w:r>
          </w:p>
        </w:tc>
      </w:tr>
    </w:tbl>
    <w:p>
      <w:pPr>
        <w:ind w:firstLine="0" w:firstLineChars="0"/>
        <w:rPr>
          <w:rFonts w:ascii="Times New Roman" w:hAnsi="Times New Roman"/>
          <w:b/>
          <w:szCs w:val="24"/>
        </w:rPr>
      </w:pPr>
      <w:r>
        <w:rPr>
          <w:rFonts w:ascii="Times New Roman" w:hAnsi="Times New Roman"/>
          <w:b/>
          <w:szCs w:val="24"/>
        </w:rPr>
        <w:t xml:space="preserve">5.3.3.2 </w:t>
      </w:r>
      <w:r>
        <w:rPr>
          <w:rFonts w:hint="eastAsia" w:ascii="Times New Roman" w:hAnsi="Times New Roman"/>
          <w:b/>
          <w:szCs w:val="24"/>
        </w:rPr>
        <w:t>煤成气的性质</w:t>
      </w:r>
    </w:p>
    <w:p>
      <w:pPr>
        <w:ind w:firstLine="480"/>
        <w:rPr>
          <w:rFonts w:ascii="Times New Roman" w:hAnsi="Times New Roman"/>
        </w:rPr>
      </w:pPr>
      <w:r>
        <w:rPr>
          <w:rFonts w:hint="eastAsia" w:ascii="Times New Roman" w:hAnsi="Times New Roman"/>
        </w:rPr>
        <w:t>本项目产品煤成气主要成分为甲烷，甲烷的主要性质见表5.3-3。</w:t>
      </w:r>
    </w:p>
    <w:p>
      <w:pPr>
        <w:spacing w:line="500" w:lineRule="exact"/>
        <w:ind w:left="397" w:firstLineChars="0"/>
        <w:jc w:val="center"/>
        <w:rPr>
          <w:rFonts w:ascii="Times New Roman" w:hAnsi="Times New Roman"/>
          <w:b/>
          <w:sz w:val="21"/>
        </w:rPr>
      </w:pPr>
      <w:r>
        <w:rPr>
          <w:rFonts w:ascii="Times New Roman" w:hAnsi="Times New Roman"/>
          <w:b/>
          <w:sz w:val="21"/>
        </w:rPr>
        <w:t>表5.3-3</w:t>
      </w:r>
      <w:r>
        <w:rPr>
          <w:rFonts w:hint="eastAsia" w:ascii="Times New Roman" w:hAnsi="Times New Roman"/>
          <w:b/>
          <w:sz w:val="21"/>
        </w:rPr>
        <w:t xml:space="preserve"> 甲烷主要</w:t>
      </w:r>
      <w:r>
        <w:rPr>
          <w:rFonts w:ascii="Times New Roman" w:hAnsi="Times New Roman"/>
          <w:b/>
          <w:sz w:val="21"/>
        </w:rPr>
        <w:t>性质</w:t>
      </w:r>
    </w:p>
    <w:tbl>
      <w:tblPr>
        <w:tblStyle w:val="18"/>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82"/>
        <w:gridCol w:w="641"/>
        <w:gridCol w:w="1121"/>
        <w:gridCol w:w="1676"/>
        <w:gridCol w:w="498"/>
        <w:gridCol w:w="1466"/>
        <w:gridCol w:w="377"/>
        <w:gridCol w:w="17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82" w:type="dxa"/>
            <w:vMerge w:val="restart"/>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标识</w:t>
            </w: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中文名</w:t>
            </w:r>
          </w:p>
        </w:tc>
        <w:tc>
          <w:tcPr>
            <w:tcW w:w="1676"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rPr>
              <w:t>甲烷</w:t>
            </w:r>
          </w:p>
        </w:tc>
        <w:tc>
          <w:tcPr>
            <w:tcW w:w="196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英文名</w:t>
            </w:r>
          </w:p>
        </w:tc>
        <w:tc>
          <w:tcPr>
            <w:tcW w:w="2106"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rPr>
            </w:pPr>
            <w:r>
              <w:rPr>
                <w:rFonts w:ascii="Times New Roman" w:hAnsi="Times New Roman"/>
                <w:sz w:val="21"/>
                <w:lang w:val="zh-CN" w:eastAsia="zh-CN"/>
              </w:rPr>
              <w:t>methane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分子式</w:t>
            </w:r>
          </w:p>
        </w:tc>
        <w:tc>
          <w:tcPr>
            <w:tcW w:w="1676"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CH</w:t>
            </w:r>
            <w:r>
              <w:rPr>
                <w:rFonts w:ascii="Times New Roman" w:hAnsi="Times New Roman"/>
                <w:sz w:val="21"/>
                <w:vertAlign w:val="subscript"/>
                <w:lang w:val="zh-CN" w:eastAsia="zh-CN"/>
              </w:rPr>
              <w:t>4</w:t>
            </w:r>
          </w:p>
        </w:tc>
        <w:tc>
          <w:tcPr>
            <w:tcW w:w="196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CAS</w:t>
            </w:r>
            <w:r>
              <w:rPr>
                <w:rFonts w:hint="eastAsia" w:ascii="Times New Roman" w:hAnsi="Times New Roman"/>
                <w:sz w:val="21"/>
                <w:lang w:val="zh-CN" w:eastAsia="zh-CN"/>
              </w:rPr>
              <w:t>号</w:t>
            </w:r>
          </w:p>
        </w:tc>
        <w:tc>
          <w:tcPr>
            <w:tcW w:w="2106"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74-82-8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82" w:type="dxa"/>
            <w:vMerge w:val="restart"/>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p>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理化</w:t>
            </w:r>
          </w:p>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特性</w:t>
            </w: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沸点</w:t>
            </w:r>
          </w:p>
        </w:tc>
        <w:tc>
          <w:tcPr>
            <w:tcW w:w="1676"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-18</w:t>
            </w:r>
            <w:r>
              <w:rPr>
                <w:rFonts w:ascii="Times New Roman" w:hAnsi="Times New Roman"/>
                <w:sz w:val="21"/>
                <w:lang w:val="zh-CN"/>
              </w:rPr>
              <w:t>9.91</w:t>
            </w:r>
            <w:r>
              <w:rPr>
                <w:rFonts w:hint="eastAsia" w:ascii="宋体" w:hAnsi="宋体" w:cs="宋体"/>
                <w:sz w:val="21"/>
                <w:lang w:val="zh-CN" w:eastAsia="zh-CN"/>
              </w:rPr>
              <w:t>℃</w:t>
            </w:r>
          </w:p>
        </w:tc>
        <w:tc>
          <w:tcPr>
            <w:tcW w:w="196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相对密度</w:t>
            </w:r>
            <w:r>
              <w:rPr>
                <w:rFonts w:ascii="Times New Roman" w:hAnsi="Times New Roman"/>
                <w:sz w:val="21"/>
                <w:lang w:val="zh-CN" w:eastAsia="zh-CN"/>
              </w:rPr>
              <w:t>(</w:t>
            </w:r>
            <w:r>
              <w:rPr>
                <w:rFonts w:hint="eastAsia" w:ascii="Times New Roman" w:hAnsi="Times New Roman"/>
                <w:sz w:val="21"/>
                <w:lang w:val="zh-CN" w:eastAsia="zh-CN"/>
              </w:rPr>
              <w:t>空气</w:t>
            </w:r>
            <w:r>
              <w:rPr>
                <w:rFonts w:ascii="Times New Roman" w:hAnsi="Times New Roman"/>
                <w:sz w:val="21"/>
                <w:lang w:val="zh-CN" w:eastAsia="zh-CN"/>
              </w:rPr>
              <w:t>=1)</w:t>
            </w:r>
          </w:p>
        </w:tc>
        <w:tc>
          <w:tcPr>
            <w:tcW w:w="2106"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eastAsia="zh-CN"/>
              </w:rPr>
              <w:t>0.5742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外观性状</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无色或无臭气体（</w:t>
            </w:r>
            <w:r>
              <w:rPr>
                <w:rFonts w:hint="eastAsia" w:ascii="Times New Roman" w:hAnsi="Times New Roman"/>
                <w:sz w:val="21"/>
                <w:lang w:val="zh-CN"/>
              </w:rPr>
              <w:t>煤成气</w:t>
            </w:r>
            <w:r>
              <w:rPr>
                <w:rFonts w:hint="eastAsia" w:ascii="Times New Roman" w:hAnsi="Times New Roman"/>
                <w:sz w:val="21"/>
                <w:lang w:val="zh-CN" w:eastAsia="zh-CN"/>
              </w:rPr>
              <w:t>中已加入识别臭味）。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溶解性</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微溶于水，溶于醇、乙醚</w:t>
            </w:r>
            <w:r>
              <w:rPr>
                <w:rFonts w:ascii="Times New Roman" w:hAnsi="Times New Roman"/>
                <w:sz w:val="21"/>
                <w:lang w:val="zh-CN" w:eastAsia="zh-CN"/>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稳定性</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稳定</w:t>
            </w:r>
            <w:r>
              <w:rPr>
                <w:rFonts w:ascii="Times New Roman" w:hAnsi="Times New Roman"/>
                <w:sz w:val="21"/>
                <w:lang w:val="zh-CN" w:eastAsia="zh-CN"/>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82" w:type="dxa"/>
            <w:vMerge w:val="restart"/>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燃爆</w:t>
            </w:r>
          </w:p>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特性</w:t>
            </w: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闪点</w:t>
            </w:r>
          </w:p>
        </w:tc>
        <w:tc>
          <w:tcPr>
            <w:tcW w:w="217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-1</w:t>
            </w:r>
            <w:r>
              <w:rPr>
                <w:rFonts w:ascii="Times New Roman" w:hAnsi="Times New Roman"/>
                <w:sz w:val="21"/>
                <w:lang w:val="zh-CN"/>
              </w:rPr>
              <w:t>89.91</w:t>
            </w:r>
            <w:r>
              <w:rPr>
                <w:rFonts w:hint="eastAsia" w:ascii="宋体" w:hAnsi="宋体" w:cs="宋体"/>
                <w:sz w:val="21"/>
                <w:lang w:val="zh-CN" w:eastAsia="zh-CN"/>
              </w:rPr>
              <w:t>℃</w:t>
            </w:r>
          </w:p>
        </w:tc>
        <w:tc>
          <w:tcPr>
            <w:tcW w:w="1843"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爆炸极限</w:t>
            </w:r>
          </w:p>
        </w:tc>
        <w:tc>
          <w:tcPr>
            <w:tcW w:w="1729"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5.3</w:t>
            </w:r>
            <w:r>
              <w:rPr>
                <w:rFonts w:hint="eastAsia" w:ascii="Times New Roman" w:hAnsi="Times New Roman"/>
                <w:sz w:val="21"/>
                <w:lang w:val="zh-CN" w:eastAsia="zh-CN"/>
              </w:rPr>
              <w:t>～</w:t>
            </w:r>
            <w:r>
              <w:rPr>
                <w:rFonts w:ascii="Times New Roman" w:hAnsi="Times New Roman"/>
                <w:sz w:val="21"/>
                <w:lang w:val="zh-CN" w:eastAsia="zh-CN"/>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自燃点</w:t>
            </w:r>
          </w:p>
        </w:tc>
        <w:tc>
          <w:tcPr>
            <w:tcW w:w="217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538</w:t>
            </w:r>
            <w:r>
              <w:rPr>
                <w:rFonts w:hint="eastAsia" w:ascii="宋体" w:hAnsi="宋体" w:cs="宋体"/>
                <w:sz w:val="21"/>
                <w:lang w:val="zh-CN" w:eastAsia="zh-CN"/>
              </w:rPr>
              <w:t>℃</w:t>
            </w:r>
          </w:p>
        </w:tc>
        <w:tc>
          <w:tcPr>
            <w:tcW w:w="1843"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p>
        </w:tc>
        <w:tc>
          <w:tcPr>
            <w:tcW w:w="1729"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火灾危险类别</w:t>
            </w:r>
          </w:p>
        </w:tc>
        <w:tc>
          <w:tcPr>
            <w:tcW w:w="2174"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vertAlign w:val="subscript"/>
                <w:lang w:val="zh-CN" w:eastAsia="zh-CN"/>
              </w:rPr>
            </w:pPr>
            <w:r>
              <w:rPr>
                <w:rFonts w:hint="eastAsia" w:ascii="Times New Roman" w:hAnsi="Times New Roman"/>
                <w:sz w:val="21"/>
                <w:lang w:val="zh-CN" w:eastAsia="zh-CN"/>
              </w:rPr>
              <w:t>第</w:t>
            </w:r>
            <w:r>
              <w:rPr>
                <w:rFonts w:ascii="Times New Roman" w:hAnsi="Times New Roman"/>
                <w:sz w:val="21"/>
                <w:lang w:val="zh-CN" w:eastAsia="zh-CN"/>
              </w:rPr>
              <w:t>2.1</w:t>
            </w:r>
            <w:r>
              <w:rPr>
                <w:rFonts w:hint="eastAsia" w:ascii="Times New Roman" w:hAnsi="Times New Roman"/>
                <w:sz w:val="21"/>
                <w:lang w:val="zh-CN" w:eastAsia="zh-CN"/>
              </w:rPr>
              <w:t>类，易燃气体</w:t>
            </w:r>
          </w:p>
        </w:tc>
        <w:tc>
          <w:tcPr>
            <w:tcW w:w="1843"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爆炸危险组别类别</w:t>
            </w:r>
          </w:p>
        </w:tc>
        <w:tc>
          <w:tcPr>
            <w:tcW w:w="1729"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ascii="Times New Roman" w:hAnsi="Times New Roman"/>
                <w:sz w:val="21"/>
                <w:lang w:val="zh-CN" w:eastAsia="zh-CN"/>
              </w:rPr>
              <w:t>T3</w:t>
            </w:r>
            <w:r>
              <w:rPr>
                <w:rFonts w:hint="eastAsia" w:ascii="Times New Roman" w:hAnsi="Times New Roman"/>
                <w:sz w:val="21"/>
                <w:lang w:val="zh-CN" w:eastAsia="zh-CN"/>
              </w:rPr>
              <w:t>／</w:t>
            </w:r>
            <w:r>
              <w:rPr>
                <w:rFonts w:hint="eastAsia" w:ascii="宋体" w:hAnsi="宋体" w:cs="宋体"/>
                <w:sz w:val="21"/>
                <w:lang w:val="zh-CN" w:eastAsia="zh-CN"/>
              </w:rPr>
              <w:t>Ⅱ</w:t>
            </w:r>
            <w:r>
              <w:rPr>
                <w:rFonts w:ascii="Times New Roman" w:hAnsi="Times New Roman"/>
                <w:sz w:val="21"/>
                <w:lang w:val="zh-CN" w:eastAsia="zh-CN"/>
              </w:rPr>
              <w:t>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危险特性</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易燃，与与空气混合能形成爆炸性混合物，遇热源和明火易引起燃烧爆炸，与五氧化溴、氯气、次氯酸、三氟化氮、液氧、二氟化氮及其它强氧化剂接触能发生剧烈反应。</w:t>
            </w:r>
          </w:p>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燃烧</w:t>
            </w:r>
            <w:r>
              <w:rPr>
                <w:rFonts w:ascii="Times New Roman" w:hAnsi="Times New Roman"/>
                <w:sz w:val="21"/>
                <w:lang w:val="zh-CN" w:eastAsia="zh-CN"/>
              </w:rPr>
              <w:t>(</w:t>
            </w:r>
            <w:r>
              <w:rPr>
                <w:rFonts w:hint="eastAsia" w:ascii="Times New Roman" w:hAnsi="Times New Roman"/>
                <w:sz w:val="21"/>
                <w:lang w:val="zh-CN" w:eastAsia="zh-CN"/>
              </w:rPr>
              <w:t>分解</w:t>
            </w:r>
            <w:r>
              <w:rPr>
                <w:rFonts w:ascii="Times New Roman" w:hAnsi="Times New Roman"/>
                <w:sz w:val="21"/>
                <w:lang w:val="zh-CN" w:eastAsia="zh-CN"/>
              </w:rPr>
              <w:t>)</w:t>
            </w:r>
            <w:r>
              <w:rPr>
                <w:rFonts w:hint="eastAsia" w:ascii="Times New Roman" w:hAnsi="Times New Roman"/>
                <w:sz w:val="21"/>
                <w:lang w:val="zh-CN" w:eastAsia="zh-CN"/>
              </w:rPr>
              <w:t>产物：一氧化碳、二氧化碳。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灭火剂种类</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泡沬、干粉、</w:t>
            </w:r>
            <w:r>
              <w:rPr>
                <w:rFonts w:ascii="Times New Roman" w:hAnsi="Times New Roman"/>
                <w:sz w:val="21"/>
                <w:lang w:val="zh-CN" w:eastAsia="zh-CN"/>
              </w:rPr>
              <w:t>CO</w:t>
            </w:r>
            <w:r>
              <w:rPr>
                <w:rFonts w:ascii="Times New Roman" w:hAnsi="Times New Roman"/>
                <w:sz w:val="21"/>
                <w:vertAlign w:val="subscript"/>
                <w:lang w:val="zh-CN" w:eastAsia="zh-CN"/>
              </w:rPr>
              <w:t>2</w:t>
            </w:r>
            <w:r>
              <w:rPr>
                <w:rFonts w:hint="eastAsia" w:ascii="Times New Roman" w:hAnsi="Times New Roman"/>
                <w:sz w:val="21"/>
                <w:lang w:val="zh-CN" w:eastAsia="zh-CN"/>
              </w:rPr>
              <w:t>、雾状水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82" w:type="dxa"/>
            <w:vMerge w:val="restart"/>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毒性</w:t>
            </w:r>
          </w:p>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及</w:t>
            </w:r>
          </w:p>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健康危害</w:t>
            </w: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毒性</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vertAlign w:val="superscript"/>
                <w:lang w:val="zh-CN" w:eastAsia="zh-CN"/>
              </w:rPr>
            </w:pPr>
            <w:r>
              <w:rPr>
                <w:rFonts w:hint="eastAsia" w:ascii="Times New Roman" w:hAnsi="Times New Roman"/>
                <w:sz w:val="21"/>
                <w:lang w:val="zh-CN" w:eastAsia="zh-CN"/>
              </w:rPr>
              <w:t>微毒类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762" w:type="dxa"/>
            <w:gridSpan w:val="2"/>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健康危害</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甲烷对人基本无毒，但浓度过高时，使空气中氧含量明显降低，使人窒息。当空气中甲烷达</w:t>
            </w:r>
            <w:r>
              <w:rPr>
                <w:rFonts w:ascii="Times New Roman" w:hAnsi="Times New Roman"/>
                <w:sz w:val="21"/>
                <w:lang w:val="zh-CN" w:eastAsia="zh-CN"/>
              </w:rPr>
              <w:t>25%-30%</w:t>
            </w:r>
            <w:r>
              <w:rPr>
                <w:rFonts w:hint="eastAsia" w:ascii="Times New Roman" w:hAnsi="Times New Roman"/>
                <w:sz w:val="21"/>
                <w:lang w:val="zh-CN" w:eastAsia="zh-CN"/>
              </w:rPr>
              <w:t>时，可引起头痛、头晕、乏力、注意力不集中、呼吸和心跳加速、共济失调。若不及时脱离，可致窒息死亡。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641" w:type="dxa"/>
            <w:vMerge w:val="restart"/>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短期暴露影响</w:t>
            </w:r>
          </w:p>
        </w:tc>
        <w:tc>
          <w:tcPr>
            <w:tcW w:w="1121"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皮肤接触</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rPr>
            </w:pPr>
            <w:r>
              <w:rPr>
                <w:rFonts w:hint="eastAsia" w:ascii="Times New Roman" w:hAnsi="Times New Roman"/>
                <w:sz w:val="21"/>
              </w:rPr>
              <w:t>皮肤接触液化本品，可致冻伤。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121"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眼睛接触</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lang w:val="zh-CN" w:eastAsia="zh-CN"/>
              </w:rPr>
            </w:pPr>
            <w:r>
              <w:rPr>
                <w:rFonts w:hint="eastAsia" w:ascii="Times New Roman" w:hAnsi="Times New Roman"/>
                <w:sz w:val="21"/>
                <w:lang w:val="zh-CN" w:eastAsia="zh-CN"/>
              </w:rPr>
              <w:t>一般不需要特别防护，高浓度接触时可戴安全防护眼镜。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atLeast"/>
              <w:ind w:firstLine="420"/>
              <w:rPr>
                <w:rFonts w:ascii="Times New Roman" w:hAnsi="Times New Roman"/>
                <w:sz w:val="21"/>
                <w:lang w:val="zh-CN" w:eastAsia="zh-CN"/>
              </w:rPr>
            </w:pPr>
          </w:p>
        </w:tc>
        <w:tc>
          <w:tcPr>
            <w:tcW w:w="1121"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jc w:val="center"/>
              <w:textAlignment w:val="baseline"/>
              <w:rPr>
                <w:rFonts w:ascii="Times New Roman" w:hAnsi="Times New Roman"/>
                <w:sz w:val="21"/>
                <w:lang w:val="zh-CN" w:eastAsia="zh-CN"/>
              </w:rPr>
            </w:pPr>
            <w:r>
              <w:rPr>
                <w:rFonts w:hint="eastAsia" w:ascii="Times New Roman" w:hAnsi="Times New Roman"/>
                <w:sz w:val="21"/>
                <w:lang w:val="zh-CN" w:eastAsia="zh-CN"/>
              </w:rPr>
              <w:t>吸入</w:t>
            </w:r>
          </w:p>
        </w:tc>
        <w:tc>
          <w:tcPr>
            <w:tcW w:w="5746" w:type="dxa"/>
            <w:gridSpan w:val="5"/>
            <w:tcBorders>
              <w:top w:val="single" w:color="auto" w:sz="6" w:space="0"/>
              <w:left w:val="single" w:color="auto" w:sz="6" w:space="0"/>
              <w:bottom w:val="single" w:color="auto" w:sz="6" w:space="0"/>
              <w:right w:val="single" w:color="auto" w:sz="6" w:space="0"/>
            </w:tcBorders>
            <w:vAlign w:val="center"/>
          </w:tcPr>
          <w:p>
            <w:pPr>
              <w:adjustRightInd w:val="0"/>
              <w:spacing w:line="240" w:lineRule="auto"/>
              <w:ind w:firstLine="0" w:firstLineChars="0"/>
              <w:textAlignment w:val="baseline"/>
              <w:rPr>
                <w:rFonts w:ascii="Times New Roman" w:hAnsi="Times New Roman"/>
                <w:sz w:val="21"/>
              </w:rPr>
            </w:pPr>
            <w:r>
              <w:rPr>
                <w:rFonts w:hint="eastAsia" w:ascii="Times New Roman" w:hAnsi="Times New Roman"/>
                <w:sz w:val="21"/>
              </w:rPr>
              <w:t>在高浓度时因缺氧窒息而引起中毒。空气中达到</w:t>
            </w:r>
            <w:r>
              <w:rPr>
                <w:rFonts w:ascii="Times New Roman" w:hAnsi="Times New Roman"/>
                <w:sz w:val="21"/>
              </w:rPr>
              <w:t>25</w:t>
            </w:r>
            <w:r>
              <w:rPr>
                <w:rFonts w:hint="eastAsia" w:ascii="Times New Roman" w:hAnsi="Times New Roman"/>
                <w:sz w:val="21"/>
              </w:rPr>
              <w:t>～</w:t>
            </w:r>
            <w:r>
              <w:rPr>
                <w:rFonts w:ascii="Times New Roman" w:hAnsi="Times New Roman"/>
                <w:sz w:val="21"/>
              </w:rPr>
              <w:t>30%</w:t>
            </w:r>
            <w:r>
              <w:rPr>
                <w:rFonts w:hint="eastAsia" w:ascii="Times New Roman" w:hAnsi="Times New Roman"/>
                <w:sz w:val="21"/>
              </w:rPr>
              <w:t>出现头昏、呼吸加速、运动失调。</w:t>
            </w:r>
          </w:p>
        </w:tc>
      </w:tr>
    </w:tbl>
    <w:p>
      <w:pPr>
        <w:ind w:firstLine="480"/>
      </w:pPr>
    </w:p>
    <w:p>
      <w:pPr>
        <w:ind w:firstLine="0" w:firstLineChars="0"/>
        <w:rPr>
          <w:rFonts w:ascii="Times New Roman" w:hAnsi="Times New Roman"/>
          <w:b/>
          <w:szCs w:val="24"/>
        </w:rPr>
      </w:pPr>
      <w:r>
        <w:rPr>
          <w:rFonts w:ascii="Times New Roman" w:hAnsi="Times New Roman"/>
          <w:b/>
          <w:szCs w:val="24"/>
        </w:rPr>
        <w:t xml:space="preserve">5.3.3.3 </w:t>
      </w:r>
      <w:r>
        <w:rPr>
          <w:rFonts w:hint="eastAsia" w:ascii="Times New Roman" w:hAnsi="Times New Roman"/>
          <w:b/>
          <w:szCs w:val="24"/>
        </w:rPr>
        <w:t>生产过程潜在危险性识别</w:t>
      </w:r>
    </w:p>
    <w:p>
      <w:pPr>
        <w:adjustRightInd w:val="0"/>
        <w:ind w:firstLine="480"/>
        <w:textAlignment w:val="baseline"/>
        <w:rPr>
          <w:rFonts w:ascii="Times New Roman" w:hAnsi="Times New Roman"/>
          <w:szCs w:val="24"/>
        </w:rPr>
      </w:pPr>
      <w:r>
        <w:rPr>
          <w:rFonts w:ascii="Times New Roman" w:hAnsi="Times New Roman"/>
          <w:szCs w:val="24"/>
        </w:rPr>
        <w:t>钻井作业是多种工种的野外作业，且地下情况复杂，钻井作业隐藏着对环境的多种不安全因素。钻井过程中的危险因素及可能发生的事故为：废水泄漏或外溢、井喷等。废水泄漏或外溢会污染地下水；井喷失控会导致甲烷泄漏，事故点火产生热辐射、爆炸冲击波、套管破裂</w:t>
      </w:r>
      <w:r>
        <w:rPr>
          <w:rFonts w:hint="eastAsia" w:ascii="Times New Roman" w:hAnsi="Times New Roman"/>
          <w:szCs w:val="24"/>
        </w:rPr>
        <w:t>煤成气</w:t>
      </w:r>
      <w:r>
        <w:rPr>
          <w:rFonts w:ascii="Times New Roman" w:hAnsi="Times New Roman"/>
          <w:szCs w:val="24"/>
        </w:rPr>
        <w:t>泄漏。</w:t>
      </w:r>
    </w:p>
    <w:p>
      <w:pPr>
        <w:ind w:firstLine="0" w:firstLineChars="0"/>
        <w:rPr>
          <w:rFonts w:ascii="Times New Roman" w:hAnsi="Times New Roman"/>
          <w:b/>
          <w:szCs w:val="24"/>
        </w:rPr>
      </w:pPr>
      <w:r>
        <w:rPr>
          <w:rFonts w:ascii="Times New Roman" w:hAnsi="Times New Roman"/>
          <w:b/>
          <w:szCs w:val="24"/>
        </w:rPr>
        <w:t>5.3.3.4 环境风险因子和风险类型</w:t>
      </w:r>
    </w:p>
    <w:p>
      <w:pPr>
        <w:adjustRightInd w:val="0"/>
        <w:ind w:firstLine="480"/>
        <w:textAlignment w:val="baseline"/>
        <w:rPr>
          <w:rFonts w:ascii="Times New Roman" w:hAnsi="Times New Roman"/>
          <w:szCs w:val="24"/>
        </w:rPr>
      </w:pPr>
      <w:r>
        <w:rPr>
          <w:rFonts w:ascii="Times New Roman" w:hAnsi="Times New Roman"/>
          <w:szCs w:val="24"/>
        </w:rPr>
        <w:t>经环境风险识别，本项目的环境风险类型为井喷失控高压</w:t>
      </w:r>
      <w:r>
        <w:rPr>
          <w:rFonts w:hint="eastAsia" w:ascii="Times New Roman" w:hAnsi="Times New Roman"/>
          <w:szCs w:val="24"/>
        </w:rPr>
        <w:t>煤成气</w:t>
      </w:r>
      <w:r>
        <w:rPr>
          <w:rFonts w:ascii="Times New Roman" w:hAnsi="Times New Roman"/>
          <w:szCs w:val="24"/>
        </w:rPr>
        <w:t>形成蒸汽云爆炸冲击波。</w:t>
      </w:r>
    </w:p>
    <w:p>
      <w:pPr>
        <w:ind w:firstLine="0" w:firstLineChars="0"/>
        <w:rPr>
          <w:rFonts w:ascii="Times New Roman" w:hAnsi="Times New Roman"/>
          <w:b/>
          <w:szCs w:val="24"/>
        </w:rPr>
      </w:pPr>
      <w:r>
        <w:rPr>
          <w:rFonts w:ascii="Times New Roman" w:hAnsi="Times New Roman"/>
          <w:b/>
          <w:szCs w:val="24"/>
        </w:rPr>
        <w:t>5.3.3.5 国内气井事故案例</w:t>
      </w:r>
    </w:p>
    <w:p>
      <w:pPr>
        <w:adjustRightInd w:val="0"/>
        <w:ind w:firstLine="480"/>
        <w:textAlignment w:val="baseline"/>
        <w:rPr>
          <w:rFonts w:ascii="Times New Roman" w:hAnsi="Times New Roman"/>
          <w:szCs w:val="24"/>
        </w:rPr>
      </w:pPr>
      <w:r>
        <w:rPr>
          <w:rFonts w:ascii="Times New Roman" w:hAnsi="Times New Roman"/>
          <w:szCs w:val="24"/>
        </w:rPr>
        <w:t>由于国内目前没有发生过</w:t>
      </w:r>
      <w:r>
        <w:rPr>
          <w:rFonts w:hint="eastAsia" w:ascii="Times New Roman" w:hAnsi="Times New Roman"/>
          <w:szCs w:val="24"/>
        </w:rPr>
        <w:t>煤成气</w:t>
      </w:r>
      <w:r>
        <w:rPr>
          <w:rFonts w:ascii="Times New Roman" w:hAnsi="Times New Roman"/>
          <w:szCs w:val="24"/>
        </w:rPr>
        <w:t>井井喷事故，因此国内气井事故案例分析采用天然气气井事故案例。</w:t>
      </w:r>
    </w:p>
    <w:p>
      <w:pPr>
        <w:adjustRightInd w:val="0"/>
        <w:ind w:firstLine="480"/>
        <w:textAlignment w:val="baseline"/>
        <w:rPr>
          <w:rFonts w:ascii="Times New Roman" w:hAnsi="Times New Roman"/>
          <w:szCs w:val="24"/>
        </w:rPr>
      </w:pPr>
      <w:r>
        <w:rPr>
          <w:rFonts w:ascii="Times New Roman" w:hAnsi="Times New Roman"/>
          <w:szCs w:val="24"/>
        </w:rPr>
        <w:t>2006年12月21日晚7时左右，四川省宣汉县清溪镇天然气钻探1井发生可控制溢流事件，1万多名群众紧急撤离。</w:t>
      </w:r>
    </w:p>
    <w:p>
      <w:pPr>
        <w:adjustRightInd w:val="0"/>
        <w:ind w:firstLine="480"/>
        <w:textAlignment w:val="baseline"/>
        <w:rPr>
          <w:rFonts w:ascii="Times New Roman" w:hAnsi="Times New Roman"/>
          <w:szCs w:val="24"/>
        </w:rPr>
      </w:pPr>
      <w:r>
        <w:rPr>
          <w:rFonts w:ascii="Times New Roman" w:hAnsi="Times New Roman"/>
          <w:szCs w:val="24"/>
        </w:rPr>
        <w:t>2011年12月22日，成都市大邑县上安镇中国石油西南油气田公司邛崃1号井发生井喷事故，造成1人死亡4人失踪。</w:t>
      </w:r>
    </w:p>
    <w:p>
      <w:pPr>
        <w:ind w:firstLine="0" w:firstLineChars="0"/>
        <w:outlineLvl w:val="2"/>
        <w:rPr>
          <w:rFonts w:ascii="Times New Roman" w:hAnsi="Times New Roman"/>
          <w:b/>
          <w:sz w:val="28"/>
          <w:szCs w:val="28"/>
        </w:rPr>
      </w:pPr>
      <w:bookmarkStart w:id="101" w:name="_Toc524624628"/>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4</w:t>
      </w:r>
      <w:r>
        <w:rPr>
          <w:rFonts w:hint="eastAsia" w:ascii="Times New Roman" w:hAnsi="Times New Roman"/>
          <w:b/>
          <w:sz w:val="28"/>
          <w:szCs w:val="28"/>
        </w:rPr>
        <w:t xml:space="preserve"> 源项分析</w:t>
      </w:r>
      <w:bookmarkEnd w:id="101"/>
    </w:p>
    <w:p>
      <w:pPr>
        <w:ind w:firstLine="0" w:firstLineChars="0"/>
        <w:rPr>
          <w:rFonts w:ascii="Times New Roman" w:hAnsi="Times New Roman"/>
          <w:b/>
          <w:szCs w:val="24"/>
        </w:rPr>
      </w:pPr>
      <w:r>
        <w:rPr>
          <w:rFonts w:ascii="Times New Roman" w:hAnsi="Times New Roman"/>
          <w:b/>
          <w:szCs w:val="24"/>
        </w:rPr>
        <w:t xml:space="preserve">5.3.4.1 </w:t>
      </w:r>
      <w:r>
        <w:rPr>
          <w:rFonts w:hint="eastAsia" w:ascii="Times New Roman" w:hAnsi="Times New Roman"/>
          <w:b/>
          <w:szCs w:val="24"/>
        </w:rPr>
        <w:t>事故风险源分析</w:t>
      </w:r>
    </w:p>
    <w:p>
      <w:pPr>
        <w:adjustRightInd w:val="0"/>
        <w:ind w:firstLine="480"/>
        <w:textAlignment w:val="baseline"/>
        <w:rPr>
          <w:rFonts w:ascii="Times New Roman" w:hAnsi="Times New Roman"/>
          <w:szCs w:val="24"/>
        </w:rPr>
      </w:pPr>
      <w:r>
        <w:rPr>
          <w:rFonts w:ascii="Times New Roman" w:hAnsi="Times New Roman"/>
          <w:szCs w:val="24"/>
        </w:rPr>
        <w:t>（1）废水泄露或外溢</w:t>
      </w:r>
    </w:p>
    <w:p>
      <w:pPr>
        <w:adjustRightInd w:val="0"/>
        <w:ind w:firstLine="480"/>
        <w:textAlignment w:val="baseline"/>
        <w:rPr>
          <w:rFonts w:ascii="Times New Roman" w:hAnsi="Times New Roman"/>
          <w:szCs w:val="24"/>
        </w:rPr>
      </w:pPr>
      <w:r>
        <w:rPr>
          <w:rFonts w:hint="eastAsia" w:ascii="Times New Roman" w:hAnsi="Times New Roman"/>
          <w:szCs w:val="24"/>
        </w:rPr>
        <w:t>废水储罐</w:t>
      </w:r>
      <w:r>
        <w:rPr>
          <w:rFonts w:ascii="Times New Roman" w:hAnsi="Times New Roman"/>
          <w:szCs w:val="24"/>
        </w:rPr>
        <w:t>防渗不当或失效，可能导致废水箱渗漏，废水外渗污染土壤；暴雨造成钻井废水大量外溢造成环境污染。废水的主要危害表现在：可溶性盐含量高，含石油类的钻井污水影响土壤结构，危害植物生长；污水所含的其他有机处理剂使水体的COD、BOD增高，影响水生生物的生长。</w:t>
      </w:r>
    </w:p>
    <w:p>
      <w:pPr>
        <w:adjustRightInd w:val="0"/>
        <w:ind w:firstLine="480"/>
        <w:textAlignment w:val="baseline"/>
        <w:rPr>
          <w:rFonts w:ascii="Times New Roman" w:hAnsi="Times New Roman"/>
          <w:szCs w:val="24"/>
        </w:rPr>
      </w:pPr>
      <w:r>
        <w:rPr>
          <w:rFonts w:ascii="Times New Roman" w:hAnsi="Times New Roman"/>
          <w:szCs w:val="24"/>
        </w:rPr>
        <w:t>（2）井漏</w:t>
      </w:r>
    </w:p>
    <w:p>
      <w:pPr>
        <w:adjustRightInd w:val="0"/>
        <w:ind w:firstLine="480"/>
        <w:textAlignment w:val="baseline"/>
        <w:rPr>
          <w:rFonts w:ascii="Times New Roman" w:hAnsi="Times New Roman"/>
          <w:szCs w:val="24"/>
        </w:rPr>
      </w:pPr>
      <w:r>
        <w:rPr>
          <w:rFonts w:ascii="Times New Roman" w:hAnsi="Times New Roman"/>
          <w:szCs w:val="24"/>
        </w:rPr>
        <w:t>井漏是钻井过程中遇到复杂地层，钻井液或其他介质（固井水泥浆等）漏入地层孔隙、裂缝等空间的现象。若漏失地层与含水层之间存在较多的断裂或裂隙，漏失的钻井液就有可能顺着岩层断裂、裂隙进入地下水，污染地下水水质。另外，钻井过程可能破坏含水层结构，影响地下水流场，造成井场周边的农户水井出现水量减少，严重情况下可导致水井完全干涸。</w:t>
      </w:r>
    </w:p>
    <w:p>
      <w:pPr>
        <w:adjustRightInd w:val="0"/>
        <w:ind w:firstLine="480"/>
        <w:textAlignment w:val="baseline"/>
        <w:rPr>
          <w:rFonts w:ascii="Times New Roman" w:hAnsi="Times New Roman"/>
          <w:szCs w:val="24"/>
        </w:rPr>
      </w:pPr>
      <w:r>
        <w:rPr>
          <w:rFonts w:ascii="Times New Roman" w:hAnsi="Times New Roman"/>
          <w:szCs w:val="24"/>
        </w:rPr>
        <w:t>（3）</w:t>
      </w:r>
      <w:r>
        <w:rPr>
          <w:rFonts w:hint="eastAsia" w:ascii="Times New Roman" w:hAnsi="Times New Roman"/>
          <w:szCs w:val="24"/>
        </w:rPr>
        <w:t>井喷失控</w:t>
      </w:r>
    </w:p>
    <w:p>
      <w:pPr>
        <w:adjustRightInd w:val="0"/>
        <w:ind w:firstLine="480"/>
        <w:textAlignment w:val="baseline"/>
        <w:rPr>
          <w:rFonts w:ascii="Times New Roman" w:hAnsi="Times New Roman"/>
          <w:szCs w:val="24"/>
        </w:rPr>
      </w:pPr>
      <w:r>
        <w:rPr>
          <w:rFonts w:ascii="Times New Roman" w:hAnsi="Times New Roman"/>
          <w:szCs w:val="24"/>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大量的</w:t>
      </w:r>
      <w:r>
        <w:rPr>
          <w:rFonts w:hint="eastAsia" w:ascii="Times New Roman" w:hAnsi="Times New Roman"/>
          <w:szCs w:val="24"/>
        </w:rPr>
        <w:t>煤成气</w:t>
      </w:r>
      <w:r>
        <w:rPr>
          <w:rFonts w:ascii="Times New Roman" w:hAnsi="Times New Roman"/>
          <w:szCs w:val="24"/>
        </w:rPr>
        <w:t>逸散到空气中，对周围的空气环境造成一定的影响。</w:t>
      </w:r>
    </w:p>
    <w:p>
      <w:pPr>
        <w:ind w:firstLine="0" w:firstLineChars="0"/>
        <w:rPr>
          <w:rFonts w:ascii="Times New Roman" w:hAnsi="Times New Roman"/>
          <w:b/>
          <w:szCs w:val="24"/>
        </w:rPr>
      </w:pPr>
      <w:r>
        <w:rPr>
          <w:rFonts w:ascii="Times New Roman" w:hAnsi="Times New Roman"/>
          <w:b/>
          <w:szCs w:val="24"/>
        </w:rPr>
        <w:t xml:space="preserve">5.3.4.2 </w:t>
      </w:r>
      <w:r>
        <w:rPr>
          <w:rFonts w:hint="eastAsia" w:ascii="Times New Roman" w:hAnsi="Times New Roman"/>
          <w:b/>
          <w:szCs w:val="24"/>
        </w:rPr>
        <w:t>最大可信事故的确定</w:t>
      </w:r>
    </w:p>
    <w:p>
      <w:pPr>
        <w:adjustRightInd w:val="0"/>
        <w:ind w:firstLine="480"/>
        <w:textAlignment w:val="baseline"/>
        <w:rPr>
          <w:rFonts w:ascii="Times New Roman" w:hAnsi="Times New Roman"/>
          <w:szCs w:val="24"/>
        </w:rPr>
      </w:pPr>
      <w:r>
        <w:rPr>
          <w:rFonts w:ascii="Times New Roman" w:hAnsi="Times New Roman"/>
          <w:szCs w:val="24"/>
        </w:rPr>
        <w:t>在钻井过程中，若出现井喷失控，气藏内的</w:t>
      </w:r>
      <w:r>
        <w:rPr>
          <w:rFonts w:hint="eastAsia" w:ascii="Times New Roman" w:hAnsi="Times New Roman"/>
          <w:szCs w:val="24"/>
        </w:rPr>
        <w:t>煤成气</w:t>
      </w:r>
      <w:r>
        <w:rPr>
          <w:rFonts w:ascii="Times New Roman" w:hAnsi="Times New Roman"/>
          <w:szCs w:val="24"/>
        </w:rPr>
        <w:t>在地层压力的作用下，将以极高的动能速度从井口喷出，若自始至终未遇火源，将在其自身动量与气象条件控制下，喷涌后与空气混合、扩散形成甲烷云团。</w:t>
      </w:r>
      <w:r>
        <w:rPr>
          <w:rFonts w:hint="eastAsia" w:ascii="Times New Roman" w:hAnsi="Times New Roman"/>
          <w:szCs w:val="24"/>
        </w:rPr>
        <w:t>煤成气</w:t>
      </w:r>
      <w:r>
        <w:rPr>
          <w:rFonts w:ascii="Times New Roman" w:hAnsi="Times New Roman"/>
          <w:szCs w:val="24"/>
        </w:rPr>
        <w:t>喷射速率，将随着井内泥浆液柱的减小而增大，当井内的泥浆喷完后，达到最大喷射释放速率，其值取决于井的最大无阻流量。井喷点火后产生的主要污染物为CO</w:t>
      </w:r>
      <w:r>
        <w:rPr>
          <w:rFonts w:ascii="Times New Roman" w:hAnsi="Times New Roman"/>
          <w:szCs w:val="24"/>
          <w:vertAlign w:val="subscript"/>
        </w:rPr>
        <w:t>2</w:t>
      </w:r>
      <w:r>
        <w:rPr>
          <w:rFonts w:ascii="Times New Roman" w:hAnsi="Times New Roman"/>
          <w:szCs w:val="24"/>
        </w:rPr>
        <w:t>和NO</w:t>
      </w:r>
      <w:r>
        <w:rPr>
          <w:rFonts w:ascii="Times New Roman" w:hAnsi="Times New Roman"/>
          <w:szCs w:val="24"/>
          <w:vertAlign w:val="subscript"/>
        </w:rPr>
        <w:t>X</w:t>
      </w:r>
      <w:r>
        <w:rPr>
          <w:rFonts w:ascii="Times New Roman" w:hAnsi="Times New Roman"/>
          <w:szCs w:val="24"/>
        </w:rPr>
        <w:t>，虽然持续时间可能较长，但国内外目前并没有发生含</w:t>
      </w:r>
      <w:r>
        <w:rPr>
          <w:rFonts w:hint="eastAsia" w:ascii="Times New Roman" w:hAnsi="Times New Roman"/>
          <w:szCs w:val="24"/>
        </w:rPr>
        <w:t>煤成气</w:t>
      </w:r>
      <w:r>
        <w:rPr>
          <w:rFonts w:ascii="Times New Roman" w:hAnsi="Times New Roman"/>
          <w:szCs w:val="24"/>
        </w:rPr>
        <w:t>释放的CO</w:t>
      </w:r>
      <w:r>
        <w:rPr>
          <w:rFonts w:ascii="Times New Roman" w:hAnsi="Times New Roman"/>
          <w:szCs w:val="24"/>
          <w:vertAlign w:val="subscript"/>
        </w:rPr>
        <w:t>2</w:t>
      </w:r>
      <w:r>
        <w:rPr>
          <w:rFonts w:ascii="Times New Roman" w:hAnsi="Times New Roman"/>
          <w:szCs w:val="24"/>
        </w:rPr>
        <w:t>和NO</w:t>
      </w:r>
      <w:r>
        <w:rPr>
          <w:rFonts w:ascii="Times New Roman" w:hAnsi="Times New Roman"/>
          <w:szCs w:val="24"/>
          <w:vertAlign w:val="subscript"/>
        </w:rPr>
        <w:t>X</w:t>
      </w:r>
      <w:r>
        <w:rPr>
          <w:rFonts w:ascii="Times New Roman" w:hAnsi="Times New Roman"/>
          <w:szCs w:val="24"/>
        </w:rPr>
        <w:t>致死情况，因此从井喷的角度考虑，CO</w:t>
      </w:r>
      <w:r>
        <w:rPr>
          <w:rFonts w:ascii="Times New Roman" w:hAnsi="Times New Roman"/>
          <w:szCs w:val="24"/>
          <w:vertAlign w:val="subscript"/>
        </w:rPr>
        <w:t>2</w:t>
      </w:r>
      <w:r>
        <w:rPr>
          <w:rFonts w:ascii="Times New Roman" w:hAnsi="Times New Roman"/>
          <w:szCs w:val="24"/>
        </w:rPr>
        <w:t>和NO</w:t>
      </w:r>
      <w:r>
        <w:rPr>
          <w:rFonts w:ascii="Times New Roman" w:hAnsi="Times New Roman"/>
          <w:szCs w:val="24"/>
          <w:vertAlign w:val="subscript"/>
        </w:rPr>
        <w:t>X</w:t>
      </w:r>
      <w:r>
        <w:rPr>
          <w:rFonts w:ascii="Times New Roman" w:hAnsi="Times New Roman"/>
          <w:szCs w:val="24"/>
        </w:rPr>
        <w:t>的危险程度较低。</w:t>
      </w:r>
    </w:p>
    <w:p>
      <w:pPr>
        <w:adjustRightInd w:val="0"/>
        <w:ind w:firstLine="480"/>
        <w:textAlignment w:val="baseline"/>
        <w:rPr>
          <w:rFonts w:ascii="Times New Roman" w:hAnsi="Times New Roman"/>
          <w:szCs w:val="24"/>
        </w:rPr>
      </w:pPr>
      <w:r>
        <w:rPr>
          <w:rFonts w:ascii="Times New Roman" w:hAnsi="Times New Roman"/>
          <w:szCs w:val="24"/>
        </w:rPr>
        <w:t>结合本项目的特点，确定本项目最大可信事故为井喷失控导致的蒸汽云爆炸冲击波。</w:t>
      </w:r>
    </w:p>
    <w:p>
      <w:pPr>
        <w:ind w:firstLine="0" w:firstLineChars="0"/>
        <w:rPr>
          <w:rFonts w:ascii="Times New Roman" w:hAnsi="Times New Roman"/>
          <w:b/>
          <w:szCs w:val="24"/>
        </w:rPr>
      </w:pPr>
      <w:r>
        <w:rPr>
          <w:rFonts w:ascii="Times New Roman" w:hAnsi="Times New Roman"/>
          <w:b/>
          <w:szCs w:val="24"/>
        </w:rPr>
        <w:t xml:space="preserve">5.3.4.3 </w:t>
      </w:r>
      <w:r>
        <w:rPr>
          <w:rFonts w:hint="eastAsia" w:ascii="Times New Roman" w:hAnsi="Times New Roman"/>
          <w:b/>
          <w:szCs w:val="24"/>
        </w:rPr>
        <w:t>最大可信事故概率分析</w:t>
      </w:r>
    </w:p>
    <w:p>
      <w:pPr>
        <w:ind w:firstLine="480"/>
        <w:rPr>
          <w:rFonts w:ascii="Times New Roman" w:hAnsi="Times New Roman"/>
          <w:szCs w:val="24"/>
        </w:rPr>
      </w:pPr>
      <w:r>
        <w:rPr>
          <w:rFonts w:ascii="Times New Roman" w:hAnsi="Times New Roman"/>
          <w:szCs w:val="24"/>
        </w:rPr>
        <w:t>钻井过程中的最大的风险事故是井喷失控事故。由于目前国内</w:t>
      </w:r>
      <w:r>
        <w:rPr>
          <w:rFonts w:hint="eastAsia" w:ascii="Times New Roman" w:hAnsi="Times New Roman"/>
          <w:szCs w:val="24"/>
        </w:rPr>
        <w:t>煤成气</w:t>
      </w:r>
      <w:r>
        <w:rPr>
          <w:rFonts w:ascii="Times New Roman" w:hAnsi="Times New Roman"/>
          <w:szCs w:val="24"/>
        </w:rPr>
        <w:t>勘探开发还未发生过井喷事故，本项目类比天然气勘探井喷事故概率。据不完全统计，中国在天然气勘探开发的40年间，井喷失控的事故概率约为0.603×10</w:t>
      </w:r>
      <w:r>
        <w:rPr>
          <w:rFonts w:ascii="Times New Roman" w:hAnsi="Times New Roman"/>
          <w:szCs w:val="24"/>
          <w:vertAlign w:val="superscript"/>
        </w:rPr>
        <w:t>-4</w:t>
      </w:r>
      <w:r>
        <w:rPr>
          <w:rFonts w:ascii="Times New Roman" w:hAnsi="Times New Roman"/>
          <w:szCs w:val="24"/>
        </w:rPr>
        <w:t>次/年，其中井喷失控着火的事故概率约为0.203×10</w:t>
      </w:r>
      <w:r>
        <w:rPr>
          <w:rFonts w:ascii="Times New Roman" w:hAnsi="Times New Roman"/>
          <w:szCs w:val="24"/>
          <w:vertAlign w:val="superscript"/>
        </w:rPr>
        <w:t>-4</w:t>
      </w:r>
      <w:r>
        <w:rPr>
          <w:rFonts w:ascii="Times New Roman" w:hAnsi="Times New Roman"/>
          <w:szCs w:val="24"/>
        </w:rPr>
        <w:t>次/年，未着火的事故概率约为0.4×10</w:t>
      </w:r>
      <w:r>
        <w:rPr>
          <w:rFonts w:ascii="Times New Roman" w:hAnsi="Times New Roman"/>
          <w:szCs w:val="24"/>
          <w:vertAlign w:val="superscript"/>
        </w:rPr>
        <w:t>-4</w:t>
      </w:r>
      <w:r>
        <w:rPr>
          <w:rFonts w:ascii="Times New Roman" w:hAnsi="Times New Roman"/>
          <w:szCs w:val="24"/>
        </w:rPr>
        <w:t>次/年。井喷事故未着火的多数为非含硫气田的开发。</w:t>
      </w:r>
    </w:p>
    <w:p>
      <w:pPr>
        <w:ind w:firstLine="0" w:firstLineChars="0"/>
        <w:outlineLvl w:val="2"/>
        <w:rPr>
          <w:rFonts w:ascii="Times New Roman" w:hAnsi="Times New Roman"/>
          <w:b/>
          <w:sz w:val="28"/>
          <w:szCs w:val="28"/>
        </w:rPr>
      </w:pPr>
      <w:bookmarkStart w:id="102" w:name="_Toc524624629"/>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5</w:t>
      </w:r>
      <w:r>
        <w:rPr>
          <w:rFonts w:hint="eastAsia" w:ascii="Times New Roman" w:hAnsi="Times New Roman"/>
          <w:b/>
          <w:sz w:val="28"/>
          <w:szCs w:val="28"/>
        </w:rPr>
        <w:t xml:space="preserve"> 后果计算</w:t>
      </w:r>
      <w:bookmarkEnd w:id="102"/>
    </w:p>
    <w:p>
      <w:pPr>
        <w:ind w:firstLine="0" w:firstLineChars="0"/>
        <w:rPr>
          <w:rFonts w:ascii="Times New Roman" w:hAnsi="Times New Roman"/>
          <w:b/>
          <w:szCs w:val="24"/>
        </w:rPr>
      </w:pPr>
      <w:r>
        <w:rPr>
          <w:rFonts w:ascii="Times New Roman" w:hAnsi="Times New Roman"/>
          <w:b/>
          <w:szCs w:val="24"/>
        </w:rPr>
        <w:t xml:space="preserve">5.3.5.1 </w:t>
      </w:r>
      <w:r>
        <w:rPr>
          <w:rFonts w:hint="eastAsia" w:ascii="Times New Roman" w:hAnsi="Times New Roman"/>
          <w:b/>
          <w:szCs w:val="24"/>
        </w:rPr>
        <w:t>井喷时间</w:t>
      </w:r>
    </w:p>
    <w:p>
      <w:pPr>
        <w:adjustRightInd w:val="0"/>
        <w:ind w:firstLine="480"/>
        <w:textAlignment w:val="baseline"/>
        <w:rPr>
          <w:rFonts w:ascii="Times New Roman" w:hAnsi="Times New Roman"/>
          <w:szCs w:val="24"/>
        </w:rPr>
      </w:pPr>
      <w:r>
        <w:rPr>
          <w:rFonts w:ascii="Times New Roman" w:hAnsi="Times New Roman"/>
          <w:szCs w:val="24"/>
        </w:rPr>
        <w:t>综合考虑本项目涉及有毒有害物质、各级工艺单元中可能发生的事故、重大风险源以及事故发生概率，鉴于项目施工过程中风险类型主要为火灾、废水外溢、释放的</w:t>
      </w:r>
      <w:r>
        <w:rPr>
          <w:rFonts w:hint="eastAsia" w:ascii="Times New Roman" w:hAnsi="Times New Roman"/>
          <w:szCs w:val="24"/>
        </w:rPr>
        <w:t>煤成气</w:t>
      </w:r>
      <w:r>
        <w:rPr>
          <w:rFonts w:ascii="Times New Roman" w:hAnsi="Times New Roman"/>
          <w:szCs w:val="24"/>
        </w:rPr>
        <w:t>对人群和环境的影响，以及火灾爆炸事故等产生的次生污染物影响等。本评价就废水外溢、火灾和爆炸等产生次生污染物对环境的影响等进行分析。</w:t>
      </w:r>
    </w:p>
    <w:p>
      <w:pPr>
        <w:adjustRightInd w:val="0"/>
        <w:ind w:firstLine="480"/>
        <w:textAlignment w:val="baseline"/>
        <w:rPr>
          <w:rFonts w:ascii="Times New Roman" w:hAnsi="Times New Roman"/>
          <w:szCs w:val="24"/>
        </w:rPr>
      </w:pPr>
      <w:r>
        <w:rPr>
          <w:rFonts w:ascii="Times New Roman" w:hAnsi="Times New Roman"/>
          <w:szCs w:val="24"/>
        </w:rPr>
        <w:t>在钻井或修井过程中，若出现井喷失控，气藏内的</w:t>
      </w:r>
      <w:r>
        <w:rPr>
          <w:rFonts w:hint="eastAsia" w:ascii="Times New Roman" w:hAnsi="Times New Roman"/>
          <w:szCs w:val="24"/>
        </w:rPr>
        <w:t>煤成气</w:t>
      </w:r>
      <w:r>
        <w:rPr>
          <w:rFonts w:ascii="Times New Roman" w:hAnsi="Times New Roman"/>
          <w:szCs w:val="24"/>
        </w:rPr>
        <w:t>在地层压力作用下，将以极高的动能速度从井口喷出，若自始自终未遇火源，将在其自身动量与气象条件控制下，喷涌后与空气混合、扩散形成甲烷云团。</w:t>
      </w:r>
      <w:r>
        <w:rPr>
          <w:rFonts w:hint="eastAsia" w:ascii="Times New Roman" w:hAnsi="Times New Roman"/>
          <w:szCs w:val="24"/>
        </w:rPr>
        <w:t>煤成气</w:t>
      </w:r>
      <w:r>
        <w:rPr>
          <w:rFonts w:ascii="Times New Roman" w:hAnsi="Times New Roman"/>
          <w:szCs w:val="24"/>
        </w:rPr>
        <w:t>喷射速率，将随着井内泥浆液柱的减小而增大，当井内的泥浆喷完后，达到最大喷射释放速率，其值取决于井的最大无阻流量。井喷点火后产生的主要污染物为CO</w:t>
      </w:r>
      <w:r>
        <w:rPr>
          <w:rFonts w:ascii="Times New Roman" w:hAnsi="Times New Roman"/>
          <w:szCs w:val="24"/>
          <w:vertAlign w:val="subscript"/>
        </w:rPr>
        <w:t>2</w:t>
      </w:r>
      <w:r>
        <w:rPr>
          <w:rFonts w:ascii="Times New Roman" w:hAnsi="Times New Roman"/>
          <w:szCs w:val="24"/>
        </w:rPr>
        <w:t>和NO</w:t>
      </w:r>
      <w:r>
        <w:rPr>
          <w:rFonts w:ascii="Times New Roman" w:hAnsi="Times New Roman"/>
          <w:szCs w:val="24"/>
          <w:vertAlign w:val="subscript"/>
        </w:rPr>
        <w:t>X</w:t>
      </w:r>
      <w:r>
        <w:rPr>
          <w:rFonts w:ascii="Times New Roman" w:hAnsi="Times New Roman"/>
          <w:szCs w:val="24"/>
        </w:rPr>
        <w:t>，虽然持续时间可能较长，但国内外目前并没有发生过井田喷释放的CO</w:t>
      </w:r>
      <w:r>
        <w:rPr>
          <w:rFonts w:ascii="Times New Roman" w:hAnsi="Times New Roman"/>
          <w:szCs w:val="24"/>
          <w:vertAlign w:val="subscript"/>
        </w:rPr>
        <w:t>2</w:t>
      </w:r>
      <w:r>
        <w:rPr>
          <w:rFonts w:ascii="Times New Roman" w:hAnsi="Times New Roman"/>
          <w:szCs w:val="24"/>
        </w:rPr>
        <w:t>和NO</w:t>
      </w:r>
      <w:r>
        <w:rPr>
          <w:rFonts w:ascii="Times New Roman" w:hAnsi="Times New Roman"/>
          <w:szCs w:val="24"/>
          <w:vertAlign w:val="subscript"/>
        </w:rPr>
        <w:t>X</w:t>
      </w:r>
      <w:r>
        <w:rPr>
          <w:rFonts w:ascii="Times New Roman" w:hAnsi="Times New Roman"/>
          <w:szCs w:val="24"/>
        </w:rPr>
        <w:t>致死的情况。</w:t>
      </w:r>
    </w:p>
    <w:p>
      <w:pPr>
        <w:adjustRightInd w:val="0"/>
        <w:ind w:firstLine="480"/>
        <w:textAlignment w:val="baseline"/>
        <w:rPr>
          <w:rFonts w:ascii="Times New Roman" w:hAnsi="Times New Roman"/>
          <w:szCs w:val="24"/>
        </w:rPr>
      </w:pPr>
      <w:r>
        <w:rPr>
          <w:rFonts w:ascii="Times New Roman" w:hAnsi="Times New Roman"/>
          <w:szCs w:val="24"/>
        </w:rPr>
        <w:t>发生井喷的过程主要是由泥浆溢流-井涌-井喷。根据开发方案，在钻井过程中，井下监控措施监控发现井内泥浆溢流量达1m</w:t>
      </w:r>
      <w:r>
        <w:rPr>
          <w:rFonts w:ascii="Times New Roman" w:hAnsi="Times New Roman"/>
          <w:szCs w:val="24"/>
          <w:vertAlign w:val="superscript"/>
        </w:rPr>
        <w:t>3</w:t>
      </w:r>
      <w:r>
        <w:rPr>
          <w:rFonts w:ascii="Times New Roman" w:hAnsi="Times New Roman"/>
          <w:szCs w:val="24"/>
        </w:rPr>
        <w:t>时报警，达到2m</w:t>
      </w:r>
      <w:r>
        <w:rPr>
          <w:rFonts w:ascii="Times New Roman" w:hAnsi="Times New Roman"/>
          <w:szCs w:val="24"/>
          <w:vertAlign w:val="superscript"/>
        </w:rPr>
        <w:t>3</w:t>
      </w:r>
      <w:r>
        <w:rPr>
          <w:rFonts w:ascii="Times New Roman" w:hAnsi="Times New Roman"/>
          <w:szCs w:val="24"/>
        </w:rPr>
        <w:t>时马上采取关井措施。当所有关切断措施全部失效，井口失控后，即发生井喷事故。由此看出，井喷不是突如其来的，由发生溢流开始一直到</w:t>
      </w:r>
      <w:r>
        <w:rPr>
          <w:rFonts w:hint="eastAsia" w:ascii="Times New Roman" w:hAnsi="Times New Roman"/>
          <w:szCs w:val="24"/>
        </w:rPr>
        <w:t>煤成气</w:t>
      </w:r>
      <w:r>
        <w:rPr>
          <w:rFonts w:ascii="Times New Roman" w:hAnsi="Times New Roman"/>
          <w:szCs w:val="24"/>
        </w:rPr>
        <w:t>从井口喷出，大约在20～60min。在发生井涌开始，井下阀门自动关断时间大约在一分半至三分钟左右。</w:t>
      </w:r>
    </w:p>
    <w:p>
      <w:pPr>
        <w:adjustRightInd w:val="0"/>
        <w:ind w:firstLine="480"/>
        <w:textAlignment w:val="baseline"/>
        <w:rPr>
          <w:rFonts w:ascii="Times New Roman" w:hAnsi="Times New Roman"/>
          <w:szCs w:val="24"/>
        </w:rPr>
      </w:pPr>
      <w:r>
        <w:rPr>
          <w:rFonts w:ascii="Times New Roman" w:hAnsi="Times New Roman"/>
          <w:szCs w:val="24"/>
        </w:rPr>
        <w:t>因此，在工程上，</w:t>
      </w:r>
      <w:r>
        <w:rPr>
          <w:rFonts w:hint="eastAsia" w:ascii="Times New Roman" w:hAnsi="Times New Roman"/>
          <w:szCs w:val="24"/>
        </w:rPr>
        <w:t>煤成气</w:t>
      </w:r>
      <w:r>
        <w:rPr>
          <w:rFonts w:ascii="Times New Roman" w:hAnsi="Times New Roman"/>
          <w:szCs w:val="24"/>
        </w:rPr>
        <w:t>从井口喷出后即可通过井场的自动点火装置立即点火；若井场自动点火装置失灵，也可以通过远距离向井场放火枪实施点火，由于从井涌到井喷至少要20min，足够井场工作人员安全撤离并且做好远距离点火准备。</w:t>
      </w:r>
    </w:p>
    <w:p>
      <w:pPr>
        <w:ind w:firstLine="0" w:firstLineChars="0"/>
        <w:rPr>
          <w:rFonts w:ascii="Times New Roman" w:hAnsi="Times New Roman"/>
          <w:b/>
          <w:szCs w:val="24"/>
        </w:rPr>
      </w:pPr>
      <w:r>
        <w:rPr>
          <w:rFonts w:ascii="Times New Roman" w:hAnsi="Times New Roman"/>
          <w:b/>
          <w:szCs w:val="24"/>
        </w:rPr>
        <w:t xml:space="preserve">5.3.5.2 </w:t>
      </w:r>
      <w:r>
        <w:rPr>
          <w:rFonts w:hint="eastAsia" w:ascii="Times New Roman" w:hAnsi="Times New Roman"/>
          <w:b/>
          <w:szCs w:val="24"/>
        </w:rPr>
        <w:t>井喷危险性分析</w:t>
      </w:r>
    </w:p>
    <w:p>
      <w:pPr>
        <w:adjustRightInd w:val="0"/>
        <w:ind w:firstLine="480"/>
        <w:textAlignment w:val="baseline"/>
        <w:rPr>
          <w:rFonts w:ascii="Times New Roman" w:hAnsi="Times New Roman"/>
          <w:szCs w:val="24"/>
        </w:rPr>
      </w:pPr>
      <w:r>
        <w:rPr>
          <w:rFonts w:ascii="Times New Roman" w:hAnsi="Times New Roman"/>
          <w:szCs w:val="24"/>
        </w:rPr>
        <w:t>井喷失控发生的机率虽然很小，但危害较大，主要表现在：</w:t>
      </w:r>
    </w:p>
    <w:p>
      <w:pPr>
        <w:adjustRightInd w:val="0"/>
        <w:ind w:firstLine="480"/>
        <w:textAlignment w:val="baseline"/>
        <w:rPr>
          <w:rFonts w:ascii="Times New Roman" w:hAnsi="Times New Roman"/>
          <w:szCs w:val="24"/>
        </w:rPr>
      </w:pPr>
      <w:r>
        <w:rPr>
          <w:rFonts w:hint="eastAsia" w:ascii="宋体" w:hAnsi="宋体" w:cs="宋体"/>
          <w:szCs w:val="24"/>
        </w:rPr>
        <w:t>①</w:t>
      </w:r>
      <w:r>
        <w:rPr>
          <w:rFonts w:ascii="Times New Roman" w:hAnsi="Times New Roman"/>
          <w:szCs w:val="24"/>
        </w:rPr>
        <w:t xml:space="preserve"> 井喷失控喷射出的</w:t>
      </w:r>
      <w:r>
        <w:rPr>
          <w:rFonts w:hint="eastAsia" w:ascii="Times New Roman" w:hAnsi="Times New Roman"/>
          <w:szCs w:val="24"/>
        </w:rPr>
        <w:t>煤成气</w:t>
      </w:r>
      <w:r>
        <w:rPr>
          <w:rFonts w:ascii="Times New Roman" w:hAnsi="Times New Roman"/>
          <w:szCs w:val="24"/>
        </w:rPr>
        <w:t>遇火燃烧爆炸，造成冲击波和热辐射伤人。</w:t>
      </w:r>
    </w:p>
    <w:p>
      <w:pPr>
        <w:adjustRightInd w:val="0"/>
        <w:ind w:firstLine="480"/>
        <w:textAlignment w:val="baseline"/>
        <w:rPr>
          <w:rFonts w:ascii="Times New Roman" w:hAnsi="Times New Roman"/>
          <w:szCs w:val="24"/>
        </w:rPr>
      </w:pPr>
      <w:r>
        <w:rPr>
          <w:rFonts w:hint="eastAsia" w:ascii="宋体" w:hAnsi="宋体" w:cs="宋体"/>
          <w:szCs w:val="24"/>
        </w:rPr>
        <w:t>②</w:t>
      </w:r>
      <w:r>
        <w:rPr>
          <w:rFonts w:ascii="Times New Roman" w:hAnsi="Times New Roman"/>
          <w:szCs w:val="24"/>
        </w:rPr>
        <w:t xml:space="preserve"> 井喷产生的热辐射将对周围植被产生灼伤影响，但事故后可进行复植，因此热辐射对生态环境的影响是暂时的、可逆的。</w:t>
      </w:r>
    </w:p>
    <w:p>
      <w:pPr>
        <w:ind w:firstLine="0" w:firstLineChars="0"/>
        <w:outlineLvl w:val="2"/>
        <w:rPr>
          <w:rFonts w:ascii="Times New Roman" w:hAnsi="Times New Roman"/>
          <w:b/>
          <w:sz w:val="28"/>
          <w:szCs w:val="28"/>
        </w:rPr>
      </w:pPr>
      <w:bookmarkStart w:id="103" w:name="_Toc524624630"/>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6</w:t>
      </w:r>
      <w:r>
        <w:rPr>
          <w:rFonts w:hint="eastAsia" w:ascii="Times New Roman" w:hAnsi="Times New Roman"/>
          <w:b/>
          <w:sz w:val="28"/>
          <w:szCs w:val="28"/>
        </w:rPr>
        <w:t xml:space="preserve"> 事故风险对环境的影响</w:t>
      </w:r>
      <w:bookmarkEnd w:id="103"/>
    </w:p>
    <w:p>
      <w:pPr>
        <w:ind w:firstLine="0" w:firstLineChars="0"/>
        <w:rPr>
          <w:rFonts w:ascii="Times New Roman" w:hAnsi="Times New Roman"/>
          <w:b/>
          <w:szCs w:val="24"/>
        </w:rPr>
      </w:pPr>
      <w:r>
        <w:rPr>
          <w:rFonts w:ascii="Times New Roman" w:hAnsi="Times New Roman"/>
          <w:b/>
          <w:szCs w:val="24"/>
        </w:rPr>
        <w:t xml:space="preserve">5.3.6.1 </w:t>
      </w:r>
      <w:r>
        <w:rPr>
          <w:rFonts w:hint="eastAsia" w:ascii="Times New Roman" w:hAnsi="Times New Roman"/>
          <w:b/>
          <w:szCs w:val="24"/>
        </w:rPr>
        <w:t>井喷对环境和人群健康的影响分析</w:t>
      </w:r>
    </w:p>
    <w:p>
      <w:pPr>
        <w:adjustRightInd w:val="0"/>
        <w:ind w:firstLine="480"/>
        <w:textAlignment w:val="baseline"/>
        <w:rPr>
          <w:rFonts w:ascii="Times New Roman" w:hAnsi="Times New Roman"/>
          <w:szCs w:val="24"/>
        </w:rPr>
      </w:pPr>
      <w:r>
        <w:rPr>
          <w:rFonts w:ascii="Times New Roman" w:hAnsi="Times New Roman"/>
          <w:szCs w:val="24"/>
        </w:rPr>
        <w:t>由于本工程所开采</w:t>
      </w:r>
      <w:r>
        <w:rPr>
          <w:rFonts w:hint="eastAsia" w:ascii="Times New Roman" w:hAnsi="Times New Roman"/>
          <w:szCs w:val="24"/>
        </w:rPr>
        <w:t>煤成气</w:t>
      </w:r>
      <w:r>
        <w:rPr>
          <w:rFonts w:ascii="Times New Roman" w:hAnsi="Times New Roman"/>
          <w:szCs w:val="24"/>
        </w:rPr>
        <w:t>不含H</w:t>
      </w:r>
      <w:r>
        <w:rPr>
          <w:rFonts w:ascii="Times New Roman" w:hAnsi="Times New Roman"/>
          <w:szCs w:val="24"/>
          <w:vertAlign w:val="subscript"/>
        </w:rPr>
        <w:t>2</w:t>
      </w:r>
      <w:r>
        <w:rPr>
          <w:rFonts w:ascii="Times New Roman" w:hAnsi="Times New Roman"/>
          <w:szCs w:val="24"/>
        </w:rPr>
        <w:t>S，因此，井喷对环境和人群健康的影响主要有以下几点：</w:t>
      </w:r>
    </w:p>
    <w:p>
      <w:pPr>
        <w:adjustRightInd w:val="0"/>
        <w:ind w:firstLine="480"/>
        <w:textAlignment w:val="baseline"/>
        <w:rPr>
          <w:rFonts w:ascii="Times New Roman" w:hAnsi="Times New Roman"/>
          <w:szCs w:val="24"/>
        </w:rPr>
      </w:pPr>
      <w:r>
        <w:rPr>
          <w:rFonts w:ascii="Times New Roman" w:hAnsi="Times New Roman"/>
          <w:szCs w:val="24"/>
        </w:rPr>
        <w:t>（1）由于井喷失控，可能造成燃烧、爆炸等重大伤害事故。</w:t>
      </w:r>
    </w:p>
    <w:p>
      <w:pPr>
        <w:adjustRightInd w:val="0"/>
        <w:ind w:firstLine="480"/>
        <w:textAlignment w:val="baseline"/>
        <w:rPr>
          <w:rFonts w:ascii="Times New Roman" w:hAnsi="Times New Roman"/>
          <w:szCs w:val="24"/>
        </w:rPr>
      </w:pPr>
      <w:r>
        <w:rPr>
          <w:rFonts w:ascii="Times New Roman" w:hAnsi="Times New Roman"/>
          <w:szCs w:val="24"/>
        </w:rPr>
        <w:t>（2）井喷失控后，由于井底压力过高，泥浆将随</w:t>
      </w:r>
      <w:r>
        <w:rPr>
          <w:rFonts w:hint="eastAsia" w:ascii="Times New Roman" w:hAnsi="Times New Roman"/>
          <w:szCs w:val="24"/>
        </w:rPr>
        <w:t>煤成气</w:t>
      </w:r>
      <w:r>
        <w:rPr>
          <w:rFonts w:ascii="Times New Roman" w:hAnsi="Times New Roman"/>
          <w:szCs w:val="24"/>
        </w:rPr>
        <w:t>从井筒喷出，泥浆洒落到井场附近，可能污染周围的农田和土壤，对农户的农作物造成影响，建设单位应按照损害程度向农户进行赔偿。</w:t>
      </w:r>
    </w:p>
    <w:p>
      <w:pPr>
        <w:adjustRightInd w:val="0"/>
        <w:ind w:firstLine="0" w:firstLineChars="0"/>
        <w:textAlignment w:val="baseline"/>
        <w:rPr>
          <w:rFonts w:ascii="Times New Roman" w:hAnsi="Times New Roman"/>
          <w:szCs w:val="24"/>
        </w:rPr>
      </w:pPr>
      <w:r>
        <w:rPr>
          <w:rFonts w:ascii="Times New Roman" w:hAnsi="Times New Roman"/>
          <w:b/>
          <w:szCs w:val="24"/>
        </w:rPr>
        <w:t>5.3.6.2事故放喷和测试放喷的环境影响分析</w:t>
      </w:r>
    </w:p>
    <w:p>
      <w:pPr>
        <w:adjustRightInd w:val="0"/>
        <w:ind w:firstLine="480"/>
        <w:textAlignment w:val="baseline"/>
        <w:rPr>
          <w:rFonts w:ascii="Times New Roman" w:hAnsi="Times New Roman"/>
          <w:szCs w:val="24"/>
        </w:rPr>
      </w:pPr>
      <w:r>
        <w:rPr>
          <w:rFonts w:ascii="Times New Roman" w:hAnsi="Times New Roman"/>
          <w:szCs w:val="24"/>
        </w:rPr>
        <w:t>本项目在钻井过程中出现事故和了解气井的产气量，在完井后，需进行测试放喷，测试放喷产生的废气量取决于所钻井的产气量和测试时的释放量，一般产量大的井其放喷量也较大，预计本项目放喷量为3×10</w:t>
      </w:r>
      <w:r>
        <w:rPr>
          <w:rFonts w:ascii="Times New Roman" w:hAnsi="Times New Roman"/>
          <w:szCs w:val="24"/>
          <w:vertAlign w:val="superscript"/>
        </w:rPr>
        <w:t>4</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/d。测试放喷的</w:t>
      </w:r>
      <w:r>
        <w:rPr>
          <w:rFonts w:hint="eastAsia" w:ascii="Times New Roman" w:hAnsi="Times New Roman"/>
          <w:szCs w:val="24"/>
        </w:rPr>
        <w:t>煤成气</w:t>
      </w:r>
      <w:r>
        <w:rPr>
          <w:rFonts w:ascii="Times New Roman" w:hAnsi="Times New Roman"/>
          <w:szCs w:val="24"/>
        </w:rPr>
        <w:t>经火炬点火燃烧，其主要污染物为CO</w:t>
      </w:r>
      <w:r>
        <w:rPr>
          <w:rFonts w:ascii="Times New Roman" w:hAnsi="Times New Roman"/>
          <w:szCs w:val="24"/>
          <w:vertAlign w:val="subscript"/>
        </w:rPr>
        <w:t>2</w:t>
      </w:r>
      <w:r>
        <w:rPr>
          <w:rFonts w:ascii="Times New Roman" w:hAnsi="Times New Roman"/>
          <w:szCs w:val="24"/>
        </w:rPr>
        <w:t>、NO</w:t>
      </w:r>
      <w:r>
        <w:rPr>
          <w:rFonts w:ascii="Times New Roman" w:hAnsi="Times New Roman"/>
          <w:szCs w:val="24"/>
          <w:vertAlign w:val="subscript"/>
        </w:rPr>
        <w:t>X</w:t>
      </w:r>
      <w:r>
        <w:rPr>
          <w:rFonts w:ascii="Times New Roman" w:hAnsi="Times New Roman"/>
          <w:szCs w:val="24"/>
        </w:rPr>
        <w:t>和水。测试放喷时间一般为10～12天，属短期排放和无组织排放，对周围环境影响较小。</w:t>
      </w:r>
    </w:p>
    <w:p>
      <w:pPr>
        <w:adjustRightInd w:val="0"/>
        <w:ind w:firstLine="0" w:firstLineChars="0"/>
        <w:textAlignment w:val="baseline"/>
        <w:rPr>
          <w:rFonts w:ascii="Times New Roman" w:hAnsi="Times New Roman"/>
          <w:szCs w:val="24"/>
        </w:rPr>
      </w:pPr>
      <w:r>
        <w:rPr>
          <w:rFonts w:ascii="Times New Roman" w:hAnsi="Times New Roman"/>
          <w:b/>
          <w:szCs w:val="24"/>
        </w:rPr>
        <w:t>5.3.6.3</w:t>
      </w:r>
      <w:r>
        <w:rPr>
          <w:rFonts w:hint="eastAsia" w:ascii="Times New Roman" w:hAnsi="Times New Roman"/>
          <w:b/>
          <w:szCs w:val="24"/>
        </w:rPr>
        <w:t xml:space="preserve"> </w:t>
      </w:r>
      <w:r>
        <w:rPr>
          <w:rFonts w:ascii="Times New Roman" w:hAnsi="Times New Roman"/>
          <w:b/>
          <w:szCs w:val="24"/>
        </w:rPr>
        <w:t>地表水环境影响分析</w:t>
      </w:r>
    </w:p>
    <w:p>
      <w:pPr>
        <w:adjustRightInd w:val="0"/>
        <w:ind w:firstLine="480"/>
        <w:textAlignment w:val="baseline"/>
        <w:rPr>
          <w:rFonts w:ascii="Times New Roman" w:hAnsi="Times New Roman"/>
          <w:szCs w:val="24"/>
        </w:rPr>
      </w:pPr>
      <w:r>
        <w:rPr>
          <w:rFonts w:ascii="Times New Roman" w:hAnsi="Times New Roman"/>
          <w:szCs w:val="24"/>
        </w:rPr>
        <w:t>事故状态对地表水的影响</w:t>
      </w:r>
      <w:r>
        <w:rPr>
          <w:rFonts w:hint="eastAsia" w:ascii="Times New Roman" w:hAnsi="Times New Roman"/>
          <w:szCs w:val="24"/>
        </w:rPr>
        <w:t>主要是</w:t>
      </w:r>
      <w:r>
        <w:rPr>
          <w:rFonts w:ascii="Times New Roman" w:hAnsi="Times New Roman"/>
          <w:szCs w:val="24"/>
        </w:rPr>
        <w:t>钻井废水对地表水的影响。其对地表水的影响一般有以下几种途径：一种是泄漏后直接进入地表水体；另一种是钻井废水泄露于地表，由降雨形成的地表径流将受污染的土壤一起带入水体造成污染。</w:t>
      </w:r>
    </w:p>
    <w:p>
      <w:pPr>
        <w:adjustRightInd w:val="0"/>
        <w:ind w:firstLine="480"/>
        <w:textAlignment w:val="baseline"/>
        <w:rPr>
          <w:rFonts w:ascii="Times New Roman" w:hAnsi="Times New Roman"/>
          <w:szCs w:val="24"/>
        </w:rPr>
      </w:pPr>
      <w:r>
        <w:rPr>
          <w:rFonts w:ascii="Times New Roman" w:hAnsi="Times New Roman"/>
          <w:szCs w:val="24"/>
        </w:rPr>
        <w:t>本项目设有防渗、防漏的</w:t>
      </w:r>
      <w:r>
        <w:rPr>
          <w:rFonts w:hint="eastAsia" w:ascii="Times New Roman" w:hAnsi="Times New Roman"/>
          <w:szCs w:val="24"/>
        </w:rPr>
        <w:t>泥浆池</w:t>
      </w:r>
      <w:r>
        <w:rPr>
          <w:rFonts w:ascii="Times New Roman" w:hAnsi="Times New Roman"/>
          <w:szCs w:val="24"/>
        </w:rPr>
        <w:t>，能够有效的防止</w:t>
      </w:r>
      <w:r>
        <w:rPr>
          <w:rFonts w:hint="eastAsia" w:ascii="Times New Roman" w:hAnsi="Times New Roman"/>
          <w:szCs w:val="24"/>
        </w:rPr>
        <w:t>泥浆池</w:t>
      </w:r>
      <w:r>
        <w:rPr>
          <w:rFonts w:ascii="Times New Roman" w:hAnsi="Times New Roman"/>
          <w:szCs w:val="24"/>
        </w:rPr>
        <w:t>内的钻井废水渗入周边水环境。采取了这些措施后，本项目</w:t>
      </w:r>
      <w:r>
        <w:rPr>
          <w:rFonts w:hint="eastAsia" w:ascii="Times New Roman" w:hAnsi="Times New Roman"/>
          <w:szCs w:val="24"/>
        </w:rPr>
        <w:t>钻井废水</w:t>
      </w:r>
      <w:r>
        <w:rPr>
          <w:rFonts w:ascii="Times New Roman" w:hAnsi="Times New Roman"/>
          <w:szCs w:val="24"/>
        </w:rPr>
        <w:t>不会对地表水造成影响。为防止风险事故对周围环境造成影响，环评建议建设单位采取以下措施进行管理。</w:t>
      </w:r>
    </w:p>
    <w:p>
      <w:pPr>
        <w:adjustRightInd w:val="0"/>
        <w:ind w:firstLine="480"/>
        <w:textAlignment w:val="baseline"/>
        <w:rPr>
          <w:rFonts w:ascii="Times New Roman" w:hAnsi="Times New Roman"/>
          <w:szCs w:val="24"/>
        </w:rPr>
      </w:pPr>
      <w:r>
        <w:rPr>
          <w:rFonts w:ascii="Times New Roman" w:hAnsi="Times New Roman"/>
          <w:szCs w:val="24"/>
        </w:rPr>
        <w:t>（1）对</w:t>
      </w:r>
      <w:r>
        <w:rPr>
          <w:rFonts w:hint="eastAsia" w:ascii="Times New Roman" w:hAnsi="Times New Roman"/>
          <w:szCs w:val="24"/>
        </w:rPr>
        <w:t>泥浆池</w:t>
      </w:r>
      <w:r>
        <w:rPr>
          <w:rFonts w:ascii="Times New Roman" w:hAnsi="Times New Roman"/>
          <w:szCs w:val="24"/>
        </w:rPr>
        <w:t>的选址和施工质量应予以重视，</w:t>
      </w:r>
      <w:r>
        <w:rPr>
          <w:rFonts w:hint="eastAsia" w:ascii="Times New Roman" w:hAnsi="Times New Roman"/>
          <w:szCs w:val="24"/>
        </w:rPr>
        <w:t>泥浆池</w:t>
      </w:r>
      <w:r>
        <w:rPr>
          <w:rFonts w:ascii="Times New Roman" w:hAnsi="Times New Roman"/>
          <w:szCs w:val="24"/>
        </w:rPr>
        <w:t>要避开不良地质或岩土松散的地段，防止钻井过程中因滑坡、暴雨等自然灾害导致钻井废水渗漏或溢出、垮塌污染附近农田土壤、作物、地下水以及灌溉渠等。</w:t>
      </w:r>
    </w:p>
    <w:p>
      <w:pPr>
        <w:adjustRightInd w:val="0"/>
        <w:ind w:firstLine="480"/>
        <w:textAlignment w:val="baseline"/>
        <w:rPr>
          <w:rFonts w:ascii="Times New Roman" w:hAnsi="Times New Roman"/>
          <w:szCs w:val="24"/>
        </w:rPr>
      </w:pPr>
      <w:r>
        <w:rPr>
          <w:rFonts w:ascii="Times New Roman" w:hAnsi="Times New Roman"/>
          <w:szCs w:val="24"/>
        </w:rPr>
        <w:t>（2）为了防止</w:t>
      </w:r>
      <w:r>
        <w:rPr>
          <w:rFonts w:hint="eastAsia" w:ascii="Times New Roman" w:hAnsi="Times New Roman"/>
          <w:szCs w:val="24"/>
        </w:rPr>
        <w:t>泥浆池</w:t>
      </w:r>
      <w:r>
        <w:rPr>
          <w:rFonts w:ascii="Times New Roman" w:hAnsi="Times New Roman"/>
          <w:szCs w:val="24"/>
        </w:rPr>
        <w:t>污水渗漏或外溢污染地表水及浅层地下水，要求建设方在修建废水箱时留有一定的富余容量，以容纳暴雨增加的水量，防止外溢；在暴雨季节，加强对井场内废水储存设施巡查，防止场地内废水溢出井场污染环境。</w:t>
      </w:r>
    </w:p>
    <w:p>
      <w:pPr>
        <w:adjustRightInd w:val="0"/>
        <w:ind w:firstLine="480"/>
        <w:textAlignment w:val="baseline"/>
        <w:rPr>
          <w:rFonts w:ascii="Times New Roman" w:hAnsi="Times New Roman"/>
          <w:szCs w:val="24"/>
        </w:rPr>
      </w:pPr>
      <w:r>
        <w:rPr>
          <w:rFonts w:ascii="Times New Roman" w:hAnsi="Times New Roman"/>
          <w:szCs w:val="24"/>
        </w:rPr>
        <w:t>（3）井场采用清污分流系统，防止井场雨水进入废水箱，并定期进行维护，从而有效控制因暴雨而导致废水箱的外溢。</w:t>
      </w:r>
    </w:p>
    <w:p>
      <w:pPr>
        <w:adjustRightInd w:val="0"/>
        <w:ind w:firstLine="480"/>
        <w:textAlignment w:val="baseline"/>
        <w:rPr>
          <w:rFonts w:ascii="Times New Roman" w:hAnsi="Times New Roman"/>
          <w:szCs w:val="24"/>
        </w:rPr>
      </w:pPr>
      <w:r>
        <w:rPr>
          <w:rFonts w:ascii="Times New Roman" w:hAnsi="Times New Roman"/>
          <w:szCs w:val="24"/>
        </w:rPr>
        <w:t>（4）一旦发生废水外溢，要立即启动废水外溢应急预案，对井场周边地表水进行应急监测，同时与当地政府和居民进行及时沟通，对废水外溢造成的农业损失进行赔偿，避免居民投诉事件发生。</w:t>
      </w:r>
    </w:p>
    <w:p>
      <w:pPr>
        <w:adjustRightInd w:val="0"/>
        <w:ind w:firstLine="0" w:firstLineChars="0"/>
        <w:textAlignment w:val="baseline"/>
        <w:rPr>
          <w:rFonts w:ascii="Times New Roman" w:hAnsi="Times New Roman"/>
          <w:szCs w:val="24"/>
        </w:rPr>
      </w:pPr>
      <w:r>
        <w:rPr>
          <w:rFonts w:ascii="Times New Roman" w:hAnsi="Times New Roman"/>
          <w:b/>
          <w:szCs w:val="24"/>
        </w:rPr>
        <w:t>5.3.6.4</w:t>
      </w:r>
      <w:r>
        <w:rPr>
          <w:rFonts w:hint="eastAsia" w:ascii="Times New Roman" w:hAnsi="Times New Roman"/>
          <w:b/>
          <w:szCs w:val="24"/>
        </w:rPr>
        <w:t xml:space="preserve"> </w:t>
      </w:r>
      <w:r>
        <w:rPr>
          <w:rFonts w:ascii="Times New Roman" w:hAnsi="Times New Roman"/>
          <w:b/>
          <w:szCs w:val="24"/>
        </w:rPr>
        <w:t>生态环境影响分析</w:t>
      </w:r>
    </w:p>
    <w:p>
      <w:pPr>
        <w:adjustRightInd w:val="0"/>
        <w:ind w:firstLine="480"/>
        <w:textAlignment w:val="baseline"/>
        <w:rPr>
          <w:rFonts w:ascii="Times New Roman" w:hAnsi="Times New Roman"/>
          <w:szCs w:val="24"/>
        </w:rPr>
      </w:pPr>
      <w:r>
        <w:rPr>
          <w:rFonts w:ascii="Times New Roman" w:hAnsi="Times New Roman"/>
          <w:szCs w:val="24"/>
        </w:rPr>
        <w:t>事故状态下对生态环境的影响包括井喷燃烧产生的热辐射、钻井废水外溢等。</w:t>
      </w:r>
    </w:p>
    <w:p>
      <w:pPr>
        <w:adjustRightInd w:val="0"/>
        <w:ind w:firstLine="480"/>
        <w:textAlignment w:val="baseline"/>
        <w:rPr>
          <w:rFonts w:ascii="Times New Roman" w:hAnsi="Times New Roman"/>
          <w:szCs w:val="24"/>
        </w:rPr>
      </w:pPr>
      <w:r>
        <w:rPr>
          <w:rFonts w:ascii="Times New Roman" w:hAnsi="Times New Roman"/>
          <w:szCs w:val="24"/>
        </w:rPr>
        <w:t>（1）热辐射影响</w:t>
      </w:r>
    </w:p>
    <w:p>
      <w:pPr>
        <w:adjustRightInd w:val="0"/>
        <w:ind w:firstLine="480"/>
        <w:textAlignment w:val="baseline"/>
        <w:rPr>
          <w:rFonts w:ascii="Times New Roman" w:hAnsi="Times New Roman"/>
          <w:szCs w:val="24"/>
        </w:rPr>
      </w:pPr>
      <w:r>
        <w:rPr>
          <w:rFonts w:ascii="Times New Roman" w:hAnsi="Times New Roman"/>
          <w:szCs w:val="24"/>
        </w:rPr>
        <w:t>在钻井过程中，井喷产生的燃烧热，将对产生点周围植被产生灼烧影响，并引发灌草木燃烧，导致灌草木火灾，将对灌草木造成影响。但事故后可进行复耕，因此，热辐射对生态环境的影响是暂时的、可逆的。</w:t>
      </w:r>
    </w:p>
    <w:p>
      <w:pPr>
        <w:adjustRightInd w:val="0"/>
        <w:ind w:firstLine="480"/>
        <w:textAlignment w:val="baseline"/>
        <w:rPr>
          <w:rFonts w:ascii="Times New Roman" w:hAnsi="Times New Roman"/>
          <w:szCs w:val="24"/>
        </w:rPr>
      </w:pPr>
      <w:r>
        <w:rPr>
          <w:rFonts w:ascii="Times New Roman" w:hAnsi="Times New Roman"/>
          <w:szCs w:val="24"/>
        </w:rPr>
        <w:t>（2）钻井废水外溢事故影响</w:t>
      </w:r>
    </w:p>
    <w:p>
      <w:pPr>
        <w:adjustRightInd w:val="0"/>
        <w:ind w:firstLine="480"/>
        <w:textAlignment w:val="baseline"/>
        <w:rPr>
          <w:rFonts w:ascii="Times New Roman" w:hAnsi="Times New Roman"/>
          <w:szCs w:val="24"/>
        </w:rPr>
      </w:pPr>
      <w:r>
        <w:rPr>
          <w:rFonts w:ascii="Times New Roman" w:hAnsi="Times New Roman"/>
          <w:szCs w:val="24"/>
        </w:rPr>
        <w:t>钻井废水的危害主要表现在：可溶性盐含量高，含石油类的钻井污水影响土壤的结构，危害植物生长；污水所含的其他有机处理剂使水体的COD、BOD增高，影响水生生物的生长。</w:t>
      </w:r>
    </w:p>
    <w:p>
      <w:pPr>
        <w:adjustRightInd w:val="0"/>
        <w:ind w:firstLine="480"/>
        <w:textAlignment w:val="baseline"/>
        <w:rPr>
          <w:rFonts w:ascii="Times New Roman" w:hAnsi="Times New Roman"/>
          <w:szCs w:val="24"/>
        </w:rPr>
      </w:pPr>
      <w:r>
        <w:rPr>
          <w:rFonts w:ascii="Times New Roman" w:hAnsi="Times New Roman"/>
          <w:szCs w:val="24"/>
        </w:rPr>
        <w:t>事故外溢的钻井废水将会对周围土壤的结构造成不利影响，同时影响作物的生长。</w:t>
      </w:r>
    </w:p>
    <w:p>
      <w:pPr>
        <w:adjustRightInd w:val="0"/>
        <w:ind w:firstLine="0" w:firstLineChars="0"/>
        <w:textAlignment w:val="baseline"/>
        <w:rPr>
          <w:rFonts w:ascii="Times New Roman" w:hAnsi="Times New Roman"/>
          <w:szCs w:val="24"/>
        </w:rPr>
      </w:pPr>
      <w:r>
        <w:rPr>
          <w:rFonts w:ascii="Times New Roman" w:hAnsi="Times New Roman"/>
          <w:b/>
          <w:szCs w:val="24"/>
        </w:rPr>
        <w:t>5.3.6.5</w:t>
      </w:r>
      <w:r>
        <w:rPr>
          <w:rFonts w:hint="eastAsia" w:ascii="Times New Roman" w:hAnsi="Times New Roman"/>
          <w:b/>
          <w:szCs w:val="24"/>
        </w:rPr>
        <w:t xml:space="preserve"> </w:t>
      </w:r>
      <w:r>
        <w:rPr>
          <w:rFonts w:ascii="Times New Roman" w:hAnsi="Times New Roman"/>
          <w:b/>
          <w:szCs w:val="24"/>
        </w:rPr>
        <w:t>井漏对地下水的影响分析</w:t>
      </w:r>
    </w:p>
    <w:p>
      <w:pPr>
        <w:adjustRightInd w:val="0"/>
        <w:ind w:firstLine="480"/>
        <w:textAlignment w:val="baseline"/>
        <w:rPr>
          <w:rFonts w:ascii="Times New Roman" w:hAnsi="Times New Roman"/>
          <w:szCs w:val="24"/>
        </w:rPr>
      </w:pPr>
      <w:r>
        <w:rPr>
          <w:rFonts w:ascii="Times New Roman" w:hAnsi="Times New Roman"/>
          <w:szCs w:val="24"/>
        </w:rPr>
        <w:t>（1）井漏</w:t>
      </w:r>
    </w:p>
    <w:p>
      <w:pPr>
        <w:adjustRightInd w:val="0"/>
        <w:ind w:firstLine="480"/>
        <w:textAlignment w:val="baseline"/>
        <w:rPr>
          <w:rFonts w:ascii="Times New Roman" w:hAnsi="Times New Roman"/>
          <w:szCs w:val="24"/>
        </w:rPr>
      </w:pPr>
      <w:r>
        <w:rPr>
          <w:rFonts w:ascii="Times New Roman" w:hAnsi="Times New Roman"/>
          <w:szCs w:val="24"/>
        </w:rPr>
        <w:t>钻井作业下钻时，有可能破坏表层导管的几率很小，因而引起钻井泥浆漏失，造成地下水（含水井）污染的几率很小。本工程选用的钻井液材料皆为低毒和无毒材料，因此，钻井液漏失对地下水（含水井）的影响较小。</w:t>
      </w:r>
    </w:p>
    <w:p>
      <w:pPr>
        <w:adjustRightInd w:val="0"/>
        <w:ind w:firstLine="480"/>
        <w:textAlignment w:val="baseline"/>
        <w:rPr>
          <w:rFonts w:ascii="Times New Roman" w:hAnsi="Times New Roman"/>
          <w:szCs w:val="24"/>
        </w:rPr>
      </w:pPr>
      <w:r>
        <w:rPr>
          <w:rFonts w:ascii="Times New Roman" w:hAnsi="Times New Roman"/>
          <w:szCs w:val="24"/>
        </w:rPr>
        <w:t>（2）套管破裂</w:t>
      </w:r>
    </w:p>
    <w:p>
      <w:pPr>
        <w:adjustRightInd w:val="0"/>
        <w:ind w:firstLine="480"/>
        <w:textAlignment w:val="baseline"/>
        <w:rPr>
          <w:rFonts w:ascii="Times New Roman" w:hAnsi="Times New Roman"/>
          <w:szCs w:val="24"/>
        </w:rPr>
      </w:pPr>
      <w:r>
        <w:rPr>
          <w:rFonts w:ascii="Times New Roman" w:hAnsi="Times New Roman"/>
          <w:szCs w:val="24"/>
        </w:rPr>
        <w:t>在施工中，出现套管破裂的概率很小。由于地下岩层的阻隔，事故发生后串层泄漏进入地表的</w:t>
      </w:r>
      <w:r>
        <w:rPr>
          <w:rFonts w:hint="eastAsia" w:ascii="Times New Roman" w:hAnsi="Times New Roman"/>
          <w:szCs w:val="24"/>
        </w:rPr>
        <w:t>煤成气</w:t>
      </w:r>
      <w:r>
        <w:rPr>
          <w:rFonts w:ascii="Times New Roman" w:hAnsi="Times New Roman"/>
          <w:szCs w:val="24"/>
        </w:rPr>
        <w:t>量、压力、速率比井喷量小很多，影响程度比井喷小很多。</w:t>
      </w:r>
    </w:p>
    <w:p>
      <w:pPr>
        <w:adjustRightInd w:val="0"/>
        <w:ind w:firstLine="480"/>
        <w:textAlignment w:val="baseline"/>
        <w:rPr>
          <w:rFonts w:ascii="Times New Roman" w:hAnsi="Times New Roman"/>
          <w:szCs w:val="24"/>
        </w:rPr>
      </w:pPr>
      <w:r>
        <w:rPr>
          <w:rFonts w:ascii="Times New Roman" w:hAnsi="Times New Roman"/>
          <w:szCs w:val="24"/>
        </w:rPr>
        <w:t>该事故主要控制措施是加强对周边3km居民的教育培训，遇到此类事故应立即撤离泄漏点，撤离距离根据应急监测确定，一般为200m。企业应在可能的泄漏点周边设置便携监测仪，确定浓度，根据浓度确定具体撤离范围。企业同时应对事故后主要是堵漏，通过井口周边放喷管放喷燃烧泄压，减少周边地表泄漏点泄漏量，对地表泄漏点进行点火燃烧。</w:t>
      </w:r>
    </w:p>
    <w:p>
      <w:pPr>
        <w:adjustRightInd w:val="0"/>
        <w:ind w:firstLine="480"/>
        <w:textAlignment w:val="baseline"/>
        <w:rPr>
          <w:rFonts w:ascii="Times New Roman" w:hAnsi="Times New Roman"/>
          <w:szCs w:val="24"/>
        </w:rPr>
      </w:pPr>
      <w:r>
        <w:rPr>
          <w:rFonts w:ascii="Times New Roman" w:hAnsi="Times New Roman"/>
          <w:szCs w:val="24"/>
        </w:rPr>
        <w:t>若上述事故，应立即对周边水井进行监测，如监测结果表明井水受到污染，则需采取应急供水措施确保周边居民的用水。</w:t>
      </w:r>
    </w:p>
    <w:p>
      <w:pPr>
        <w:ind w:firstLine="0" w:firstLineChars="0"/>
        <w:outlineLvl w:val="2"/>
        <w:rPr>
          <w:rFonts w:ascii="Times New Roman" w:hAnsi="Times New Roman"/>
          <w:b/>
          <w:sz w:val="28"/>
          <w:szCs w:val="28"/>
        </w:rPr>
      </w:pPr>
      <w:bookmarkStart w:id="104" w:name="_Toc524624631"/>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7</w:t>
      </w:r>
      <w:r>
        <w:rPr>
          <w:rFonts w:hint="eastAsia" w:ascii="Times New Roman" w:hAnsi="Times New Roman"/>
          <w:b/>
          <w:sz w:val="28"/>
          <w:szCs w:val="28"/>
        </w:rPr>
        <w:t xml:space="preserve"> 环境风险防范措施</w:t>
      </w:r>
      <w:bookmarkEnd w:id="104"/>
    </w:p>
    <w:p>
      <w:pPr>
        <w:adjustRightInd w:val="0"/>
        <w:ind w:firstLine="0" w:firstLineChars="0"/>
        <w:textAlignment w:val="baseline"/>
        <w:rPr>
          <w:rFonts w:ascii="Times New Roman" w:hAnsi="Times New Roman"/>
          <w:szCs w:val="24"/>
        </w:rPr>
      </w:pPr>
      <w:r>
        <w:rPr>
          <w:rFonts w:ascii="Times New Roman" w:hAnsi="Times New Roman"/>
          <w:b/>
          <w:szCs w:val="24"/>
        </w:rPr>
        <w:t>5.3.7.1</w:t>
      </w:r>
      <w:r>
        <w:rPr>
          <w:rFonts w:hint="eastAsia" w:ascii="Times New Roman" w:hAnsi="Times New Roman"/>
          <w:b/>
          <w:szCs w:val="24"/>
        </w:rPr>
        <w:t xml:space="preserve"> 废水泄露及废水外溢的防范措施</w:t>
      </w:r>
    </w:p>
    <w:p>
      <w:pPr>
        <w:adjustRightInd w:val="0"/>
        <w:ind w:firstLine="480"/>
        <w:textAlignment w:val="baseline"/>
        <w:rPr>
          <w:rFonts w:ascii="Times New Roman" w:hAnsi="Times New Roman"/>
          <w:szCs w:val="24"/>
        </w:rPr>
      </w:pPr>
      <w:r>
        <w:rPr>
          <w:rFonts w:ascii="Times New Roman" w:hAnsi="Times New Roman"/>
          <w:szCs w:val="24"/>
        </w:rPr>
        <w:t>（1）废水泄漏防范措施</w:t>
      </w:r>
    </w:p>
    <w:p>
      <w:pPr>
        <w:adjustRightInd w:val="0"/>
        <w:ind w:firstLine="480"/>
        <w:textAlignment w:val="baseline"/>
        <w:rPr>
          <w:rFonts w:ascii="Times New Roman" w:hAnsi="Times New Roman"/>
          <w:szCs w:val="24"/>
        </w:rPr>
      </w:pPr>
      <w:r>
        <w:rPr>
          <w:rFonts w:hint="eastAsia" w:ascii="宋体" w:hAnsi="宋体" w:cs="宋体"/>
          <w:szCs w:val="24"/>
        </w:rPr>
        <w:t>①</w:t>
      </w:r>
      <w:r>
        <w:rPr>
          <w:rFonts w:hint="eastAsia" w:ascii="Times New Roman" w:hAnsi="Times New Roman"/>
          <w:szCs w:val="24"/>
        </w:rPr>
        <w:t>泥浆池</w:t>
      </w:r>
      <w:r>
        <w:rPr>
          <w:rFonts w:ascii="Times New Roman" w:hAnsi="Times New Roman"/>
          <w:szCs w:val="24"/>
        </w:rPr>
        <w:t>选址避开不良地质或岩土松散的地段等地质结构不稳定的地方。</w:t>
      </w:r>
    </w:p>
    <w:p>
      <w:pPr>
        <w:adjustRightInd w:val="0"/>
        <w:ind w:firstLine="480"/>
        <w:textAlignment w:val="baseline"/>
        <w:rPr>
          <w:rFonts w:ascii="Times New Roman" w:hAnsi="Times New Roman"/>
          <w:szCs w:val="24"/>
        </w:rPr>
      </w:pPr>
      <w:r>
        <w:rPr>
          <w:rFonts w:hint="eastAsia" w:ascii="宋体" w:hAnsi="宋体" w:cs="宋体"/>
          <w:szCs w:val="24"/>
        </w:rPr>
        <w:t>②</w:t>
      </w:r>
      <w:r>
        <w:rPr>
          <w:rFonts w:hint="eastAsia" w:ascii="Times New Roman" w:hAnsi="Times New Roman"/>
          <w:szCs w:val="24"/>
        </w:rPr>
        <w:t>泥浆池</w:t>
      </w:r>
      <w:r>
        <w:rPr>
          <w:rFonts w:ascii="Times New Roman" w:hAnsi="Times New Roman"/>
          <w:szCs w:val="24"/>
        </w:rPr>
        <w:t>底层铺设防渗</w:t>
      </w:r>
      <w:r>
        <w:rPr>
          <w:rFonts w:hint="eastAsia" w:ascii="Times New Roman" w:hAnsi="Times New Roman"/>
          <w:szCs w:val="24"/>
        </w:rPr>
        <w:t>布</w:t>
      </w:r>
      <w:r>
        <w:rPr>
          <w:rFonts w:ascii="Times New Roman" w:hAnsi="Times New Roman"/>
          <w:szCs w:val="24"/>
        </w:rPr>
        <w:t>（耐酸碱层，三布四油聚氨酯三防材料），防渗层搭接处应粘合严密、均匀、不渗漏。铺设的的防渗材料高度应大于完井液面50cm 以上，四周用土压实。</w:t>
      </w:r>
    </w:p>
    <w:p>
      <w:pPr>
        <w:adjustRightInd w:val="0"/>
        <w:ind w:firstLine="480"/>
        <w:textAlignment w:val="baseline"/>
        <w:rPr>
          <w:rFonts w:ascii="Times New Roman" w:hAnsi="Times New Roman"/>
          <w:szCs w:val="24"/>
        </w:rPr>
      </w:pPr>
      <w:r>
        <w:rPr>
          <w:rFonts w:hint="eastAsia" w:ascii="宋体" w:hAnsi="宋体" w:cs="宋体"/>
          <w:szCs w:val="24"/>
        </w:rPr>
        <w:t>③</w:t>
      </w:r>
      <w:r>
        <w:rPr>
          <w:rFonts w:ascii="Times New Roman" w:hAnsi="Times New Roman"/>
          <w:szCs w:val="24"/>
        </w:rPr>
        <w:t>加强员工操作规范管理，尽量避免废水装车失误。装车过程若遇到废水泄漏，立即停止装车作业，减少废水泄漏量，并利用井场内的污水沟将泄漏废水收集至废水箱内，不外流。</w:t>
      </w:r>
    </w:p>
    <w:p>
      <w:pPr>
        <w:adjustRightInd w:val="0"/>
        <w:ind w:firstLine="480"/>
        <w:textAlignment w:val="baseline"/>
        <w:rPr>
          <w:rFonts w:ascii="Times New Roman" w:hAnsi="Times New Roman"/>
          <w:szCs w:val="24"/>
        </w:rPr>
      </w:pPr>
      <w:r>
        <w:rPr>
          <w:rFonts w:ascii="Times New Roman" w:hAnsi="Times New Roman"/>
          <w:szCs w:val="24"/>
        </w:rPr>
        <w:t>（2）废水外溢防范措施</w:t>
      </w:r>
    </w:p>
    <w:p>
      <w:pPr>
        <w:adjustRightInd w:val="0"/>
        <w:ind w:firstLine="480"/>
        <w:textAlignment w:val="baseline"/>
        <w:rPr>
          <w:rFonts w:ascii="Times New Roman" w:hAnsi="Times New Roman"/>
          <w:szCs w:val="24"/>
        </w:rPr>
      </w:pPr>
      <w:r>
        <w:rPr>
          <w:rFonts w:hint="eastAsia" w:ascii="宋体" w:hAnsi="宋体" w:cs="宋体"/>
          <w:szCs w:val="24"/>
        </w:rPr>
        <w:t>①</w:t>
      </w:r>
      <w:r>
        <w:rPr>
          <w:rFonts w:hint="eastAsia" w:ascii="Times New Roman" w:hAnsi="Times New Roman"/>
          <w:szCs w:val="24"/>
        </w:rPr>
        <w:t>泥浆池</w:t>
      </w:r>
      <w:r>
        <w:rPr>
          <w:rFonts w:ascii="Times New Roman" w:hAnsi="Times New Roman"/>
          <w:szCs w:val="24"/>
        </w:rPr>
        <w:t>修建时做好防渗漏，确保施工质量。</w:t>
      </w:r>
    </w:p>
    <w:p>
      <w:pPr>
        <w:adjustRightInd w:val="0"/>
        <w:ind w:firstLine="480"/>
        <w:textAlignment w:val="baseline"/>
        <w:rPr>
          <w:rFonts w:ascii="Times New Roman" w:hAnsi="Times New Roman"/>
          <w:szCs w:val="24"/>
        </w:rPr>
      </w:pPr>
      <w:r>
        <w:rPr>
          <w:rFonts w:hint="eastAsia" w:ascii="宋体" w:hAnsi="宋体" w:cs="宋体"/>
          <w:szCs w:val="24"/>
        </w:rPr>
        <w:t>②</w:t>
      </w:r>
      <w:r>
        <w:rPr>
          <w:rFonts w:ascii="Times New Roman" w:hAnsi="Times New Roman"/>
          <w:szCs w:val="24"/>
        </w:rPr>
        <w:t>钻井作业期间每天检查</w:t>
      </w:r>
      <w:r>
        <w:rPr>
          <w:rFonts w:hint="eastAsia" w:ascii="Times New Roman" w:hAnsi="Times New Roman"/>
          <w:szCs w:val="24"/>
        </w:rPr>
        <w:t>泥浆池</w:t>
      </w:r>
      <w:r>
        <w:rPr>
          <w:rFonts w:ascii="Times New Roman" w:hAnsi="Times New Roman"/>
          <w:szCs w:val="24"/>
        </w:rPr>
        <w:t>池体及周围地面变化，并做好检查记录，若发现有</w:t>
      </w:r>
      <w:r>
        <w:rPr>
          <w:rFonts w:hint="eastAsia" w:ascii="Times New Roman" w:hAnsi="Times New Roman"/>
          <w:szCs w:val="24"/>
        </w:rPr>
        <w:t>泥浆池</w:t>
      </w:r>
      <w:r>
        <w:rPr>
          <w:rFonts w:ascii="Times New Roman" w:hAnsi="Times New Roman"/>
          <w:szCs w:val="24"/>
        </w:rPr>
        <w:t>有渗漏点，可提前采取相应的措施，对池体进行修补，防止渗漏进一步扩大从而引发池体垮塌。</w:t>
      </w:r>
    </w:p>
    <w:p>
      <w:pPr>
        <w:adjustRightInd w:val="0"/>
        <w:ind w:firstLine="480"/>
        <w:textAlignment w:val="baseline"/>
        <w:rPr>
          <w:rFonts w:ascii="Times New Roman" w:hAnsi="Times New Roman"/>
          <w:szCs w:val="24"/>
        </w:rPr>
      </w:pPr>
      <w:r>
        <w:rPr>
          <w:rFonts w:hint="eastAsia" w:ascii="宋体" w:hAnsi="宋体" w:cs="宋体"/>
          <w:szCs w:val="24"/>
        </w:rPr>
        <w:t>③</w:t>
      </w:r>
      <w:r>
        <w:rPr>
          <w:rFonts w:ascii="Times New Roman" w:hAnsi="Times New Roman"/>
          <w:szCs w:val="24"/>
        </w:rPr>
        <w:t>为避免突降大雨引起雨水进入</w:t>
      </w:r>
      <w:r>
        <w:rPr>
          <w:rFonts w:hint="eastAsia" w:ascii="Times New Roman" w:hAnsi="Times New Roman"/>
          <w:szCs w:val="24"/>
        </w:rPr>
        <w:t>泥浆池</w:t>
      </w:r>
      <w:r>
        <w:rPr>
          <w:rFonts w:ascii="Times New Roman" w:hAnsi="Times New Roman"/>
          <w:szCs w:val="24"/>
        </w:rPr>
        <w:t>，从而引发废水外溢，应在雨季对废水箱加盖防水篷布或架设雨篷。</w:t>
      </w:r>
    </w:p>
    <w:p>
      <w:pPr>
        <w:adjustRightInd w:val="0"/>
        <w:ind w:firstLine="0" w:firstLineChars="0"/>
        <w:textAlignment w:val="baseline"/>
        <w:rPr>
          <w:rFonts w:ascii="Times New Roman" w:hAnsi="Times New Roman"/>
          <w:szCs w:val="24"/>
        </w:rPr>
      </w:pPr>
      <w:r>
        <w:rPr>
          <w:rFonts w:ascii="Times New Roman" w:hAnsi="Times New Roman"/>
          <w:b/>
          <w:szCs w:val="24"/>
        </w:rPr>
        <w:t>5.3.7.2</w:t>
      </w:r>
      <w:r>
        <w:rPr>
          <w:rFonts w:hint="eastAsia" w:ascii="Times New Roman" w:hAnsi="Times New Roman"/>
          <w:b/>
          <w:szCs w:val="24"/>
        </w:rPr>
        <w:t xml:space="preserve"> 井喷事故风险防范措施</w:t>
      </w:r>
    </w:p>
    <w:p>
      <w:pPr>
        <w:adjustRightInd w:val="0"/>
        <w:ind w:firstLine="480"/>
        <w:textAlignment w:val="baseline"/>
        <w:rPr>
          <w:rFonts w:ascii="Times New Roman" w:hAnsi="Times New Roman"/>
          <w:szCs w:val="24"/>
        </w:rPr>
      </w:pPr>
      <w:r>
        <w:rPr>
          <w:rFonts w:ascii="Times New Roman" w:hAnsi="Times New Roman"/>
          <w:szCs w:val="24"/>
        </w:rPr>
        <w:t>（1）井喷事故工程防范措施</w:t>
      </w:r>
    </w:p>
    <w:p>
      <w:pPr>
        <w:adjustRightInd w:val="0"/>
        <w:ind w:firstLine="480"/>
        <w:textAlignment w:val="baseline"/>
        <w:rPr>
          <w:rFonts w:ascii="Times New Roman" w:hAnsi="Times New Roman"/>
          <w:szCs w:val="24"/>
        </w:rPr>
      </w:pPr>
      <w:r>
        <w:rPr>
          <w:rFonts w:hint="eastAsia" w:ascii="宋体" w:hAnsi="宋体" w:cs="宋体"/>
          <w:szCs w:val="24"/>
        </w:rPr>
        <w:t>①</w:t>
      </w:r>
      <w:r>
        <w:rPr>
          <w:rFonts w:ascii="Times New Roman" w:hAnsi="Times New Roman"/>
          <w:szCs w:val="24"/>
        </w:rPr>
        <w:t>应对拟定井位探井周围3km 范围内的居民住宅、学校、公路、铁路、厂矿、地下管道、隧道等进行勘测，在设计书中绘图标明其位置。</w:t>
      </w:r>
    </w:p>
    <w:p>
      <w:pPr>
        <w:adjustRightInd w:val="0"/>
        <w:ind w:firstLine="480"/>
        <w:textAlignment w:val="baseline"/>
        <w:rPr>
          <w:rFonts w:ascii="Times New Roman" w:hAnsi="Times New Roman"/>
          <w:szCs w:val="24"/>
        </w:rPr>
      </w:pPr>
      <w:r>
        <w:rPr>
          <w:rFonts w:hint="eastAsia" w:ascii="宋体" w:hAnsi="宋体" w:cs="宋体"/>
          <w:szCs w:val="24"/>
        </w:rPr>
        <w:t>②</w:t>
      </w:r>
      <w:r>
        <w:rPr>
          <w:rFonts w:ascii="Times New Roman" w:hAnsi="Times New Roman"/>
          <w:szCs w:val="24"/>
        </w:rPr>
        <w:t>应进一步分析和准确预告地层压力等基本参数，并对可能出现的变化在设计上有足够准备和分析。</w:t>
      </w:r>
    </w:p>
    <w:p>
      <w:pPr>
        <w:adjustRightInd w:val="0"/>
        <w:ind w:firstLine="480"/>
        <w:textAlignment w:val="baseline"/>
        <w:rPr>
          <w:rFonts w:ascii="Times New Roman" w:hAnsi="Times New Roman"/>
          <w:szCs w:val="24"/>
        </w:rPr>
      </w:pPr>
      <w:r>
        <w:rPr>
          <w:rFonts w:hint="eastAsia" w:ascii="宋体" w:hAnsi="宋体" w:cs="宋体"/>
          <w:szCs w:val="24"/>
        </w:rPr>
        <w:t>③</w:t>
      </w:r>
      <w:r>
        <w:rPr>
          <w:rFonts w:ascii="Times New Roman" w:hAnsi="Times New Roman"/>
          <w:szCs w:val="24"/>
        </w:rPr>
        <w:t>在工程设计书中应有可操作性的安全（HSE）设计篇章。其安全（HSE）设计以国家有关法律、法规，国家标准和行业标准以及安全预评价报告和环境影响评价报告为设计依据。</w:t>
      </w:r>
    </w:p>
    <w:p>
      <w:pPr>
        <w:adjustRightInd w:val="0"/>
        <w:ind w:firstLine="480"/>
        <w:textAlignment w:val="baseline"/>
        <w:rPr>
          <w:rFonts w:ascii="Times New Roman" w:hAnsi="Times New Roman"/>
          <w:szCs w:val="24"/>
        </w:rPr>
      </w:pPr>
      <w:r>
        <w:rPr>
          <w:rFonts w:hint="eastAsia" w:ascii="宋体" w:hAnsi="宋体" w:cs="宋体"/>
          <w:szCs w:val="24"/>
        </w:rPr>
        <w:t>④</w:t>
      </w:r>
      <w:r>
        <w:rPr>
          <w:rFonts w:ascii="Times New Roman" w:hAnsi="Times New Roman"/>
          <w:szCs w:val="24"/>
        </w:rPr>
        <w:t>设计书必须按照有关审批程序进行严格审批。钻井承包商在未收到设计书前禁止组织施工。</w:t>
      </w:r>
    </w:p>
    <w:p>
      <w:pPr>
        <w:adjustRightInd w:val="0"/>
        <w:ind w:firstLine="480"/>
        <w:textAlignment w:val="baseline"/>
        <w:rPr>
          <w:rFonts w:ascii="Times New Roman" w:hAnsi="Times New Roman"/>
          <w:szCs w:val="24"/>
        </w:rPr>
      </w:pPr>
      <w:r>
        <w:rPr>
          <w:rFonts w:hint="eastAsia" w:ascii="宋体" w:hAnsi="宋体" w:cs="宋体"/>
          <w:szCs w:val="24"/>
        </w:rPr>
        <w:t>⑤</w:t>
      </w:r>
      <w:r>
        <w:rPr>
          <w:rFonts w:ascii="Times New Roman" w:hAnsi="Times New Roman"/>
          <w:szCs w:val="24"/>
        </w:rPr>
        <w:t>应利用各种作业所获得直接或间接地层压力数据进行数理统计分析资料，划分出不同地层压力区带，与邻井可比地层压力进行分析对比，提供地层压力预测或监测曲线（值），并对漏失层段、浅层气分布情况、油气水显示和其他复杂情况进行预告。</w:t>
      </w:r>
    </w:p>
    <w:p>
      <w:pPr>
        <w:adjustRightInd w:val="0"/>
        <w:ind w:firstLine="480"/>
        <w:textAlignment w:val="baseline"/>
        <w:rPr>
          <w:rFonts w:ascii="Times New Roman" w:hAnsi="Times New Roman"/>
          <w:szCs w:val="24"/>
        </w:rPr>
      </w:pPr>
      <w:r>
        <w:rPr>
          <w:rFonts w:hint="eastAsia" w:ascii="宋体" w:hAnsi="宋体" w:cs="宋体"/>
          <w:szCs w:val="24"/>
        </w:rPr>
        <w:t>⑥</w:t>
      </w:r>
      <w:r>
        <w:rPr>
          <w:rFonts w:ascii="Times New Roman" w:hAnsi="Times New Roman"/>
          <w:szCs w:val="24"/>
        </w:rPr>
        <w:t>应在钻井周边地区多设置广播设施、警示牌和风向标，使周边居民第一时间井喷事故的发生，并通过广播指导周边居民沿当时的风向逆风逃离危险区域。</w:t>
      </w:r>
    </w:p>
    <w:p>
      <w:pPr>
        <w:ind w:firstLine="0" w:firstLineChars="0"/>
        <w:outlineLvl w:val="2"/>
        <w:rPr>
          <w:rFonts w:ascii="Times New Roman" w:hAnsi="Times New Roman"/>
          <w:b/>
          <w:sz w:val="28"/>
          <w:szCs w:val="28"/>
        </w:rPr>
      </w:pPr>
      <w:bookmarkStart w:id="105" w:name="_Toc524624632"/>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8</w:t>
      </w:r>
      <w:r>
        <w:rPr>
          <w:rFonts w:hint="eastAsia" w:ascii="Times New Roman" w:hAnsi="Times New Roman"/>
          <w:b/>
          <w:sz w:val="28"/>
          <w:szCs w:val="28"/>
        </w:rPr>
        <w:t xml:space="preserve"> 应急预案</w:t>
      </w:r>
      <w:bookmarkEnd w:id="105"/>
    </w:p>
    <w:p>
      <w:pPr>
        <w:adjustRightInd w:val="0"/>
        <w:ind w:firstLine="0" w:firstLineChars="0"/>
        <w:textAlignment w:val="baseline"/>
        <w:rPr>
          <w:rFonts w:ascii="Times New Roman" w:hAnsi="Times New Roman"/>
          <w:szCs w:val="24"/>
        </w:rPr>
      </w:pPr>
      <w:r>
        <w:rPr>
          <w:rFonts w:ascii="Times New Roman" w:hAnsi="Times New Roman"/>
          <w:b/>
          <w:szCs w:val="24"/>
        </w:rPr>
        <w:t>5.3.8.1</w:t>
      </w:r>
      <w:r>
        <w:rPr>
          <w:rFonts w:hint="eastAsia" w:ascii="Times New Roman" w:hAnsi="Times New Roman"/>
          <w:b/>
          <w:szCs w:val="24"/>
        </w:rPr>
        <w:t xml:space="preserve"> 井喷及井喷失控应急处理预案</w:t>
      </w:r>
    </w:p>
    <w:p>
      <w:pPr>
        <w:adjustRightInd w:val="0"/>
        <w:ind w:firstLine="480"/>
        <w:textAlignment w:val="baseline"/>
        <w:rPr>
          <w:rFonts w:ascii="Times New Roman" w:hAnsi="Times New Roman"/>
          <w:szCs w:val="24"/>
        </w:rPr>
      </w:pPr>
      <w:r>
        <w:rPr>
          <w:rFonts w:ascii="Times New Roman" w:hAnsi="Times New Roman"/>
          <w:szCs w:val="24"/>
        </w:rPr>
        <w:t>根据事态发展变化情况，事故现场抢险指挥部根据应急领导小组的指令并充分考虑专家和有关意见的基础上，依法采取紧急措施，并注意做好以下工作：</w:t>
      </w:r>
    </w:p>
    <w:p>
      <w:pPr>
        <w:adjustRightInd w:val="0"/>
        <w:ind w:firstLine="480"/>
        <w:textAlignment w:val="baseline"/>
        <w:rPr>
          <w:rFonts w:ascii="Times New Roman" w:hAnsi="Times New Roman"/>
          <w:szCs w:val="24"/>
        </w:rPr>
      </w:pPr>
      <w:r>
        <w:rPr>
          <w:rFonts w:ascii="Times New Roman" w:hAnsi="Times New Roman"/>
          <w:szCs w:val="24"/>
        </w:rPr>
        <w:t>（1）井喷失控后严防着火和爆炸。应立即停钻机、切断井架、钻台、机泵房等处全部照明灯和用电设备的电源，熄灭一切火源，需要时打开专用探照灯，并组织警戒。</w:t>
      </w:r>
    </w:p>
    <w:p>
      <w:pPr>
        <w:adjustRightInd w:val="0"/>
        <w:ind w:firstLine="480"/>
        <w:textAlignment w:val="baseline"/>
        <w:rPr>
          <w:rFonts w:ascii="Times New Roman" w:hAnsi="Times New Roman"/>
          <w:szCs w:val="24"/>
        </w:rPr>
      </w:pPr>
      <w:r>
        <w:rPr>
          <w:rFonts w:ascii="Times New Roman" w:hAnsi="Times New Roman"/>
          <w:szCs w:val="24"/>
        </w:rPr>
        <w:t>（2）立即向当地政府报告，通知3km范围内的厂矿企业立刻进行沿反方向进行撤离，协助当地政府作好井口500m范围内居民的疏散工作。</w:t>
      </w:r>
    </w:p>
    <w:p>
      <w:pPr>
        <w:adjustRightInd w:val="0"/>
        <w:ind w:firstLine="480"/>
        <w:textAlignment w:val="baseline"/>
        <w:rPr>
          <w:rFonts w:ascii="Times New Roman" w:hAnsi="Times New Roman"/>
          <w:szCs w:val="24"/>
        </w:rPr>
      </w:pPr>
      <w:r>
        <w:rPr>
          <w:rFonts w:ascii="Times New Roman" w:hAnsi="Times New Roman"/>
          <w:szCs w:val="24"/>
        </w:rPr>
        <w:t>（3）设置观察点，定时取样，监测（大气/空气）中的甲烷浓度，划分安全范围。</w:t>
      </w:r>
    </w:p>
    <w:p>
      <w:pPr>
        <w:adjustRightInd w:val="0"/>
        <w:ind w:firstLine="480"/>
        <w:textAlignment w:val="baseline"/>
        <w:rPr>
          <w:rFonts w:ascii="Times New Roman" w:hAnsi="Times New Roman"/>
          <w:szCs w:val="24"/>
        </w:rPr>
      </w:pPr>
      <w:r>
        <w:rPr>
          <w:rFonts w:ascii="Times New Roman" w:hAnsi="Times New Roman"/>
          <w:szCs w:val="24"/>
        </w:rPr>
        <w:t>（4）迅速成立现场抢险领导小组，根据失控状况制定抢险方案，统一指挥、组织和协调抢险工作。抢险方案制订及实施，要把环境保护同时考虑，同时实施，防止出现次生环境事故。</w:t>
      </w:r>
    </w:p>
    <w:p>
      <w:pPr>
        <w:adjustRightInd w:val="0"/>
        <w:ind w:firstLine="480"/>
        <w:textAlignment w:val="baseline"/>
        <w:rPr>
          <w:rFonts w:ascii="Times New Roman" w:hAnsi="Times New Roman"/>
          <w:szCs w:val="24"/>
        </w:rPr>
      </w:pPr>
      <w:r>
        <w:rPr>
          <w:rFonts w:ascii="Times New Roman" w:hAnsi="Times New Roman"/>
          <w:szCs w:val="24"/>
        </w:rPr>
        <w:t>（5）继续监测污染区有毒有害气体的浓度，根据监测情况决定是否扩大撤离范围。</w:t>
      </w:r>
    </w:p>
    <w:p>
      <w:pPr>
        <w:adjustRightInd w:val="0"/>
        <w:ind w:firstLine="480"/>
        <w:textAlignment w:val="baseline"/>
        <w:rPr>
          <w:rFonts w:ascii="Times New Roman" w:hAnsi="Times New Roman"/>
          <w:szCs w:val="24"/>
        </w:rPr>
      </w:pPr>
      <w:r>
        <w:rPr>
          <w:rFonts w:ascii="Times New Roman" w:hAnsi="Times New Roman"/>
          <w:szCs w:val="24"/>
        </w:rPr>
        <w:t>（6）当井喷失控时，应：</w:t>
      </w:r>
    </w:p>
    <w:p>
      <w:pPr>
        <w:adjustRightInd w:val="0"/>
        <w:ind w:firstLine="480"/>
        <w:textAlignment w:val="baseline"/>
        <w:rPr>
          <w:rFonts w:ascii="Times New Roman" w:hAnsi="Times New Roman"/>
          <w:szCs w:val="24"/>
        </w:rPr>
      </w:pPr>
      <w:r>
        <w:rPr>
          <w:rFonts w:hint="eastAsia" w:ascii="宋体" w:hAnsi="宋体" w:cs="宋体"/>
          <w:szCs w:val="24"/>
        </w:rPr>
        <w:t>①</w:t>
      </w:r>
      <w:r>
        <w:rPr>
          <w:rFonts w:ascii="Times New Roman" w:hAnsi="Times New Roman"/>
          <w:szCs w:val="24"/>
        </w:rPr>
        <w:t>立即通知并协助当地政府疏散井口500m范围内的居民和其他人员，根据当地情况，本项目周边的的居民南面和东面地势较高的位置撤离撤离。同时应根据监测情况，考虑风向、地形、人口密度、受污染程度等情况及时作出风险和危害程度评估，决定是否扩大撤离范围。</w:t>
      </w:r>
    </w:p>
    <w:p>
      <w:pPr>
        <w:adjustRightInd w:val="0"/>
        <w:ind w:firstLine="480"/>
        <w:textAlignment w:val="baseline"/>
        <w:rPr>
          <w:rFonts w:ascii="Times New Roman" w:hAnsi="Times New Roman"/>
          <w:szCs w:val="24"/>
        </w:rPr>
      </w:pPr>
      <w:r>
        <w:rPr>
          <w:rFonts w:hint="eastAsia" w:ascii="宋体" w:hAnsi="宋体" w:cs="宋体"/>
          <w:szCs w:val="24"/>
        </w:rPr>
        <w:t>②</w:t>
      </w:r>
      <w:r>
        <w:rPr>
          <w:rFonts w:ascii="Times New Roman" w:hAnsi="Times New Roman"/>
          <w:szCs w:val="24"/>
        </w:rPr>
        <w:t>关停生产设施。</w:t>
      </w:r>
    </w:p>
    <w:p>
      <w:pPr>
        <w:adjustRightInd w:val="0"/>
        <w:ind w:firstLine="480"/>
        <w:textAlignment w:val="baseline"/>
        <w:rPr>
          <w:rFonts w:ascii="Times New Roman" w:hAnsi="Times New Roman"/>
          <w:szCs w:val="24"/>
        </w:rPr>
      </w:pPr>
      <w:r>
        <w:rPr>
          <w:rFonts w:hint="eastAsia" w:ascii="宋体" w:hAnsi="宋体" w:cs="宋体"/>
          <w:szCs w:val="24"/>
        </w:rPr>
        <w:t>③</w:t>
      </w:r>
      <w:r>
        <w:rPr>
          <w:rFonts w:ascii="Times New Roman" w:hAnsi="Times New Roman"/>
          <w:szCs w:val="24"/>
        </w:rPr>
        <w:t>请求援助。</w:t>
      </w:r>
    </w:p>
    <w:p>
      <w:pPr>
        <w:adjustRightInd w:val="0"/>
        <w:ind w:firstLine="480"/>
        <w:textAlignment w:val="baseline"/>
        <w:rPr>
          <w:rFonts w:ascii="Times New Roman" w:hAnsi="Times New Roman"/>
          <w:szCs w:val="24"/>
        </w:rPr>
      </w:pPr>
      <w:r>
        <w:rPr>
          <w:rFonts w:ascii="Times New Roman" w:hAnsi="Times New Roman"/>
          <w:szCs w:val="24"/>
        </w:rPr>
        <w:t>（7）在确保人员安全的前提下，将氧气瓶、油罐等易燃易爆物品撤离危险区。</w:t>
      </w:r>
    </w:p>
    <w:p>
      <w:pPr>
        <w:adjustRightInd w:val="0"/>
        <w:ind w:firstLine="480"/>
        <w:textAlignment w:val="baseline"/>
        <w:rPr>
          <w:rFonts w:ascii="Times New Roman" w:hAnsi="Times New Roman"/>
          <w:szCs w:val="24"/>
        </w:rPr>
      </w:pPr>
      <w:r>
        <w:rPr>
          <w:rFonts w:ascii="Times New Roman" w:hAnsi="Times New Roman"/>
          <w:szCs w:val="24"/>
        </w:rPr>
        <w:t>（8）井喷发生后，及时安排消防车、救护车、医护人员和技安人员到现场。</w:t>
      </w:r>
    </w:p>
    <w:p>
      <w:pPr>
        <w:adjustRightInd w:val="0"/>
        <w:ind w:firstLine="480"/>
        <w:textAlignment w:val="baseline"/>
        <w:rPr>
          <w:rFonts w:ascii="Times New Roman" w:hAnsi="Times New Roman"/>
          <w:szCs w:val="24"/>
        </w:rPr>
      </w:pPr>
      <w:r>
        <w:rPr>
          <w:rFonts w:ascii="Times New Roman" w:hAnsi="Times New Roman"/>
          <w:szCs w:val="24"/>
        </w:rPr>
        <w:t>（9）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pPr>
        <w:adjustRightInd w:val="0"/>
        <w:ind w:firstLine="480"/>
        <w:textAlignment w:val="baseline"/>
        <w:rPr>
          <w:rFonts w:ascii="Times New Roman" w:hAnsi="Times New Roman"/>
          <w:szCs w:val="24"/>
        </w:rPr>
      </w:pPr>
      <w:r>
        <w:rPr>
          <w:rFonts w:ascii="Times New Roman" w:hAnsi="Times New Roman"/>
          <w:szCs w:val="24"/>
        </w:rPr>
        <w:t>（10）在事故处理结束后，确认作业现场及其周边环境安全的情况下，和地方政府商定撤离群众的返回时间。</w:t>
      </w:r>
    </w:p>
    <w:p>
      <w:pPr>
        <w:adjustRightInd w:val="0"/>
        <w:ind w:firstLine="0" w:firstLineChars="0"/>
        <w:textAlignment w:val="baseline"/>
        <w:rPr>
          <w:rFonts w:ascii="Times New Roman" w:hAnsi="Times New Roman"/>
          <w:szCs w:val="24"/>
        </w:rPr>
      </w:pPr>
      <w:r>
        <w:rPr>
          <w:rFonts w:ascii="Times New Roman" w:hAnsi="Times New Roman"/>
          <w:b/>
          <w:szCs w:val="24"/>
        </w:rPr>
        <w:t>5.3.8.</w:t>
      </w:r>
      <w:r>
        <w:rPr>
          <w:rFonts w:hint="eastAsia" w:ascii="Times New Roman" w:hAnsi="Times New Roman"/>
          <w:b/>
          <w:szCs w:val="24"/>
        </w:rPr>
        <w:t xml:space="preserve">2 </w:t>
      </w:r>
      <w:r>
        <w:rPr>
          <w:rFonts w:ascii="Times New Roman" w:hAnsi="Times New Roman"/>
          <w:b/>
          <w:szCs w:val="24"/>
        </w:rPr>
        <w:t>重大环境污染应急预案</w:t>
      </w:r>
    </w:p>
    <w:p>
      <w:pPr>
        <w:adjustRightInd w:val="0"/>
        <w:ind w:firstLine="480"/>
        <w:textAlignment w:val="baseline"/>
        <w:rPr>
          <w:rFonts w:ascii="Times New Roman" w:hAnsi="Times New Roman"/>
          <w:szCs w:val="24"/>
        </w:rPr>
      </w:pPr>
      <w:r>
        <w:rPr>
          <w:rFonts w:ascii="Times New Roman" w:hAnsi="Times New Roman"/>
          <w:szCs w:val="24"/>
        </w:rPr>
        <w:t>当井场</w:t>
      </w:r>
      <w:r>
        <w:rPr>
          <w:rFonts w:hint="eastAsia" w:ascii="Times New Roman" w:hAnsi="Times New Roman"/>
          <w:szCs w:val="24"/>
        </w:rPr>
        <w:t>、集气站和污水处理站</w:t>
      </w:r>
      <w:r>
        <w:rPr>
          <w:rFonts w:ascii="Times New Roman" w:hAnsi="Times New Roman"/>
          <w:szCs w:val="24"/>
        </w:rPr>
        <w:t>废水外溢造成环境污染时，废水处理工及时报告钻井队队长；队长尽快赶到现场，了解污染大致情况，视污染的不同程度采取不同措施；污染较小，本队友能力处理时，队长可组织人员及时处理，控制污染扩大；当污染较大，处理难度较大，应立即向钻探公司调度室和质量安全环保部门汇报；队长组织其他队领导、废水处理工、当班人员，采取有力措施，控制污染扩大；彻底清理污染场地，彻底清除隐患；配合上级有关人员对污染事故进行处理。</w:t>
      </w:r>
    </w:p>
    <w:p>
      <w:pPr>
        <w:adjustRightInd w:val="0"/>
        <w:ind w:firstLine="480"/>
        <w:textAlignment w:val="baseline"/>
        <w:rPr>
          <w:rFonts w:ascii="Times New Roman" w:hAnsi="Times New Roman"/>
          <w:szCs w:val="24"/>
        </w:rPr>
      </w:pPr>
      <w:r>
        <w:rPr>
          <w:rFonts w:ascii="Times New Roman" w:hAnsi="Times New Roman"/>
          <w:szCs w:val="24"/>
        </w:rPr>
        <w:t>施工单位必须制定出应急救援预案和与当地政府和有关部门建立相衔接的应急救援体系，并按规定程序报批后进行宣传和演练，加强信息交流，建立与相关方面的通讯联系系统。</w:t>
      </w:r>
    </w:p>
    <w:p>
      <w:pPr>
        <w:ind w:firstLine="0" w:firstLineChars="0"/>
        <w:rPr>
          <w:rFonts w:ascii="Times New Roman" w:hAnsi="Times New Roman"/>
          <w:b/>
          <w:szCs w:val="24"/>
        </w:rPr>
      </w:pPr>
      <w:r>
        <w:rPr>
          <w:rFonts w:hint="eastAsia" w:ascii="Times New Roman" w:hAnsi="Times New Roman"/>
          <w:b/>
          <w:szCs w:val="24"/>
        </w:rPr>
        <w:t>5.3.8</w:t>
      </w:r>
      <w:r>
        <w:rPr>
          <w:rFonts w:ascii="Times New Roman" w:hAnsi="Times New Roman"/>
          <w:b/>
          <w:szCs w:val="24"/>
        </w:rPr>
        <w:t>.3</w:t>
      </w:r>
      <w:r>
        <w:rPr>
          <w:rFonts w:hint="eastAsia" w:ascii="Times New Roman" w:hAnsi="Times New Roman"/>
          <w:b/>
          <w:szCs w:val="24"/>
        </w:rPr>
        <w:t xml:space="preserve"> 地下水环境应急预案</w:t>
      </w:r>
    </w:p>
    <w:p>
      <w:pPr>
        <w:ind w:firstLine="480"/>
        <w:rPr>
          <w:rFonts w:ascii="Times New Roman" w:hAnsi="Times New Roman"/>
          <w:szCs w:val="22"/>
        </w:rPr>
      </w:pPr>
      <w:r>
        <w:rPr>
          <w:rFonts w:hint="eastAsia" w:ascii="Times New Roman" w:hAnsi="Times New Roman"/>
          <w:szCs w:val="22"/>
        </w:rPr>
        <w:t>一旦发生或发现地下水污染，应采取如下污染治理措施：</w:t>
      </w:r>
    </w:p>
    <w:p>
      <w:pPr>
        <w:ind w:firstLine="480"/>
        <w:rPr>
          <w:rFonts w:ascii="Times New Roman" w:hAnsi="Times New Roman"/>
          <w:szCs w:val="22"/>
        </w:rPr>
      </w:pPr>
      <w:r>
        <w:rPr>
          <w:rFonts w:hint="eastAsia" w:ascii="Times New Roman" w:hAnsi="Times New Roman"/>
          <w:szCs w:val="22"/>
        </w:rPr>
        <w:t>① 建设单位应编制切实可行的应急预案，并在全单位进行学习，保证每个员工都熟知应急预案内容与补救措施。</w:t>
      </w:r>
    </w:p>
    <w:p>
      <w:pPr>
        <w:ind w:firstLine="480"/>
        <w:rPr>
          <w:rFonts w:ascii="Times New Roman" w:hAnsi="Times New Roman"/>
          <w:szCs w:val="22"/>
        </w:rPr>
      </w:pPr>
      <w:r>
        <w:rPr>
          <w:rFonts w:hint="eastAsia" w:ascii="Times New Roman" w:hAnsi="Times New Roman"/>
          <w:szCs w:val="22"/>
        </w:rPr>
        <w:t xml:space="preserve">②一旦发生或发现地下水污染事故，应立即启动应急预案。 </w:t>
      </w:r>
    </w:p>
    <w:p>
      <w:pPr>
        <w:ind w:firstLine="480"/>
        <w:rPr>
          <w:rFonts w:ascii="Times New Roman" w:hAnsi="Times New Roman"/>
          <w:szCs w:val="22"/>
        </w:rPr>
      </w:pPr>
      <w:r>
        <w:rPr>
          <w:rFonts w:hint="eastAsia" w:ascii="Times New Roman" w:hAnsi="Times New Roman"/>
          <w:szCs w:val="22"/>
        </w:rPr>
        <w:t>③查明并切断污染源。</w:t>
      </w:r>
    </w:p>
    <w:p>
      <w:pPr>
        <w:ind w:firstLine="480"/>
        <w:rPr>
          <w:rFonts w:ascii="Times New Roman" w:hAnsi="Times New Roman"/>
          <w:szCs w:val="22"/>
        </w:rPr>
      </w:pPr>
      <w:r>
        <w:rPr>
          <w:rFonts w:hint="eastAsia" w:ascii="Times New Roman" w:hAnsi="Times New Roman"/>
          <w:szCs w:val="22"/>
        </w:rPr>
        <w:t>④查明地下水污染深度、浓度和范围。</w:t>
      </w:r>
    </w:p>
    <w:p>
      <w:pPr>
        <w:ind w:firstLine="480"/>
        <w:rPr>
          <w:rFonts w:ascii="Times New Roman" w:hAnsi="Times New Roman"/>
          <w:szCs w:val="22"/>
        </w:rPr>
      </w:pPr>
      <w:r>
        <w:rPr>
          <w:rFonts w:hint="eastAsia" w:ascii="Times New Roman" w:hAnsi="Times New Roman"/>
          <w:szCs w:val="22"/>
        </w:rPr>
        <w:t>⑤据探明的地下水污染情况，合理布置截渗井，并进行试抽工作。</w:t>
      </w:r>
    </w:p>
    <w:p>
      <w:pPr>
        <w:ind w:firstLine="480"/>
        <w:rPr>
          <w:rFonts w:ascii="Times New Roman" w:hAnsi="Times New Roman"/>
          <w:szCs w:val="22"/>
        </w:rPr>
      </w:pPr>
      <w:r>
        <w:rPr>
          <w:rFonts w:hint="eastAsia" w:ascii="Times New Roman" w:hAnsi="Times New Roman"/>
          <w:szCs w:val="22"/>
        </w:rPr>
        <w:t>⑥依据抽水设计方案进行施工，抽取被污染的地下水体，并依据各井孔出水情况进行调整。</w:t>
      </w:r>
    </w:p>
    <w:p>
      <w:pPr>
        <w:ind w:firstLine="480"/>
        <w:rPr>
          <w:rFonts w:ascii="Times New Roman" w:hAnsi="Times New Roman"/>
          <w:szCs w:val="22"/>
        </w:rPr>
      </w:pPr>
      <w:r>
        <w:rPr>
          <w:rFonts w:hint="eastAsia" w:ascii="Times New Roman" w:hAnsi="Times New Roman"/>
          <w:szCs w:val="22"/>
        </w:rPr>
        <w:t xml:space="preserve">⑦将抽取的地下水进行集中收集，并送实验室进行化验分析。 </w:t>
      </w:r>
    </w:p>
    <w:p>
      <w:pPr>
        <w:ind w:firstLine="480"/>
        <w:rPr>
          <w:rFonts w:ascii="Times New Roman" w:hAnsi="Times New Roman"/>
          <w:szCs w:val="22"/>
        </w:rPr>
      </w:pPr>
      <w:r>
        <w:rPr>
          <w:rFonts w:hint="eastAsia" w:ascii="Times New Roman" w:hAnsi="Times New Roman"/>
          <w:szCs w:val="22"/>
        </w:rPr>
        <w:t xml:space="preserve">⑧当地下水中的特征污染物浓度满足地下水功能区划的标准后，逐步停止抽水，并进行土壤修复治理工作。  </w:t>
      </w:r>
    </w:p>
    <w:p>
      <w:pPr>
        <w:ind w:firstLine="480"/>
        <w:rPr>
          <w:rFonts w:ascii="Times New Roman" w:hAnsi="Times New Roman"/>
          <w:szCs w:val="24"/>
        </w:rPr>
      </w:pPr>
      <w:r>
        <w:rPr>
          <w:rFonts w:hint="eastAsia" w:ascii="Times New Roman" w:hAnsi="Times New Roman"/>
          <w:szCs w:val="22"/>
        </w:rPr>
        <w:t>在上述地下水污染治理措施实施期间，应调派供水车辆对受污染影响村庄紧急供水。根据地下水污染深度、范围及污染程度大致估算地下水及土壤修复治理所需要的时间。若所需时间较长，应架设周边临近乡镇集中供水水源地到受污染影响村庄的输水管线，由乡镇集中供水水源供给受影响村庄居民生活用水或视具体情况做相应调整。</w:t>
      </w:r>
    </w:p>
    <w:p>
      <w:pPr>
        <w:ind w:firstLine="0" w:firstLineChars="0"/>
        <w:outlineLvl w:val="2"/>
        <w:rPr>
          <w:rFonts w:ascii="Times New Roman" w:hAnsi="Times New Roman"/>
          <w:b/>
          <w:sz w:val="28"/>
          <w:szCs w:val="28"/>
        </w:rPr>
      </w:pPr>
      <w:bookmarkStart w:id="106" w:name="_Toc524624633"/>
      <w:r>
        <w:rPr>
          <w:rFonts w:hint="eastAsia" w:ascii="Times New Roman" w:hAnsi="Times New Roman"/>
          <w:b/>
          <w:sz w:val="28"/>
          <w:szCs w:val="28"/>
        </w:rPr>
        <w:t>5.</w:t>
      </w:r>
      <w:r>
        <w:rPr>
          <w:rFonts w:ascii="Times New Roman" w:hAnsi="Times New Roman"/>
          <w:b/>
          <w:sz w:val="28"/>
          <w:szCs w:val="28"/>
        </w:rPr>
        <w:t>3</w:t>
      </w:r>
      <w:r>
        <w:rPr>
          <w:rFonts w:hint="eastAsia" w:ascii="Times New Roman" w:hAnsi="Times New Roman"/>
          <w:b/>
          <w:sz w:val="28"/>
          <w:szCs w:val="28"/>
        </w:rPr>
        <w:t>.</w:t>
      </w:r>
      <w:r>
        <w:rPr>
          <w:rFonts w:ascii="Times New Roman" w:hAnsi="Times New Roman"/>
          <w:b/>
          <w:sz w:val="28"/>
          <w:szCs w:val="28"/>
        </w:rPr>
        <w:t>9</w:t>
      </w:r>
      <w:r>
        <w:rPr>
          <w:rFonts w:hint="eastAsia" w:ascii="Times New Roman" w:hAnsi="Times New Roman"/>
          <w:b/>
          <w:sz w:val="28"/>
          <w:szCs w:val="28"/>
        </w:rPr>
        <w:t xml:space="preserve"> 环境风险评价结论</w:t>
      </w:r>
      <w:bookmarkEnd w:id="106"/>
    </w:p>
    <w:p>
      <w:pPr>
        <w:ind w:firstLine="480"/>
        <w:rPr>
          <w:szCs w:val="24"/>
        </w:rPr>
      </w:pPr>
      <w:r>
        <w:rPr>
          <w:szCs w:val="24"/>
        </w:rPr>
        <w:t>综合以上分析，本工程的环境风险措施及制定的预案切实可行。在落实各种风险防范措施、含硫气井应急预案后，其发生事故的概率降低，其环境危害也是较小的，环境风险达到可以接受水平。</w:t>
      </w:r>
    </w:p>
    <w:p>
      <w:pPr>
        <w:ind w:firstLine="0" w:firstLineChars="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br w:type="page"/>
      </w:r>
    </w:p>
    <w:p>
      <w:pPr>
        <w:spacing w:before="156" w:beforeLines="50" w:after="156" w:afterLines="50"/>
        <w:ind w:firstLine="0" w:firstLineChars="0"/>
        <w:outlineLvl w:val="0"/>
        <w:rPr>
          <w:rFonts w:ascii="Times New Roman" w:hAnsi="Times New Roman"/>
          <w:b/>
          <w:sz w:val="32"/>
          <w:szCs w:val="32"/>
        </w:rPr>
      </w:pPr>
      <w:bookmarkStart w:id="107" w:name="_Toc524624634"/>
      <w:r>
        <w:rPr>
          <w:rFonts w:hint="eastAsia" w:ascii="Times New Roman" w:hAnsi="Times New Roman"/>
          <w:b/>
          <w:sz w:val="32"/>
          <w:szCs w:val="32"/>
        </w:rPr>
        <w:t>6 环境保护措施及可行性论证</w:t>
      </w:r>
      <w:bookmarkEnd w:id="107"/>
    </w:p>
    <w:p>
      <w:pPr>
        <w:spacing w:before="156" w:beforeLines="50" w:after="156" w:afterLines="50"/>
        <w:ind w:firstLine="0" w:firstLineChars="0"/>
        <w:outlineLvl w:val="1"/>
        <w:rPr>
          <w:rFonts w:ascii="Times New Roman" w:hAnsi="Times New Roman"/>
          <w:b/>
          <w:sz w:val="30"/>
          <w:szCs w:val="30"/>
        </w:rPr>
      </w:pPr>
      <w:bookmarkStart w:id="108" w:name="_Toc524624635"/>
      <w:r>
        <w:rPr>
          <w:rFonts w:hint="eastAsia" w:ascii="Times New Roman" w:hAnsi="Times New Roman"/>
          <w:b/>
          <w:sz w:val="30"/>
          <w:szCs w:val="30"/>
        </w:rPr>
        <w:t>6.1 建设期环保措施分析</w:t>
      </w:r>
      <w:bookmarkEnd w:id="108"/>
    </w:p>
    <w:p>
      <w:pPr>
        <w:ind w:firstLine="0" w:firstLineChars="0"/>
        <w:outlineLvl w:val="2"/>
        <w:rPr>
          <w:rFonts w:ascii="Times New Roman" w:hAnsi="Times New Roman"/>
          <w:b/>
          <w:sz w:val="28"/>
          <w:szCs w:val="28"/>
        </w:rPr>
      </w:pPr>
      <w:bookmarkStart w:id="109" w:name="_Toc524624636"/>
      <w:r>
        <w:rPr>
          <w:rFonts w:hint="eastAsia" w:ascii="Times New Roman" w:hAnsi="Times New Roman"/>
          <w:b/>
          <w:sz w:val="28"/>
          <w:szCs w:val="28"/>
        </w:rPr>
        <w:t>6.1.1 建设期大气污染防治措施</w:t>
      </w:r>
      <w:bookmarkEnd w:id="109"/>
    </w:p>
    <w:p>
      <w:pPr>
        <w:ind w:firstLine="480"/>
        <w:rPr>
          <w:rFonts w:ascii="Times New Roman" w:hAnsi="Times New Roman"/>
          <w:szCs w:val="24"/>
        </w:rPr>
      </w:pPr>
      <w:r>
        <w:rPr>
          <w:rFonts w:hint="eastAsia" w:ascii="Times New Roman" w:hAnsi="Times New Roman"/>
          <w:szCs w:val="24"/>
        </w:rPr>
        <w:t>（1）建设工程施工方案中有防止泄漏遗撒污染环境的具体措施，编制防治扬尘的操作规范，其中包括施工现场合理布局，建筑材料堆存。施工现场建立洒水清扫制度，施工作业面保持良好的安全作业环境，余料及时清理、清扫，禁止随意丢弃，指定专人负责洒水和清扫工作；</w:t>
      </w:r>
    </w:p>
    <w:p>
      <w:pPr>
        <w:ind w:firstLine="480"/>
        <w:rPr>
          <w:rFonts w:ascii="Times New Roman" w:hAnsi="Times New Roman"/>
          <w:szCs w:val="24"/>
        </w:rPr>
      </w:pPr>
      <w:r>
        <w:rPr>
          <w:rFonts w:hint="eastAsia" w:ascii="Times New Roman" w:hAnsi="Times New Roman"/>
          <w:szCs w:val="24"/>
        </w:rPr>
        <w:t>（2）利用围墙或围挡将工地与外界分隔开，围挡材质采用砌体或者定型板材，有基础和墙帽。围挡外侧与道路衔接处要采用绿化或者硬化铺装措施。围挡必须稳固、安全、整洁、美观；</w:t>
      </w:r>
    </w:p>
    <w:p>
      <w:pPr>
        <w:ind w:firstLine="480"/>
        <w:rPr>
          <w:rFonts w:ascii="Times New Roman" w:hAnsi="Times New Roman"/>
          <w:szCs w:val="24"/>
        </w:rPr>
      </w:pPr>
      <w:r>
        <w:rPr>
          <w:rFonts w:hint="eastAsia" w:ascii="Times New Roman" w:hAnsi="Times New Roman"/>
          <w:szCs w:val="24"/>
        </w:rPr>
        <w:t>（3）根据主导风向和工地的相对位置，对施工现场合理布局，建材堆场尽量远离环境保护目标。施工现场的各种设施、物料按照施工总平面图划定的区域存放，并设置标签。禁止混放或在施工现场外擅自占道堆放建筑材料、工程渣土和建筑垃圾；施工现场堆放砂、石等散体物料的，设置高度不低于0.5米的堆放池，并对物料裸露部分实施苫盖。易产生扬尘的水泥等物料应当在库房内或封闭容器内存放等；</w:t>
      </w:r>
    </w:p>
    <w:p>
      <w:pPr>
        <w:ind w:firstLine="480"/>
        <w:rPr>
          <w:rFonts w:ascii="Times New Roman" w:hAnsi="Times New Roman"/>
          <w:szCs w:val="24"/>
        </w:rPr>
      </w:pPr>
      <w:r>
        <w:rPr>
          <w:rFonts w:hint="eastAsia" w:ascii="Times New Roman" w:hAnsi="Times New Roman"/>
          <w:szCs w:val="24"/>
        </w:rPr>
        <w:t>（4）注意气象条件变化，土方施工尽量避开风速大、湿度小的气象条件。当出现4级及以上风力天气情况时，禁止进行土方施工，并做好遮掩工作；</w:t>
      </w:r>
    </w:p>
    <w:p>
      <w:pPr>
        <w:ind w:firstLine="480"/>
        <w:rPr>
          <w:rFonts w:ascii="Times New Roman" w:hAnsi="Times New Roman"/>
          <w:szCs w:val="24"/>
        </w:rPr>
      </w:pPr>
      <w:r>
        <w:rPr>
          <w:rFonts w:hint="eastAsia" w:ascii="Times New Roman" w:hAnsi="Times New Roman"/>
          <w:szCs w:val="24"/>
        </w:rPr>
        <w:t>（5）施工单位运输工程渣土、泥浆、建筑垃圾及砂、石等散体建筑材料，采用密闭运输车辆，并按指定路线行驶。施工产生的渣土、泥浆及废物随产随清。暂存的渣土集中堆放并全部苫盖。禁止渣土外溢至围挡以外或者露天存放。施工现场渣土和垃圾清运采取喷淋压尘装载。禁止将建筑物内的垃圾凌空抛撒。</w:t>
      </w:r>
    </w:p>
    <w:p>
      <w:pPr>
        <w:ind w:firstLine="480"/>
        <w:rPr>
          <w:rFonts w:ascii="Times New Roman" w:hAnsi="Times New Roman"/>
          <w:szCs w:val="24"/>
        </w:rPr>
      </w:pPr>
      <w:r>
        <w:rPr>
          <w:rFonts w:hint="eastAsia" w:ascii="Times New Roman" w:hAnsi="Times New Roman"/>
          <w:szCs w:val="24"/>
        </w:rPr>
        <w:t>（6）工地出入口尽量设于远离环境敏感目标的位置，所有工地出入口要设置清洗车轮措施，设有专人清洗车轮及清扫出入口卫生，确保出入工地的车轮不带泥土。</w:t>
      </w:r>
    </w:p>
    <w:p>
      <w:pPr>
        <w:ind w:firstLine="480"/>
        <w:rPr>
          <w:rFonts w:ascii="Times New Roman" w:hAnsi="Times New Roman"/>
          <w:szCs w:val="24"/>
        </w:rPr>
      </w:pPr>
      <w:r>
        <w:rPr>
          <w:rFonts w:hint="eastAsia" w:ascii="Times New Roman" w:hAnsi="Times New Roman"/>
          <w:szCs w:val="24"/>
        </w:rPr>
        <w:t>（7）施工场地设立环境保护措施标牌，加强施工现场管理，防治施工过程产生的扬尘污染，施工单位将有关环境污染控制列入承包内容，在施工期有专人负责。</w:t>
      </w:r>
    </w:p>
    <w:p>
      <w:pPr>
        <w:ind w:firstLine="480"/>
        <w:rPr>
          <w:rFonts w:ascii="Times New Roman" w:hAnsi="Times New Roman"/>
          <w:szCs w:val="24"/>
        </w:rPr>
      </w:pPr>
      <w:r>
        <w:rPr>
          <w:rFonts w:hint="eastAsia" w:ascii="Times New Roman" w:hAnsi="Times New Roman"/>
          <w:szCs w:val="24"/>
        </w:rPr>
        <w:t>（8）各工程在总设计中充分考虑绿化面积，在站场周围多栽种对有害气体具有指示作用和吸收作用的植物，改善环境。</w:t>
      </w:r>
    </w:p>
    <w:p>
      <w:pPr>
        <w:ind w:firstLine="480"/>
        <w:rPr>
          <w:rFonts w:ascii="Times New Roman" w:hAnsi="Times New Roman"/>
          <w:szCs w:val="24"/>
        </w:rPr>
      </w:pPr>
      <w:r>
        <w:rPr>
          <w:rFonts w:hint="eastAsia" w:ascii="Times New Roman" w:hAnsi="Times New Roman"/>
          <w:szCs w:val="24"/>
        </w:rPr>
        <w:t>（9）使用高效节能环保型柴油动力机组和优质燃油，定期对柴油机、柴油发电机等设备进行维护。对柴油动力机组燃烧烟气排气筒设置也采取相应的环保措施，如排气筒的排放口朝向远离人群处并增加水平烟气通道，使得污染物尽快落入地面，减少空气中污染物的浓度。</w:t>
      </w:r>
    </w:p>
    <w:p>
      <w:pPr>
        <w:ind w:firstLine="480"/>
        <w:rPr>
          <w:rFonts w:ascii="Times New Roman" w:hAnsi="Times New Roman"/>
          <w:szCs w:val="24"/>
        </w:rPr>
      </w:pPr>
      <w:r>
        <w:rPr>
          <w:rFonts w:hint="eastAsia" w:ascii="Times New Roman" w:hAnsi="Times New Roman"/>
          <w:szCs w:val="24"/>
        </w:rPr>
        <w:t>（10）煤成气放空均需进入火炬系统，禁止就地直接放空排入大气。钻井中发现地层有可燃气体气体产出，立即采取有效措施防止气涌井喷，并把可能产出的气体引入燃烧装置燃烧后排放。</w:t>
      </w:r>
    </w:p>
    <w:p>
      <w:pPr>
        <w:ind w:firstLine="0" w:firstLineChars="0"/>
        <w:outlineLvl w:val="2"/>
        <w:rPr>
          <w:rFonts w:ascii="Times New Roman" w:hAnsi="Times New Roman"/>
          <w:b/>
          <w:sz w:val="28"/>
          <w:szCs w:val="28"/>
        </w:rPr>
      </w:pPr>
      <w:bookmarkStart w:id="110" w:name="_Toc524624637"/>
      <w:r>
        <w:rPr>
          <w:rFonts w:hint="eastAsia" w:ascii="Times New Roman" w:hAnsi="Times New Roman"/>
          <w:b/>
          <w:sz w:val="28"/>
          <w:szCs w:val="28"/>
        </w:rPr>
        <w:t>6.1.2 建设期废水治理措施</w:t>
      </w:r>
      <w:bookmarkEnd w:id="110"/>
    </w:p>
    <w:p>
      <w:pPr>
        <w:ind w:firstLine="480"/>
        <w:rPr>
          <w:rFonts w:ascii="Times New Roman" w:hAnsi="Times New Roman"/>
          <w:szCs w:val="24"/>
        </w:rPr>
      </w:pPr>
      <w:r>
        <w:rPr>
          <w:rFonts w:hint="eastAsia" w:ascii="Times New Roman" w:hAnsi="Times New Roman"/>
          <w:szCs w:val="24"/>
        </w:rPr>
        <w:t>（1）生产废水</w:t>
      </w:r>
    </w:p>
    <w:p>
      <w:pPr>
        <w:ind w:firstLine="480"/>
        <w:rPr>
          <w:rFonts w:ascii="Times New Roman" w:hAnsi="Times New Roman"/>
          <w:szCs w:val="24"/>
        </w:rPr>
      </w:pPr>
      <w:r>
        <w:rPr>
          <w:rFonts w:hint="eastAsia" w:ascii="Times New Roman" w:hAnsi="Times New Roman"/>
          <w:szCs w:val="24"/>
        </w:rPr>
        <w:t>建设期生产废水主要为钻井废水和压裂返排液。</w:t>
      </w:r>
      <w:r>
        <w:rPr>
          <w:rFonts w:ascii="Times New Roman" w:hAnsi="Times New Roman"/>
          <w:szCs w:val="24"/>
        </w:rPr>
        <w:t>钻井废水全部进入每个井场设置的泥浆池中，自然蒸发，待完井后与废弃泥浆和岩屑一起固化处理，不外排</w:t>
      </w:r>
      <w:r>
        <w:rPr>
          <w:rFonts w:hint="eastAsia" w:ascii="Times New Roman" w:hAnsi="Times New Roman"/>
          <w:szCs w:val="24"/>
        </w:rPr>
        <w:t>。</w:t>
      </w:r>
      <w:r>
        <w:rPr>
          <w:rFonts w:ascii="Times New Roman" w:hAnsi="Times New Roman"/>
          <w:szCs w:val="24"/>
        </w:rPr>
        <w:t>压裂返排液全部排入压裂返排液储罐中，沉淀后再次作为压裂液配液重复使用。</w:t>
      </w:r>
    </w:p>
    <w:p>
      <w:pPr>
        <w:ind w:firstLine="480"/>
        <w:rPr>
          <w:rFonts w:ascii="Times New Roman" w:hAnsi="Times New Roman"/>
          <w:szCs w:val="24"/>
        </w:rPr>
      </w:pPr>
      <w:r>
        <w:rPr>
          <w:rFonts w:hint="eastAsia" w:ascii="Times New Roman" w:hAnsi="Times New Roman"/>
          <w:szCs w:val="24"/>
        </w:rPr>
        <w:t>（2）钻井工程环保措施</w:t>
      </w:r>
    </w:p>
    <w:p>
      <w:pPr>
        <w:ind w:firstLine="480"/>
        <w:rPr>
          <w:rFonts w:ascii="Times New Roman" w:hAnsi="Times New Roman"/>
          <w:szCs w:val="24"/>
        </w:rPr>
      </w:pPr>
      <w:r>
        <w:rPr>
          <w:rFonts w:hint="eastAsia" w:ascii="Times New Roman" w:hAnsi="Times New Roman"/>
          <w:szCs w:val="24"/>
        </w:rPr>
        <w:t>对于离河道较近的井场，做好井场护坡工程，加固泥浆池，避免洪水等自然灾害造成河流污染。</w:t>
      </w:r>
    </w:p>
    <w:p>
      <w:pPr>
        <w:ind w:firstLine="480"/>
        <w:rPr>
          <w:rFonts w:ascii="Times New Roman" w:hAnsi="Times New Roman"/>
          <w:szCs w:val="24"/>
        </w:rPr>
      </w:pPr>
      <w:r>
        <w:rPr>
          <w:rFonts w:hint="eastAsia" w:ascii="Times New Roman" w:hAnsi="Times New Roman"/>
          <w:szCs w:val="24"/>
        </w:rPr>
        <w:t>由于钻井完井过程中因设备清洗、冷却等需要消耗新鲜水，如不采取有效节水措施，在水资源浪费的同时，也造成钻井完井废水大量产生，给废水存储和后续处理增加负担。因此，应在源头上节水降污，本项目在管理上采取以下措施：</w:t>
      </w:r>
    </w:p>
    <w:p>
      <w:pPr>
        <w:ind w:firstLine="480"/>
        <w:rPr>
          <w:rFonts w:ascii="Times New Roman" w:hAnsi="Times New Roman"/>
          <w:szCs w:val="24"/>
        </w:rPr>
      </w:pPr>
      <w:r>
        <w:rPr>
          <w:rFonts w:hint="eastAsia" w:ascii="Times New Roman" w:hAnsi="Times New Roman"/>
          <w:szCs w:val="24"/>
        </w:rPr>
        <w:t>①在钻前施工时合理布局井场，避免生产用水和非生产用水合流、清水和污水混流。泥浆材料不能露天堆放，油料实行密封式保存，在转油和用油的地方设置隔油坑，隔油坑内油料收集后统一送各集气站废油暂存点临时堆存，防止散落的混浆材料和油料进入混浆池。</w:t>
      </w:r>
    </w:p>
    <w:p>
      <w:pPr>
        <w:ind w:firstLine="480"/>
        <w:rPr>
          <w:rFonts w:ascii="Times New Roman" w:hAnsi="Times New Roman"/>
          <w:szCs w:val="24"/>
        </w:rPr>
      </w:pPr>
      <w:r>
        <w:rPr>
          <w:rFonts w:hint="eastAsia" w:ascii="Times New Roman" w:hAnsi="Times New Roman"/>
          <w:szCs w:val="24"/>
        </w:rPr>
        <w:t>②以钻井队为单位，结合各工种和专业的特点合理制定用水定额，在确保正常作业的情况下，控制清水用量。</w:t>
      </w:r>
    </w:p>
    <w:p>
      <w:pPr>
        <w:ind w:firstLine="480"/>
        <w:rPr>
          <w:rFonts w:ascii="Times New Roman" w:hAnsi="Times New Roman"/>
          <w:szCs w:val="24"/>
        </w:rPr>
      </w:pPr>
      <w:r>
        <w:rPr>
          <w:rFonts w:hint="eastAsia" w:ascii="Times New Roman" w:hAnsi="Times New Roman"/>
          <w:szCs w:val="24"/>
        </w:rPr>
        <w:t>③在工艺允许的情况下，尽量采用新工艺和新技术，提高钻井效率，减少废水产生量；钻井泥浆处理后循环使用，回用率达90%以上。</w:t>
      </w:r>
    </w:p>
    <w:p>
      <w:pPr>
        <w:ind w:firstLine="480"/>
        <w:rPr>
          <w:rFonts w:ascii="Times New Roman" w:hAnsi="Times New Roman"/>
          <w:szCs w:val="24"/>
        </w:rPr>
      </w:pPr>
      <w:r>
        <w:rPr>
          <w:rFonts w:hint="eastAsia" w:ascii="Times New Roman" w:hAnsi="Times New Roman"/>
          <w:szCs w:val="24"/>
        </w:rPr>
        <w:t>④避免用清水直接冲洗设备，尽量采用擦拭的方式清洗设备。</w:t>
      </w:r>
    </w:p>
    <w:p>
      <w:pPr>
        <w:ind w:firstLine="480"/>
        <w:rPr>
          <w:rFonts w:ascii="Times New Roman" w:hAnsi="Times New Roman"/>
          <w:szCs w:val="24"/>
        </w:rPr>
      </w:pPr>
      <w:r>
        <w:rPr>
          <w:rFonts w:hint="eastAsia" w:ascii="Times New Roman" w:hAnsi="Times New Roman"/>
          <w:szCs w:val="24"/>
        </w:rPr>
        <w:t>⑤防洪措施：利用泥浆池开挖时的土石方，在泥浆池周围(主要是地势上游方向)构筑简单土坝围挡，并依地势开挖导流水沟，保证暴雨时地表雨水通过排水沟流出场外，阻止暴雨时地表漫流和径流进入泥浆池，实现雨污分流。临时材料堆放场应有遮盖蓬遮蔽，为防止物料散漏，在其四周应有疏水沟系，防止雨水浸湿和水流引起物料流失。</w:t>
      </w:r>
    </w:p>
    <w:p>
      <w:pPr>
        <w:ind w:firstLine="480"/>
        <w:rPr>
          <w:rFonts w:ascii="Times New Roman" w:hAnsi="Times New Roman"/>
          <w:szCs w:val="24"/>
        </w:rPr>
      </w:pPr>
      <w:r>
        <w:rPr>
          <w:rFonts w:hint="eastAsia" w:ascii="Times New Roman" w:hAnsi="Times New Roman"/>
          <w:szCs w:val="24"/>
        </w:rPr>
        <w:t>（3）生活污水</w:t>
      </w:r>
    </w:p>
    <w:p>
      <w:pPr>
        <w:ind w:firstLine="480"/>
        <w:rPr>
          <w:rFonts w:ascii="Times New Roman" w:hAnsi="Times New Roman"/>
          <w:szCs w:val="24"/>
        </w:rPr>
      </w:pPr>
      <w:r>
        <w:rPr>
          <w:rFonts w:hint="eastAsia" w:ascii="Times New Roman" w:hAnsi="Times New Roman"/>
          <w:szCs w:val="24"/>
        </w:rPr>
        <w:t>工程建设期设置生活污水临时集中收集池，经过除油、沉淀等简易处理后用于场地洒水抑尘，不得随地泼洒。施工人员集中居住地应设防渗旱厕，并经常喷洒灭蝇药剂。</w:t>
      </w:r>
    </w:p>
    <w:p>
      <w:pPr>
        <w:ind w:firstLine="0" w:firstLineChars="0"/>
        <w:outlineLvl w:val="2"/>
        <w:rPr>
          <w:rFonts w:ascii="Times New Roman" w:hAnsi="Times New Roman"/>
          <w:b/>
          <w:sz w:val="28"/>
          <w:szCs w:val="28"/>
        </w:rPr>
      </w:pPr>
      <w:bookmarkStart w:id="111" w:name="_Toc524624638"/>
      <w:r>
        <w:rPr>
          <w:rFonts w:hint="eastAsia" w:ascii="Times New Roman" w:hAnsi="Times New Roman"/>
          <w:b/>
          <w:sz w:val="28"/>
          <w:szCs w:val="28"/>
        </w:rPr>
        <w:t>6.1.3 建设期地下水保护措施</w:t>
      </w:r>
      <w:bookmarkEnd w:id="111"/>
    </w:p>
    <w:p>
      <w:pPr>
        <w:ind w:firstLine="480"/>
        <w:rPr>
          <w:rFonts w:ascii="Times New Roman" w:hAnsi="Times New Roman"/>
          <w:szCs w:val="24"/>
        </w:rPr>
      </w:pPr>
      <w:r>
        <w:rPr>
          <w:rFonts w:hint="eastAsia" w:ascii="Times New Roman" w:hAnsi="Times New Roman"/>
          <w:szCs w:val="24"/>
        </w:rPr>
        <w:t>（1）钻井工程</w:t>
      </w:r>
    </w:p>
    <w:p>
      <w:pPr>
        <w:ind w:firstLine="480"/>
        <w:rPr>
          <w:rFonts w:ascii="Times New Roman" w:hAnsi="Times New Roman"/>
          <w:szCs w:val="24"/>
        </w:rPr>
      </w:pPr>
      <w:r>
        <w:rPr>
          <w:rFonts w:hint="eastAsia" w:ascii="Times New Roman" w:hAnsi="Times New Roman"/>
          <w:szCs w:val="24"/>
        </w:rPr>
        <w:t>①采气井定位时，应尽可能避开断裂及影响带。在Ⅲ级断裂等大断裂带两侧布井时，应进行必要勘查和专项论证。</w:t>
      </w:r>
    </w:p>
    <w:p>
      <w:pPr>
        <w:ind w:firstLine="480"/>
        <w:rPr>
          <w:rFonts w:ascii="Times New Roman" w:hAnsi="Times New Roman"/>
          <w:szCs w:val="24"/>
        </w:rPr>
      </w:pPr>
      <w:r>
        <w:rPr>
          <w:rFonts w:hint="eastAsia" w:ascii="Times New Roman" w:hAnsi="Times New Roman"/>
          <w:szCs w:val="24"/>
        </w:rPr>
        <w:t>②钻井泥浆池应进行防渗处理，防止池内污水从池底渗漏污染浅层地下水。</w:t>
      </w:r>
    </w:p>
    <w:p>
      <w:pPr>
        <w:ind w:firstLine="480"/>
        <w:rPr>
          <w:rFonts w:ascii="Times New Roman" w:hAnsi="Times New Roman"/>
          <w:szCs w:val="24"/>
        </w:rPr>
      </w:pPr>
      <w:r>
        <w:rPr>
          <w:rFonts w:hint="eastAsia" w:ascii="Times New Roman" w:hAnsi="Times New Roman"/>
          <w:szCs w:val="24"/>
        </w:rPr>
        <w:t>③钻井时为防止地下水的污染，一般在钻进时采用多层套管，封隔含水层，多层套管固定用水泥返高至地面，并应对止水效果进行检验。</w:t>
      </w:r>
    </w:p>
    <w:p>
      <w:pPr>
        <w:ind w:firstLine="480"/>
        <w:rPr>
          <w:rFonts w:ascii="Times New Roman" w:hAnsi="Times New Roman"/>
          <w:szCs w:val="24"/>
        </w:rPr>
      </w:pPr>
      <w:r>
        <w:rPr>
          <w:rFonts w:hint="eastAsia" w:ascii="Times New Roman" w:hAnsi="Times New Roman"/>
          <w:szCs w:val="24"/>
        </w:rPr>
        <w:t>④钻进过程中，如发生钻井液大量漏失，应及时采取有效措施进行堵漏。</w:t>
      </w:r>
    </w:p>
    <w:p>
      <w:pPr>
        <w:ind w:firstLine="480"/>
        <w:rPr>
          <w:rFonts w:ascii="Times New Roman" w:hAnsi="Times New Roman"/>
          <w:szCs w:val="24"/>
        </w:rPr>
      </w:pPr>
      <w:r>
        <w:rPr>
          <w:rFonts w:hint="eastAsia" w:ascii="Times New Roman" w:hAnsi="Times New Roman"/>
          <w:szCs w:val="24"/>
        </w:rPr>
        <w:t>⑤所有钻井钻进过程中，要做好全孔简易水文地质观测工作：每次提钻后、下钻前要测量井筒液面深度，记录钻井液消耗量；注意观测记录井漏、井涌层位及井内液面变化情况。</w:t>
      </w:r>
    </w:p>
    <w:p>
      <w:pPr>
        <w:ind w:firstLine="480"/>
        <w:rPr>
          <w:rFonts w:ascii="Times New Roman" w:hAnsi="Times New Roman"/>
          <w:szCs w:val="24"/>
        </w:rPr>
      </w:pPr>
      <w:r>
        <w:rPr>
          <w:rFonts w:hint="eastAsia" w:ascii="Times New Roman" w:hAnsi="Times New Roman"/>
          <w:szCs w:val="24"/>
        </w:rPr>
        <w:t>⑥钻井液及作业过程中产生的废水应尽量回收利用，无法再利用的钻井液、废水应送采出水处理站处理后达标排放。</w:t>
      </w:r>
    </w:p>
    <w:p>
      <w:pPr>
        <w:ind w:firstLine="480"/>
        <w:rPr>
          <w:rFonts w:ascii="Times New Roman" w:hAnsi="Times New Roman"/>
          <w:szCs w:val="24"/>
        </w:rPr>
      </w:pPr>
      <w:r>
        <w:rPr>
          <w:rFonts w:hint="eastAsia" w:ascii="Times New Roman" w:hAnsi="Times New Roman"/>
          <w:szCs w:val="24"/>
        </w:rPr>
        <w:t>⑦钻井下部如进入奥陶系地层并可能导通下伏岩溶水时(如发生钻井液大漏)，应及时停止钻进，并迅速采用水泥或粘土球封填。</w:t>
      </w:r>
    </w:p>
    <w:p>
      <w:pPr>
        <w:ind w:firstLine="480"/>
        <w:rPr>
          <w:rFonts w:ascii="Times New Roman" w:hAnsi="Times New Roman"/>
          <w:szCs w:val="24"/>
        </w:rPr>
      </w:pPr>
      <w:r>
        <w:rPr>
          <w:rFonts w:hint="eastAsia" w:ascii="Times New Roman" w:hAnsi="Times New Roman"/>
          <w:szCs w:val="24"/>
        </w:rPr>
        <w:t>（2）井管</w:t>
      </w:r>
    </w:p>
    <w:p>
      <w:pPr>
        <w:ind w:firstLine="480"/>
        <w:rPr>
          <w:rFonts w:ascii="Times New Roman" w:hAnsi="Times New Roman"/>
          <w:szCs w:val="24"/>
        </w:rPr>
      </w:pPr>
      <w:r>
        <w:rPr>
          <w:rFonts w:hint="eastAsia" w:ascii="Times New Roman" w:hAnsi="Times New Roman"/>
          <w:szCs w:val="24"/>
        </w:rPr>
        <w:t>①采气井设计施工时，应考虑采出水的腐蚀性，设计和使用合格的管材，确保其强度、厚度和使用寿命能够满足开采井生产要求。</w:t>
      </w:r>
    </w:p>
    <w:p>
      <w:pPr>
        <w:ind w:firstLine="480"/>
        <w:rPr>
          <w:rFonts w:ascii="Times New Roman" w:hAnsi="Times New Roman"/>
          <w:szCs w:val="24"/>
        </w:rPr>
      </w:pPr>
      <w:r>
        <w:rPr>
          <w:rFonts w:hint="eastAsia" w:ascii="Times New Roman" w:hAnsi="Times New Roman"/>
          <w:szCs w:val="24"/>
        </w:rPr>
        <w:t>②定期定时对采气井采排水水量和液面深度进行监测和记录。</w:t>
      </w:r>
    </w:p>
    <w:p>
      <w:pPr>
        <w:ind w:firstLine="480"/>
        <w:rPr>
          <w:rFonts w:ascii="Times New Roman" w:hAnsi="Times New Roman"/>
          <w:szCs w:val="24"/>
        </w:rPr>
      </w:pPr>
      <w:r>
        <w:rPr>
          <w:rFonts w:hint="eastAsia" w:ascii="Times New Roman" w:hAnsi="Times New Roman"/>
          <w:szCs w:val="24"/>
        </w:rPr>
        <w:t>③当采排水水量或液面深度发生明显异常变化时，应立即关停采气井作业。</w:t>
      </w:r>
    </w:p>
    <w:p>
      <w:pPr>
        <w:ind w:firstLine="480"/>
        <w:rPr>
          <w:rFonts w:ascii="Times New Roman" w:hAnsi="Times New Roman"/>
          <w:szCs w:val="24"/>
        </w:rPr>
      </w:pPr>
      <w:r>
        <w:rPr>
          <w:rFonts w:hint="eastAsia" w:ascii="Times New Roman" w:hAnsi="Times New Roman"/>
          <w:szCs w:val="24"/>
        </w:rPr>
        <w:t>④及时采用井下电视或其它物探探测技术对井管进行检测，查明井管破损泄漏位置及原因。</w:t>
      </w:r>
    </w:p>
    <w:p>
      <w:pPr>
        <w:ind w:firstLine="480"/>
        <w:rPr>
          <w:rFonts w:ascii="Times New Roman" w:hAnsi="Times New Roman"/>
          <w:szCs w:val="24"/>
        </w:rPr>
      </w:pPr>
      <w:r>
        <w:rPr>
          <w:rFonts w:hint="eastAsia" w:ascii="Times New Roman" w:hAnsi="Times New Roman"/>
          <w:szCs w:val="24"/>
        </w:rPr>
        <w:t>⑤采取有效措施对破损井管进行修复，并经检验合格后，方可继续使用开采井。</w:t>
      </w:r>
    </w:p>
    <w:p>
      <w:pPr>
        <w:ind w:firstLine="480"/>
        <w:rPr>
          <w:rFonts w:ascii="Times New Roman" w:hAnsi="Times New Roman"/>
          <w:szCs w:val="24"/>
        </w:rPr>
      </w:pPr>
      <w:r>
        <w:rPr>
          <w:rFonts w:hint="eastAsia" w:ascii="Times New Roman" w:hAnsi="Times New Roman"/>
          <w:szCs w:val="24"/>
        </w:rPr>
        <w:t>⑥修复后使用初期应加大采排水水量和液面监测频率，观测相对稳定1个月后，方可按照正常间隔定时监测</w:t>
      </w:r>
    </w:p>
    <w:p>
      <w:pPr>
        <w:ind w:firstLine="0" w:firstLineChars="0"/>
        <w:outlineLvl w:val="2"/>
        <w:rPr>
          <w:rFonts w:ascii="Times New Roman" w:hAnsi="Times New Roman"/>
          <w:b/>
          <w:sz w:val="28"/>
          <w:szCs w:val="28"/>
        </w:rPr>
      </w:pPr>
      <w:bookmarkStart w:id="112" w:name="_Toc524624639"/>
      <w:r>
        <w:rPr>
          <w:rFonts w:hint="eastAsia" w:ascii="Times New Roman" w:hAnsi="Times New Roman"/>
          <w:b/>
          <w:sz w:val="28"/>
          <w:szCs w:val="28"/>
        </w:rPr>
        <w:t>6.1.4 建设期噪声治理措施</w:t>
      </w:r>
      <w:bookmarkEnd w:id="112"/>
    </w:p>
    <w:p>
      <w:pPr>
        <w:ind w:firstLine="480"/>
        <w:rPr>
          <w:rFonts w:ascii="Times New Roman" w:hAnsi="Times New Roman"/>
          <w:szCs w:val="24"/>
        </w:rPr>
      </w:pPr>
      <w:r>
        <w:rPr>
          <w:rFonts w:hint="eastAsia" w:ascii="Times New Roman" w:hAnsi="Times New Roman"/>
          <w:szCs w:val="24"/>
        </w:rPr>
        <w:t>（1）施工中应使用性能好、低噪音的设备，对施工场界噪声超标准的要设置隔音、减震、降噪的设施，以减少对周围环境的噪声和振动影响。钻井施工人员佩戴耳罩、耳塞等保护听力。</w:t>
      </w:r>
    </w:p>
    <w:p>
      <w:pPr>
        <w:ind w:firstLine="480"/>
        <w:rPr>
          <w:rFonts w:ascii="Times New Roman" w:hAnsi="Times New Roman"/>
          <w:szCs w:val="24"/>
        </w:rPr>
      </w:pPr>
      <w:r>
        <w:rPr>
          <w:rFonts w:hint="eastAsia" w:ascii="Times New Roman" w:hAnsi="Times New Roman"/>
          <w:szCs w:val="24"/>
        </w:rPr>
        <w:t>（2）离居民区较近的施工点施工时，应根据机械设备产生噪声的特点，合理安排施工时间，严禁在夜间使用高噪声设备。</w:t>
      </w:r>
    </w:p>
    <w:p>
      <w:pPr>
        <w:ind w:firstLine="480"/>
        <w:rPr>
          <w:rFonts w:ascii="Times New Roman" w:hAnsi="Times New Roman"/>
          <w:szCs w:val="24"/>
        </w:rPr>
      </w:pPr>
      <w:r>
        <w:rPr>
          <w:rFonts w:hint="eastAsia" w:ascii="Times New Roman" w:hAnsi="Times New Roman"/>
          <w:szCs w:val="24"/>
        </w:rPr>
        <w:t>（3）本项目钻井柴油机采用壳装方式，置于钢结构活动房内部，隔声量达到15dB(A)，有效的降低了钻井期噪声对周围环境的影响。</w:t>
      </w:r>
    </w:p>
    <w:p>
      <w:pPr>
        <w:ind w:firstLine="480"/>
        <w:rPr>
          <w:rFonts w:ascii="Times New Roman" w:hAnsi="Times New Roman"/>
          <w:szCs w:val="24"/>
        </w:rPr>
      </w:pPr>
      <w:r>
        <w:rPr>
          <w:rFonts w:hint="eastAsia" w:ascii="Times New Roman" w:hAnsi="Times New Roman"/>
          <w:szCs w:val="24"/>
        </w:rPr>
        <w:t>（4）运输要采用车况良好的车辆，并应注意定期维修和养护；在敏感路段时要限制鸣笛；一般情况禁止夜间运输。</w:t>
      </w:r>
    </w:p>
    <w:p>
      <w:pPr>
        <w:ind w:firstLine="0" w:firstLineChars="0"/>
        <w:outlineLvl w:val="2"/>
        <w:rPr>
          <w:rFonts w:ascii="Times New Roman" w:hAnsi="Times New Roman"/>
          <w:b/>
          <w:sz w:val="28"/>
          <w:szCs w:val="28"/>
        </w:rPr>
      </w:pPr>
      <w:bookmarkStart w:id="113" w:name="_Toc524624640"/>
      <w:r>
        <w:rPr>
          <w:rFonts w:hint="eastAsia" w:ascii="Times New Roman" w:hAnsi="Times New Roman"/>
          <w:b/>
          <w:sz w:val="28"/>
          <w:szCs w:val="28"/>
        </w:rPr>
        <w:t>6.1.5 建设期固体废物治理措施</w:t>
      </w:r>
      <w:bookmarkEnd w:id="113"/>
    </w:p>
    <w:p>
      <w:pPr>
        <w:ind w:firstLine="480"/>
        <w:rPr>
          <w:rFonts w:ascii="Times New Roman" w:hAnsi="Times New Roman"/>
          <w:szCs w:val="24"/>
        </w:rPr>
      </w:pPr>
      <w:r>
        <w:rPr>
          <w:rFonts w:hint="eastAsia" w:ascii="Times New Roman" w:hAnsi="Times New Roman"/>
          <w:szCs w:val="24"/>
        </w:rPr>
        <w:t>（1）施工期的生活垃圾集中存放，由当地环卫部门定期收集。</w:t>
      </w:r>
    </w:p>
    <w:p>
      <w:pPr>
        <w:ind w:firstLine="480"/>
        <w:rPr>
          <w:rFonts w:ascii="Times New Roman" w:hAnsi="Times New Roman"/>
          <w:szCs w:val="24"/>
        </w:rPr>
      </w:pPr>
      <w:r>
        <w:rPr>
          <w:rFonts w:hint="eastAsia" w:ascii="Times New Roman" w:hAnsi="Times New Roman"/>
          <w:szCs w:val="24"/>
        </w:rPr>
        <w:t>（2）选用无毒无害的钻井泥浆，从源头控制；对废弃钻井泥浆、岩屑采用无害化固化处理后就地填埋；井场泥浆池做防渗处理（防渗系数1×10</w:t>
      </w:r>
      <w:r>
        <w:rPr>
          <w:rFonts w:hint="eastAsia" w:ascii="Times New Roman" w:hAnsi="Times New Roman"/>
          <w:szCs w:val="24"/>
          <w:vertAlign w:val="superscript"/>
        </w:rPr>
        <w:t>-7</w:t>
      </w:r>
      <w:r>
        <w:rPr>
          <w:rFonts w:hint="eastAsia" w:ascii="Times New Roman" w:hAnsi="Times New Roman"/>
          <w:szCs w:val="24"/>
        </w:rPr>
        <w:t>cm/s），防止钻井泥浆对土壤和地下水的污染；泥浆池容积应大于设计井深的排污容积，保证完井后废弃物面低于池表面50cm，以防止外溢污染环境。评价要求，采取分段施工、分段治理的措施，单个井场钻井完毕后，及时对废弃泥浆、岩屑进行固化处理。</w:t>
      </w:r>
    </w:p>
    <w:p>
      <w:pPr>
        <w:ind w:firstLine="480"/>
        <w:rPr>
          <w:rFonts w:ascii="Times New Roman" w:hAnsi="Times New Roman"/>
          <w:szCs w:val="24"/>
        </w:rPr>
      </w:pPr>
      <w:r>
        <w:rPr>
          <w:rFonts w:hint="eastAsia" w:ascii="Times New Roman" w:hAnsi="Times New Roman"/>
          <w:szCs w:val="24"/>
        </w:rPr>
        <w:t>（3）废弃泥浆处理：将每个井场留存的废弃泥浆在井场用地范围内进行固化深埋处理。其处理工艺流程为：在每个井场用地范围内，用挖掘机将泥浆池扩大（根据现场泥浆量确定，保证泥浆液面低于地面1米以上）；在废弃泥浆中加入固化剂用挖掘机拌匀；将添加固化剂固化后的泥浆放置待其硬化后覆土深埋，覆土厚度大于50cm。</w:t>
      </w:r>
    </w:p>
    <w:p>
      <w:pPr>
        <w:ind w:firstLine="0" w:firstLineChars="0"/>
        <w:outlineLvl w:val="2"/>
        <w:rPr>
          <w:rFonts w:ascii="Times New Roman" w:hAnsi="Times New Roman"/>
          <w:b/>
          <w:sz w:val="28"/>
          <w:szCs w:val="28"/>
        </w:rPr>
      </w:pPr>
      <w:bookmarkStart w:id="114" w:name="_Toc524624641"/>
      <w:r>
        <w:rPr>
          <w:rFonts w:hint="eastAsia" w:ascii="Times New Roman" w:hAnsi="Times New Roman"/>
          <w:b/>
          <w:sz w:val="28"/>
          <w:szCs w:val="28"/>
        </w:rPr>
        <w:t>6.1.6 建设期生态保护措施</w:t>
      </w:r>
      <w:bookmarkEnd w:id="114"/>
    </w:p>
    <w:p>
      <w:pPr>
        <w:ind w:firstLine="480"/>
        <w:rPr>
          <w:rFonts w:ascii="Times New Roman"/>
        </w:rPr>
      </w:pPr>
      <w:r>
        <w:rPr>
          <w:rFonts w:hint="eastAsia" w:ascii="Times New Roman"/>
        </w:rPr>
        <w:t>（1）避让措施</w:t>
      </w:r>
    </w:p>
    <w:p>
      <w:pPr>
        <w:ind w:firstLine="480"/>
        <w:rPr>
          <w:rFonts w:ascii="Times New Roman"/>
        </w:rPr>
      </w:pPr>
      <w:r>
        <w:rPr>
          <w:rFonts w:ascii="Times New Roman"/>
        </w:rPr>
        <w:t>①钻井过程中严格控制钻井作业面积，减少工程占地及建设的影响范围。</w:t>
      </w:r>
    </w:p>
    <w:p>
      <w:pPr>
        <w:ind w:firstLine="480"/>
        <w:rPr>
          <w:rFonts w:ascii="Times New Roman"/>
        </w:rPr>
      </w:pPr>
      <w:r>
        <w:rPr>
          <w:rFonts w:ascii="Times New Roman"/>
        </w:rPr>
        <w:t>②井场选址和管线选线避开森林植被，井场放空管的高度及与周围林木之间的距离满足林草地防火要求。</w:t>
      </w:r>
    </w:p>
    <w:p>
      <w:pPr>
        <w:ind w:firstLine="480"/>
        <w:rPr>
          <w:rFonts w:ascii="Times New Roman"/>
        </w:rPr>
      </w:pPr>
      <w:r>
        <w:rPr>
          <w:rFonts w:ascii="Times New Roman"/>
        </w:rPr>
        <w:t>③道路选线尽量利用现有道路，不随意开设施工便道，减少施工井场道路临时用地，尤其是少占用农田、林地。</w:t>
      </w:r>
    </w:p>
    <w:p>
      <w:pPr>
        <w:ind w:firstLine="480"/>
        <w:rPr>
          <w:rFonts w:ascii="Times New Roman"/>
        </w:rPr>
      </w:pPr>
      <w:r>
        <w:rPr>
          <w:rFonts w:hint="eastAsia" w:ascii="Times New Roman"/>
        </w:rPr>
        <w:t>（2）生态保护措施</w:t>
      </w:r>
    </w:p>
    <w:p>
      <w:pPr>
        <w:ind w:firstLine="480"/>
        <w:rPr>
          <w:rFonts w:ascii="Times New Roman"/>
        </w:rPr>
      </w:pPr>
      <w:r>
        <w:rPr>
          <w:rFonts w:hint="eastAsia" w:ascii="Times New Roman"/>
        </w:rPr>
        <w:t>①根据土石方平衡，本项目不设弃渣场、取土场。工程临时弃渣用于临近井场、站场、管线、道路等的填方，不随地堆放。</w:t>
      </w:r>
    </w:p>
    <w:p>
      <w:pPr>
        <w:ind w:firstLine="480"/>
        <w:rPr>
          <w:rFonts w:ascii="Times New Roman"/>
        </w:rPr>
      </w:pPr>
      <w:r>
        <w:rPr>
          <w:rFonts w:hint="eastAsia" w:ascii="Times New Roman"/>
        </w:rPr>
        <w:t>②严格执行钻井生产环境保护管理规定，钻井污水、废弃泥浆全部进泥浆池。加强对泥浆池的管理，防止因暴雨造成泥浆外溢污染农田植被；做好泥浆池的防漏防渗处理，以防污染土壤和地下水环境；对泥浆池中的废弃钻井泥浆和钻井岩屑，固化后及时覆土、绿化，恢复植被。泥浆池覆土厚度大于50cm，以保证植被生长需要。</w:t>
      </w:r>
    </w:p>
    <w:p>
      <w:pPr>
        <w:ind w:firstLine="480"/>
      </w:pPr>
      <w:r>
        <w:rPr>
          <w:rFonts w:hint="eastAsia"/>
        </w:rPr>
        <w:t>③钻井完成后，在井场地周围及道路两侧施工影响临时用地进行植被恢复，原则上种植占地前植物种类，并维护至土地肥力恢复。</w:t>
      </w:r>
    </w:p>
    <w:p>
      <w:pPr>
        <w:ind w:firstLine="480"/>
        <w:rPr>
          <w:rFonts w:ascii="Times New Roman"/>
        </w:rPr>
      </w:pPr>
      <w:r>
        <w:rPr>
          <w:rFonts w:hint="eastAsia" w:ascii="Times New Roman"/>
        </w:rPr>
        <w:t>④管道施工及维修的开挖回填施工，穿越耕地部分尽量保护好表层土，先将表层0.25m厚的熟土挖置一边，待取、弃土完毕后，推回熟土摊平，以使植被得到有效恢复、减轻对农作物生长的影响；其它部分按原土层顺序分层回填并压实，将局部弃土均匀铺洒于管线周边区域，保证管线及两侧地面的高度一致，减少水土流失。</w:t>
      </w:r>
    </w:p>
    <w:p>
      <w:pPr>
        <w:ind w:firstLine="480"/>
        <w:rPr>
          <w:rFonts w:ascii="Times New Roman"/>
        </w:rPr>
      </w:pPr>
      <w:r>
        <w:rPr>
          <w:rFonts w:hint="eastAsia" w:ascii="Times New Roman"/>
        </w:rPr>
        <w:t>⑤在对管道的日常巡线检查过程中，应将管道上覆土壤中会对管道构成破坏的深根系植被及时清理，以确保管道的安全运行。</w:t>
      </w:r>
    </w:p>
    <w:p>
      <w:pPr>
        <w:ind w:firstLine="480"/>
        <w:rPr>
          <w:rFonts w:ascii="Times New Roman"/>
        </w:rPr>
      </w:pPr>
      <w:r>
        <w:rPr>
          <w:rFonts w:hint="eastAsia" w:ascii="Times New Roman"/>
        </w:rPr>
        <w:t xml:space="preserve">⑥加强宣传教育，提高输气管线沿线居民的环境保护意识，加强对绿化工程的管理与抚育，禁止在输气管线沿线附近取土，以避免造成输气管线破坏、导致污染事件。 </w:t>
      </w:r>
    </w:p>
    <w:p>
      <w:pPr>
        <w:ind w:firstLine="480"/>
        <w:rPr>
          <w:rFonts w:ascii="Times New Roman"/>
        </w:rPr>
      </w:pPr>
      <w:r>
        <w:rPr>
          <w:rFonts w:hint="eastAsia" w:ascii="Times New Roman"/>
        </w:rPr>
        <w:t>（3）生态恢复措施</w:t>
      </w:r>
    </w:p>
    <w:p>
      <w:pPr>
        <w:ind w:firstLine="480"/>
        <w:rPr>
          <w:rFonts w:ascii="Times New Roman"/>
        </w:rPr>
      </w:pPr>
      <w:r>
        <w:rPr>
          <w:rFonts w:hint="eastAsia" w:ascii="Times New Roman"/>
        </w:rPr>
        <w:t>①采气井场的生态恢复措施</w:t>
      </w:r>
    </w:p>
    <w:p>
      <w:pPr>
        <w:ind w:firstLine="480"/>
        <w:rPr>
          <w:rFonts w:ascii="Times New Roman" w:hAnsi="Times New Roman"/>
        </w:rPr>
      </w:pPr>
      <w:r>
        <w:rPr>
          <w:rFonts w:ascii="Times New Roman"/>
        </w:rPr>
        <w:t>对井场平面布置进行优化，以井口底法兰顶面标高为</w:t>
      </w:r>
      <w:r>
        <w:rPr>
          <w:rFonts w:ascii="Times New Roman" w:hAnsi="Times New Roman"/>
        </w:rPr>
        <w:t>±0.00</w:t>
      </w:r>
      <w:r>
        <w:rPr>
          <w:rFonts w:ascii="Times New Roman"/>
        </w:rPr>
        <w:t>，厂区地坪设计标高为</w:t>
      </w:r>
      <w:r>
        <w:rPr>
          <w:rFonts w:ascii="Times New Roman" w:hAnsi="Times New Roman"/>
        </w:rPr>
        <w:t>-0.2m</w:t>
      </w:r>
      <w:r>
        <w:rPr>
          <w:rFonts w:ascii="Times New Roman"/>
        </w:rPr>
        <w:t>，井场场地自然放坡，坡度为</w:t>
      </w:r>
      <w:r>
        <w:rPr>
          <w:rFonts w:ascii="Times New Roman" w:hAnsi="Times New Roman"/>
        </w:rPr>
        <w:t>0.3%</w:t>
      </w:r>
      <w:r>
        <w:rPr>
          <w:rFonts w:ascii="Times New Roman"/>
        </w:rPr>
        <w:t>。井场设通透钢网围栏，井场采用原土夯实，铺垫</w:t>
      </w:r>
      <w:r>
        <w:rPr>
          <w:rFonts w:ascii="Times New Roman" w:hAnsi="Times New Roman"/>
        </w:rPr>
        <w:t>10cm</w:t>
      </w:r>
      <w:r>
        <w:rPr>
          <w:rFonts w:ascii="Times New Roman"/>
        </w:rPr>
        <w:t>厚碎石。井场征地边界外围可进行绿化，种植植物。评价要求，采取分段施工、分段生态恢复的措施，在单个井场各个采气井达到排采条件后及时对井场进行生态恢复。</w:t>
      </w:r>
    </w:p>
    <w:p>
      <w:pPr>
        <w:ind w:firstLine="480"/>
        <w:rPr>
          <w:rFonts w:ascii="Times New Roman" w:hAnsi="Times New Roman"/>
          <w:bCs/>
        </w:rPr>
      </w:pPr>
      <w:r>
        <w:rPr>
          <w:rFonts w:hint="eastAsia" w:ascii="Times New Roman"/>
          <w:bCs/>
        </w:rPr>
        <w:t>②</w:t>
      </w:r>
      <w:r>
        <w:rPr>
          <w:rFonts w:ascii="Times New Roman"/>
          <w:bCs/>
        </w:rPr>
        <w:t>集气站场的生态恢复措施</w:t>
      </w:r>
    </w:p>
    <w:p>
      <w:pPr>
        <w:ind w:firstLine="480"/>
        <w:rPr>
          <w:rFonts w:ascii="Times New Roman" w:hAnsi="Times New Roman"/>
          <w:bCs/>
        </w:rPr>
      </w:pPr>
      <w:r>
        <w:rPr>
          <w:rFonts w:ascii="Times New Roman"/>
          <w:bCs/>
        </w:rPr>
        <w:t>站内、外边坡均采用浆砌石挡墙和骨架综合护坡，设排水沟，站外设排水顺接工程。站内采用混凝土硬化，空闲地种植草坪绿化。站内外边坡撒播草籽护坡。</w:t>
      </w:r>
    </w:p>
    <w:p>
      <w:pPr>
        <w:ind w:firstLine="480"/>
        <w:rPr>
          <w:rFonts w:ascii="Times New Roman" w:hAnsi="Times New Roman"/>
        </w:rPr>
      </w:pPr>
      <w:r>
        <w:rPr>
          <w:rFonts w:ascii="Times New Roman"/>
        </w:rPr>
        <w:t>根据《石油和天然气工程设计防火规范》</w:t>
      </w:r>
      <w:r>
        <w:rPr>
          <w:rFonts w:ascii="Times New Roman" w:hAnsi="Times New Roman"/>
        </w:rPr>
        <w:t>(GB50183-93)</w:t>
      </w:r>
      <w:r>
        <w:rPr>
          <w:rFonts w:ascii="Times New Roman"/>
        </w:rPr>
        <w:t>，选择含油少、低矮、不落叶的景观灌木树种，按照园林设计规范沿站场周围营建景观绿篱。站场绿化率不得低于</w:t>
      </w:r>
      <w:r>
        <w:rPr>
          <w:rFonts w:ascii="Times New Roman" w:hAnsi="Times New Roman"/>
        </w:rPr>
        <w:t>15%</w:t>
      </w:r>
      <w:r>
        <w:rPr>
          <w:rFonts w:ascii="Times New Roman"/>
        </w:rPr>
        <w:t>。</w:t>
      </w:r>
    </w:p>
    <w:p>
      <w:pPr>
        <w:ind w:firstLine="480"/>
        <w:rPr>
          <w:rFonts w:ascii="Times New Roman" w:hAnsi="Times New Roman"/>
        </w:rPr>
      </w:pPr>
      <w:r>
        <w:rPr>
          <w:rFonts w:hint="eastAsia" w:ascii="Times New Roman"/>
          <w:bCs/>
        </w:rPr>
        <w:t>③</w:t>
      </w:r>
      <w:r>
        <w:rPr>
          <w:rFonts w:ascii="Times New Roman"/>
        </w:rPr>
        <w:t>输气管线的生态恢复措施</w:t>
      </w:r>
    </w:p>
    <w:p>
      <w:pPr>
        <w:ind w:firstLine="480"/>
      </w:pPr>
      <w:r>
        <w:rPr>
          <w:bCs/>
        </w:rPr>
        <w:t>采气管线管沟开挖前，对开挖范围内占地进行表土剥离，集中堆放于管沟一侧。采气管线管沟开挖过程中，土方集中堆放于管沟一侧，进行人工拍实，并采用防护网进行苫盖。采气管线施工结束后，将剥离的表土回覆利用。对临时占地进行土地平整</w:t>
      </w:r>
      <w:r>
        <w:rPr>
          <w:rFonts w:hint="eastAsia"/>
          <w:bCs/>
        </w:rPr>
        <w:t>，</w:t>
      </w:r>
      <w:r>
        <w:rPr>
          <w:bCs/>
        </w:rPr>
        <w:t>临时占用的耕地进行复耕。</w:t>
      </w:r>
      <w:r>
        <w:rPr>
          <w:rFonts w:hint="eastAsia"/>
          <w:bCs/>
        </w:rPr>
        <w:t>在</w:t>
      </w:r>
      <w:r>
        <w:rPr>
          <w:bCs/>
        </w:rPr>
        <w:t>作业带中心线两侧</w:t>
      </w:r>
      <w:r>
        <w:rPr>
          <w:rFonts w:hint="eastAsia"/>
          <w:bCs/>
        </w:rPr>
        <w:t>扰动</w:t>
      </w:r>
      <w:r>
        <w:rPr>
          <w:bCs/>
        </w:rPr>
        <w:t>范围内、以及管线临时占用荒草地区域撒播草籽</w:t>
      </w:r>
      <w:r>
        <w:rPr>
          <w:rFonts w:hint="eastAsia"/>
          <w:bCs/>
        </w:rPr>
        <w:t>，种植浅根性草类，</w:t>
      </w:r>
      <w:r>
        <w:rPr>
          <w:bCs/>
        </w:rPr>
        <w:t>恢复植被。作业带中心线两侧</w:t>
      </w:r>
      <w:r>
        <w:rPr>
          <w:rFonts w:hint="eastAsia"/>
          <w:bCs/>
        </w:rPr>
        <w:t>扰动</w:t>
      </w:r>
      <w:r>
        <w:rPr>
          <w:bCs/>
        </w:rPr>
        <w:t>范围外，占用疏林地、灌木林地时，种植灌草恢复植被。</w:t>
      </w:r>
      <w:r>
        <w:rPr>
          <w:rFonts w:hint="eastAsia"/>
        </w:rPr>
        <w:t>评价要求，采取分段施工、分段生态恢复的措施，对铺设管道完毕后的地段及时进行生态恢复。</w:t>
      </w:r>
    </w:p>
    <w:p>
      <w:pPr>
        <w:ind w:firstLine="480"/>
        <w:rPr>
          <w:rFonts w:ascii="Times New Roman" w:hAnsi="Times New Roman"/>
        </w:rPr>
      </w:pPr>
      <w:r>
        <w:rPr>
          <w:rFonts w:ascii="Times New Roman"/>
        </w:rPr>
        <w:t>④道路</w:t>
      </w:r>
      <w:r>
        <w:rPr>
          <w:rFonts w:ascii="Times New Roman"/>
          <w:bCs/>
        </w:rPr>
        <w:t>的生态恢复措施</w:t>
      </w:r>
    </w:p>
    <w:p>
      <w:pPr>
        <w:ind w:firstLine="480"/>
        <w:rPr>
          <w:rFonts w:ascii="Times New Roman" w:hAnsi="Times New Roman"/>
        </w:rPr>
      </w:pPr>
      <w:r>
        <w:rPr>
          <w:rFonts w:ascii="Times New Roman"/>
        </w:rPr>
        <w:t>在进站场道路两侧修建排水沟，布设道路防护林。</w:t>
      </w:r>
    </w:p>
    <w:p>
      <w:pPr>
        <w:ind w:firstLine="480"/>
        <w:rPr>
          <w:rFonts w:ascii="Times New Roman" w:hAnsi="Times New Roman"/>
        </w:rPr>
      </w:pPr>
      <w:r>
        <w:rPr>
          <w:rFonts w:ascii="Times New Roman"/>
        </w:rPr>
        <w:t>进井场道路在井场使用期间将一直使用，路面暂不能恢复植被。井田位于黄土丘陵沟壑区，道路两侧常有削坡垫土形成的裸露面，应及时水土保持与植被恢复措施。</w:t>
      </w:r>
    </w:p>
    <w:p>
      <w:pPr>
        <w:spacing w:before="156" w:beforeLines="50" w:after="156" w:afterLines="50"/>
        <w:ind w:firstLine="0" w:firstLineChars="0"/>
        <w:outlineLvl w:val="1"/>
        <w:rPr>
          <w:rFonts w:ascii="Times New Roman" w:hAnsi="Times New Roman"/>
          <w:b/>
          <w:sz w:val="30"/>
          <w:szCs w:val="30"/>
        </w:rPr>
      </w:pPr>
      <w:bookmarkStart w:id="115" w:name="_Toc524624642"/>
      <w:r>
        <w:rPr>
          <w:rFonts w:hint="eastAsia" w:ascii="Times New Roman" w:hAnsi="Times New Roman"/>
          <w:b/>
          <w:sz w:val="30"/>
          <w:szCs w:val="30"/>
        </w:rPr>
        <w:t>6.2 运营期环保措施分析</w:t>
      </w:r>
      <w:bookmarkEnd w:id="115"/>
    </w:p>
    <w:p>
      <w:pPr>
        <w:ind w:firstLine="0" w:firstLineChars="0"/>
        <w:outlineLvl w:val="2"/>
        <w:rPr>
          <w:rFonts w:ascii="Times New Roman" w:hAnsi="Times New Roman"/>
          <w:b/>
          <w:sz w:val="28"/>
          <w:szCs w:val="28"/>
        </w:rPr>
      </w:pPr>
      <w:bookmarkStart w:id="116" w:name="_Toc524624643"/>
      <w:r>
        <w:rPr>
          <w:rFonts w:hint="eastAsia" w:ascii="Times New Roman" w:hAnsi="Times New Roman"/>
          <w:b/>
          <w:sz w:val="28"/>
          <w:szCs w:val="28"/>
        </w:rPr>
        <w:t>6.2.1 运营期大气污染防治措施</w:t>
      </w:r>
      <w:bookmarkEnd w:id="116"/>
    </w:p>
    <w:p>
      <w:pPr>
        <w:ind w:firstLine="480"/>
        <w:rPr>
          <w:rFonts w:ascii="Times New Roman" w:hAnsi="Times New Roman"/>
          <w:szCs w:val="24"/>
        </w:rPr>
      </w:pPr>
      <w:r>
        <w:rPr>
          <w:rFonts w:hint="eastAsia" w:ascii="Times New Roman" w:hAnsi="Times New Roman"/>
          <w:szCs w:val="24"/>
        </w:rPr>
        <w:t>（1）办公生活区和采出水处理站供热锅炉燃料为煤成气，煤成气属于清洁能源，大气污染物产生量少。</w:t>
      </w:r>
    </w:p>
    <w:p>
      <w:pPr>
        <w:ind w:firstLine="480"/>
        <w:rPr>
          <w:rFonts w:ascii="Times New Roman" w:hAnsi="Times New Roman"/>
          <w:szCs w:val="24"/>
        </w:rPr>
      </w:pPr>
      <w:r>
        <w:rPr>
          <w:rFonts w:hint="eastAsia" w:ascii="Times New Roman" w:hAnsi="Times New Roman"/>
          <w:szCs w:val="24"/>
        </w:rPr>
        <w:t>（2）在本项目煤成气抽采、管道输送以及集气站加压的各个环节中，严禁直接向大气排放煤成气。</w:t>
      </w:r>
    </w:p>
    <w:p>
      <w:pPr>
        <w:ind w:firstLine="480"/>
        <w:rPr>
          <w:rFonts w:ascii="Times New Roman" w:hAnsi="Times New Roman"/>
          <w:szCs w:val="24"/>
        </w:rPr>
      </w:pPr>
      <w:r>
        <w:rPr>
          <w:rFonts w:hint="eastAsia" w:ascii="Times New Roman" w:hAnsi="Times New Roman"/>
          <w:szCs w:val="24"/>
        </w:rPr>
        <w:t>（3）输气管道及站场输送采用密闭输送，选用可靠性高的设备、密封性能好的阀门，保证各连接部位的密封，并加强管理，经常检查各密封部位及阀门阀杆处的泄漏情况，发现问题及时处理。</w:t>
      </w:r>
    </w:p>
    <w:p>
      <w:pPr>
        <w:ind w:firstLine="480"/>
        <w:rPr>
          <w:rFonts w:ascii="Times New Roman" w:hAnsi="Times New Roman"/>
          <w:szCs w:val="24"/>
        </w:rPr>
      </w:pPr>
      <w:r>
        <w:rPr>
          <w:rFonts w:hint="eastAsia" w:ascii="Times New Roman" w:hAnsi="Times New Roman"/>
          <w:szCs w:val="24"/>
        </w:rPr>
        <w:t>（4）在集输系统检修或事故放空时，对少量放空的煤成气，引入装置区外的高压火炬系统进行焚烧处理，点火采用自动电子点火方式，减轻对环境的危害。</w:t>
      </w:r>
    </w:p>
    <w:p>
      <w:pPr>
        <w:ind w:firstLine="480"/>
        <w:rPr>
          <w:rFonts w:ascii="Times New Roman" w:hAnsi="Times New Roman"/>
          <w:szCs w:val="24"/>
        </w:rPr>
      </w:pPr>
      <w:r>
        <w:rPr>
          <w:rFonts w:hint="eastAsia" w:ascii="Times New Roman" w:hAnsi="Times New Roman"/>
          <w:szCs w:val="24"/>
        </w:rPr>
        <w:t>（5）煤成气传输管路应设置甲烷传感器、流量传感器、压力传感器及温度传感器，对管道内甲烷浓度、流量压力、温度等参数进行监测。井场抽排装置应设甲烷传感器防止煤成气泄漏。</w:t>
      </w:r>
    </w:p>
    <w:p>
      <w:pPr>
        <w:ind w:firstLine="480"/>
        <w:rPr>
          <w:rFonts w:ascii="Times New Roman" w:hAnsi="Times New Roman"/>
          <w:szCs w:val="24"/>
        </w:rPr>
      </w:pPr>
      <w:r>
        <w:rPr>
          <w:rFonts w:hint="eastAsia" w:ascii="Times New Roman" w:hAnsi="Times New Roman"/>
          <w:szCs w:val="24"/>
        </w:rPr>
        <w:t>（6）站场和阀室以及沿线设可燃气体浓度检测系统和ESD系统，密切监视煤成气的泄漏量。</w:t>
      </w:r>
    </w:p>
    <w:p>
      <w:pPr>
        <w:ind w:firstLine="0" w:firstLineChars="0"/>
        <w:outlineLvl w:val="2"/>
        <w:rPr>
          <w:rFonts w:ascii="Times New Roman" w:hAnsi="Times New Roman"/>
          <w:b/>
          <w:sz w:val="28"/>
          <w:szCs w:val="28"/>
        </w:rPr>
      </w:pPr>
      <w:bookmarkStart w:id="117" w:name="_Toc524624644"/>
      <w:r>
        <w:rPr>
          <w:rFonts w:hint="eastAsia" w:ascii="Times New Roman" w:hAnsi="Times New Roman"/>
          <w:b/>
          <w:sz w:val="28"/>
          <w:szCs w:val="28"/>
        </w:rPr>
        <w:t>6.2.2 运营期地表水污染防治措施</w:t>
      </w:r>
      <w:bookmarkEnd w:id="117"/>
    </w:p>
    <w:p>
      <w:pPr>
        <w:ind w:firstLine="480"/>
        <w:rPr>
          <w:rFonts w:ascii="Times New Roman" w:hAnsi="Times New Roman"/>
          <w:szCs w:val="24"/>
        </w:rPr>
      </w:pPr>
      <w:r>
        <w:rPr>
          <w:rFonts w:hint="eastAsia" w:ascii="Times New Roman" w:hAnsi="Times New Roman"/>
          <w:szCs w:val="24"/>
        </w:rPr>
        <w:t>本项目生产运营期间产生与排放的污废水主要为集气站的生产废水和集气站、办公生活区的生活污水等。</w:t>
      </w:r>
    </w:p>
    <w:p>
      <w:pPr>
        <w:ind w:firstLine="480"/>
        <w:rPr>
          <w:rFonts w:ascii="Times New Roman" w:hAnsi="Times New Roman"/>
          <w:szCs w:val="24"/>
        </w:rPr>
      </w:pPr>
      <w:r>
        <w:rPr>
          <w:rFonts w:hint="eastAsia" w:ascii="Times New Roman" w:hAnsi="Times New Roman"/>
          <w:szCs w:val="24"/>
        </w:rPr>
        <w:t>（1）生产废水</w:t>
      </w:r>
    </w:p>
    <w:p>
      <w:pPr>
        <w:ind w:firstLine="480"/>
        <w:rPr>
          <w:rFonts w:ascii="Times New Roman" w:hAnsi="Times New Roman"/>
          <w:bCs/>
        </w:rPr>
      </w:pPr>
      <w:r>
        <w:rPr>
          <w:rFonts w:ascii="Times New Roman" w:hAnsi="Times New Roman"/>
          <w:bCs/>
        </w:rPr>
        <w:t>集气站生产废水主要为煤成气生产过程中夹带的少量地层水以及冬季防止煤成气中水分结冻的防冻剂Z-6环保型抑制剂。煤成气经生产分离撬、分离出的废水中主要污染物为</w:t>
      </w:r>
      <w:r>
        <w:rPr>
          <w:rFonts w:hint="eastAsia" w:ascii="Times New Roman" w:hAnsi="Times New Roman"/>
          <w:bCs/>
        </w:rPr>
        <w:t>SS</w:t>
      </w:r>
      <w:r>
        <w:rPr>
          <w:rFonts w:ascii="Times New Roman" w:hAnsi="Times New Roman"/>
          <w:bCs/>
        </w:rPr>
        <w:t>、氯化物和石油类。根据工程预测，集气站建好运行后采出水产生量为1.6万m</w:t>
      </w:r>
      <w:r>
        <w:rPr>
          <w:rFonts w:ascii="Times New Roman" w:hAnsi="Times New Roman"/>
          <w:bCs/>
          <w:vertAlign w:val="superscript"/>
        </w:rPr>
        <w:t>3</w:t>
      </w:r>
      <w:r>
        <w:rPr>
          <w:rFonts w:ascii="Times New Roman" w:hAnsi="Times New Roman"/>
          <w:bCs/>
        </w:rPr>
        <w:t>/a（48.5m</w:t>
      </w:r>
      <w:r>
        <w:rPr>
          <w:rFonts w:ascii="Times New Roman" w:hAnsi="Times New Roman"/>
          <w:bCs/>
          <w:vertAlign w:val="superscript"/>
        </w:rPr>
        <w:t>3</w:t>
      </w:r>
      <w:r>
        <w:rPr>
          <w:rFonts w:ascii="Times New Roman" w:hAnsi="Times New Roman"/>
          <w:bCs/>
        </w:rPr>
        <w:t>/d）。</w:t>
      </w:r>
    </w:p>
    <w:p>
      <w:pPr>
        <w:ind w:firstLine="480"/>
        <w:rPr>
          <w:rFonts w:ascii="Times New Roman" w:hAnsi="Times New Roman"/>
          <w:bCs/>
        </w:rPr>
      </w:pPr>
      <w:r>
        <w:rPr>
          <w:rFonts w:ascii="Times New Roman" w:hAnsi="Times New Roman"/>
          <w:bCs/>
        </w:rPr>
        <w:t>从集气站生产分离撬分离出来的采出水经废水管线输送至LX-103井场的采出水净化处理站，净化处理站处理后的废水经原注醇管线至LX-104井场的蒸发处理站处理，废水自然蒸发，Z-6环保型抑制剂存于蒸发池内，定期由罐车输送至各井场。本项目采出水不外排。</w:t>
      </w:r>
    </w:p>
    <w:p>
      <w:pPr>
        <w:ind w:firstLine="480"/>
        <w:rPr>
          <w:rFonts w:ascii="Times New Roman" w:hAnsi="Times New Roman"/>
          <w:szCs w:val="24"/>
        </w:rPr>
      </w:pPr>
      <w:r>
        <w:rPr>
          <w:rFonts w:hint="eastAsia" w:ascii="Times New Roman" w:hAnsi="Times New Roman"/>
          <w:szCs w:val="24"/>
        </w:rPr>
        <w:t>（2）生活污水</w:t>
      </w:r>
    </w:p>
    <w:p>
      <w:pPr>
        <w:snapToGrid w:val="0"/>
        <w:ind w:firstLine="480"/>
        <w:rPr>
          <w:rFonts w:ascii="Times New Roman" w:hAnsi="Times New Roman"/>
          <w:szCs w:val="24"/>
          <w:lang w:val="zh-CN"/>
        </w:rPr>
      </w:pPr>
      <w:r>
        <w:rPr>
          <w:rFonts w:ascii="Times New Roman" w:hAnsi="Times New Roman"/>
          <w:szCs w:val="24"/>
          <w:lang w:val="zh-CN"/>
        </w:rPr>
        <w:t>生活废水主要来源于办公生活区和集气站。</w:t>
      </w:r>
    </w:p>
    <w:p>
      <w:pPr>
        <w:snapToGrid w:val="0"/>
        <w:ind w:firstLine="480"/>
        <w:rPr>
          <w:rFonts w:ascii="Times New Roman" w:hAnsi="Times New Roman"/>
          <w:szCs w:val="24"/>
        </w:rPr>
      </w:pPr>
      <w:r>
        <w:rPr>
          <w:rFonts w:ascii="Times New Roman" w:hAnsi="Times New Roman"/>
          <w:szCs w:val="24"/>
          <w:lang w:val="zh-CN"/>
        </w:rPr>
        <w:t>办公生活区建设水冲厕，生活废水产生量按照用水量的80%计算，则生活废水产生量为</w:t>
      </w:r>
      <w:r>
        <w:rPr>
          <w:rFonts w:hint="eastAsia" w:ascii="Times New Roman" w:hAnsi="Times New Roman"/>
          <w:szCs w:val="24"/>
          <w:lang w:val="zh-CN"/>
        </w:rPr>
        <w:t>20</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/d，主要污染物为COD、SS、NH</w:t>
      </w:r>
      <w:r>
        <w:rPr>
          <w:rFonts w:ascii="Times New Roman" w:hAnsi="Times New Roman"/>
          <w:szCs w:val="24"/>
          <w:vertAlign w:val="subscript"/>
          <w:lang w:val="zh-CN"/>
        </w:rPr>
        <w:t>3</w:t>
      </w:r>
      <w:r>
        <w:rPr>
          <w:rFonts w:ascii="Times New Roman" w:hAnsi="Times New Roman"/>
          <w:szCs w:val="24"/>
          <w:lang w:val="zh-CN"/>
        </w:rPr>
        <w:t>-N和动植物油。食堂废水经隔油池处理后与其他生活废水经管线排入办公生活区生活废水处理站，处理工艺采用生物接触氧化法（MBR），处理工艺流程见图3.3-9，处理后废水指标见表3.3-</w:t>
      </w:r>
      <w:r>
        <w:rPr>
          <w:rFonts w:hint="eastAsia" w:ascii="Times New Roman" w:hAnsi="Times New Roman"/>
          <w:szCs w:val="24"/>
          <w:lang w:val="zh-CN"/>
        </w:rPr>
        <w:t>6</w:t>
      </w:r>
      <w:r>
        <w:rPr>
          <w:rFonts w:ascii="Times New Roman" w:hAnsi="Times New Roman"/>
          <w:szCs w:val="24"/>
          <w:lang w:val="zh-CN"/>
        </w:rPr>
        <w:t>。处理后的达标废水</w:t>
      </w:r>
      <w:r>
        <w:rPr>
          <w:rFonts w:hint="eastAsia" w:ascii="Times New Roman" w:hAnsi="Times New Roman"/>
          <w:szCs w:val="24"/>
          <w:lang w:val="zh-CN"/>
        </w:rPr>
        <w:t>全部</w:t>
      </w:r>
      <w:r>
        <w:rPr>
          <w:rFonts w:ascii="Times New Roman" w:hAnsi="Times New Roman"/>
          <w:szCs w:val="24"/>
          <w:lang w:val="zh-CN"/>
        </w:rPr>
        <w:t>用于本项目绿化和降尘用水。</w:t>
      </w:r>
    </w:p>
    <w:p>
      <w:pPr>
        <w:ind w:firstLine="480"/>
        <w:rPr>
          <w:rFonts w:ascii="Times New Roman" w:hAnsi="Times New Roman"/>
          <w:szCs w:val="24"/>
        </w:rPr>
      </w:pPr>
      <w:r>
        <w:rPr>
          <w:rFonts w:ascii="Times New Roman" w:hAnsi="Times New Roman"/>
          <w:szCs w:val="24"/>
        </w:rPr>
        <w:t>集气站</w:t>
      </w:r>
      <w:r>
        <w:rPr>
          <w:rFonts w:hint="eastAsia" w:ascii="Times New Roman" w:hAnsi="Times New Roman"/>
          <w:szCs w:val="24"/>
        </w:rPr>
        <w:t>不</w:t>
      </w:r>
      <w:r>
        <w:rPr>
          <w:rFonts w:ascii="Times New Roman" w:hAnsi="Times New Roman"/>
          <w:szCs w:val="24"/>
        </w:rPr>
        <w:t>设置旱厕，生活废水主要为盥洗废水，产生量为0.32m</w:t>
      </w:r>
      <w:r>
        <w:rPr>
          <w:rFonts w:ascii="Times New Roman" w:hAnsi="Times New Roman"/>
          <w:szCs w:val="24"/>
          <w:vertAlign w:val="superscript"/>
        </w:rPr>
        <w:t>3</w:t>
      </w:r>
      <w:r>
        <w:rPr>
          <w:rFonts w:ascii="Times New Roman" w:hAnsi="Times New Roman"/>
          <w:szCs w:val="24"/>
        </w:rPr>
        <w:t>/d。盥洗废水作为降尘废水，不外排。</w:t>
      </w:r>
    </w:p>
    <w:p>
      <w:pPr>
        <w:ind w:firstLine="0" w:firstLineChars="0"/>
        <w:outlineLvl w:val="2"/>
        <w:rPr>
          <w:rFonts w:ascii="Times New Roman" w:hAnsi="Times New Roman"/>
          <w:b/>
          <w:sz w:val="28"/>
          <w:szCs w:val="28"/>
        </w:rPr>
      </w:pPr>
      <w:bookmarkStart w:id="118" w:name="_Toc524624645"/>
      <w:r>
        <w:rPr>
          <w:rFonts w:hint="eastAsia" w:ascii="Times New Roman" w:hAnsi="Times New Roman"/>
          <w:b/>
          <w:sz w:val="28"/>
          <w:szCs w:val="28"/>
        </w:rPr>
        <w:t>6.2.3 运营期地下水污染防治措施</w:t>
      </w:r>
      <w:bookmarkEnd w:id="118"/>
    </w:p>
    <w:p>
      <w:pPr>
        <w:ind w:firstLine="0" w:firstLineChars="0"/>
        <w:rPr>
          <w:rFonts w:ascii="Times New Roman" w:hAnsi="Times New Roman"/>
          <w:b/>
          <w:szCs w:val="24"/>
        </w:rPr>
      </w:pPr>
      <w:r>
        <w:rPr>
          <w:rFonts w:ascii="Times New Roman" w:hAnsi="Times New Roman"/>
          <w:b/>
          <w:szCs w:val="24"/>
        </w:rPr>
        <w:t>6.2.3.1</w:t>
      </w:r>
      <w:r>
        <w:rPr>
          <w:rFonts w:hint="eastAsia" w:ascii="Times New Roman" w:hAnsi="Times New Roman"/>
          <w:b/>
          <w:szCs w:val="24"/>
        </w:rPr>
        <w:t xml:space="preserve"> 建设项目污染防治措施</w:t>
      </w:r>
    </w:p>
    <w:p>
      <w:pPr>
        <w:ind w:firstLine="480"/>
        <w:rPr>
          <w:rFonts w:ascii="Times New Roman" w:hAnsi="Times New Roman"/>
          <w:szCs w:val="22"/>
        </w:rPr>
      </w:pPr>
      <w:r>
        <w:rPr>
          <w:rFonts w:hint="eastAsia" w:ascii="Times New Roman" w:hAnsi="Times New Roman"/>
          <w:szCs w:val="22"/>
        </w:rPr>
        <w:t>依据相关法律法规，按照“源头控制、分区防控、污染监控、应急响应”主动与被动相结合的原则，根据本项目特点、调查评价区和场地环境水文地质条件，在项目可行性研究提出的污染防控对策、环境影响预测评价结果的基础上，提出需要增加或完善的地下水环境保护措施与对策。</w:t>
      </w:r>
    </w:p>
    <w:p>
      <w:pPr>
        <w:ind w:firstLine="480"/>
        <w:rPr>
          <w:rFonts w:ascii="Times New Roman" w:hAnsi="Times New Roman"/>
          <w:szCs w:val="22"/>
        </w:rPr>
      </w:pPr>
      <w:r>
        <w:rPr>
          <w:rFonts w:hint="eastAsia" w:ascii="Times New Roman" w:hAnsi="Times New Roman"/>
          <w:szCs w:val="22"/>
        </w:rPr>
        <w:t>（1）源头控制措施</w:t>
      </w:r>
    </w:p>
    <w:p>
      <w:pPr>
        <w:ind w:firstLine="480" w:firstLineChars="0"/>
        <w:rPr>
          <w:rFonts w:ascii="Times New Roman" w:hAnsi="Times New Roman"/>
          <w:szCs w:val="22"/>
        </w:rPr>
      </w:pPr>
      <w:r>
        <w:rPr>
          <w:rFonts w:hint="eastAsia" w:ascii="Times New Roman" w:hAnsi="Times New Roman"/>
          <w:szCs w:val="22"/>
        </w:rPr>
        <w:t>为推进清洁生产，开发方应做到：坚持保护领先，保护与防治相结合的原则；坚持循环经济路线，遵循优水优用、一水多用的节水原则；坚持一切对策措施要遵循技术先进可行，社会、经济环境效益兼顾的原则。具体如下：</w:t>
      </w:r>
    </w:p>
    <w:p>
      <w:pPr>
        <w:ind w:firstLine="480" w:firstLineChars="0"/>
        <w:rPr>
          <w:rFonts w:ascii="Times New Roman" w:hAnsi="Times New Roman"/>
          <w:szCs w:val="22"/>
        </w:rPr>
      </w:pPr>
      <w:r>
        <w:rPr>
          <w:rFonts w:hint="eastAsia" w:ascii="Times New Roman" w:hAnsi="Times New Roman"/>
          <w:szCs w:val="22"/>
        </w:rPr>
        <w:t>1．提高废水再利用，减少污染物的排放</w:t>
      </w:r>
    </w:p>
    <w:p>
      <w:pPr>
        <w:ind w:firstLine="480" w:firstLineChars="0"/>
        <w:rPr>
          <w:rFonts w:ascii="Times New Roman" w:hAnsi="Times New Roman"/>
          <w:szCs w:val="22"/>
        </w:rPr>
      </w:pPr>
      <w:r>
        <w:rPr>
          <w:rFonts w:hint="eastAsia" w:ascii="Times New Roman" w:hAnsi="Times New Roman"/>
          <w:szCs w:val="22"/>
        </w:rPr>
        <w:t>本项目废污水主要包括建设期钻井废水、压裂废水；运营期生产废水、生活污水及收集的雨水。具体见表</w:t>
      </w:r>
      <w:r>
        <w:rPr>
          <w:rFonts w:ascii="Times New Roman" w:hAnsi="Times New Roman"/>
          <w:szCs w:val="22"/>
        </w:rPr>
        <w:t>6.2-1</w:t>
      </w:r>
      <w:r>
        <w:rPr>
          <w:rFonts w:hint="eastAsia" w:ascii="Times New Roman" w:hAnsi="Times New Roman"/>
          <w:szCs w:val="22"/>
        </w:rPr>
        <w:t>。</w:t>
      </w:r>
    </w:p>
    <w:p>
      <w:pPr>
        <w:spacing w:line="500" w:lineRule="exact"/>
        <w:ind w:left="397"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6.2-1</w:t>
      </w:r>
      <w:r>
        <w:rPr>
          <w:rFonts w:hint="eastAsia" w:ascii="Times New Roman" w:hAnsi="Times New Roman"/>
          <w:b/>
          <w:sz w:val="21"/>
        </w:rPr>
        <w:t xml:space="preserve">  废污水处置去向统计表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4"/>
        <w:gridCol w:w="2342"/>
        <w:gridCol w:w="4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sz w:val="21"/>
              </w:rPr>
            </w:pPr>
            <w:r>
              <w:rPr>
                <w:rFonts w:hint="eastAsia" w:ascii="Times New Roman" w:hAnsi="Times New Roman"/>
                <w:sz w:val="21"/>
              </w:rPr>
              <w:t>废、污水类型</w:t>
            </w:r>
          </w:p>
        </w:tc>
        <w:tc>
          <w:tcPr>
            <w:tcW w:w="2342"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sz w:val="21"/>
              </w:rPr>
            </w:pPr>
            <w:r>
              <w:rPr>
                <w:rFonts w:hint="eastAsia" w:ascii="Times New Roman" w:hAnsi="Times New Roman"/>
                <w:sz w:val="21"/>
              </w:rPr>
              <w:t>主要污染物</w:t>
            </w:r>
          </w:p>
        </w:tc>
        <w:tc>
          <w:tcPr>
            <w:tcW w:w="4592"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sz w:val="21"/>
              </w:rPr>
            </w:pPr>
            <w:r>
              <w:rPr>
                <w:rFonts w:hint="eastAsia" w:ascii="Times New Roman" w:hAnsi="Times New Roman"/>
                <w:sz w:val="21"/>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钻井废水</w:t>
            </w:r>
          </w:p>
        </w:tc>
        <w:tc>
          <w:tcPr>
            <w:tcW w:w="234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悬浮物、</w:t>
            </w:r>
            <w:r>
              <w:rPr>
                <w:rFonts w:ascii="Times New Roman" w:hAnsi="Times New Roman"/>
                <w:sz w:val="21"/>
              </w:rPr>
              <w:t>COD</w:t>
            </w:r>
            <w:r>
              <w:rPr>
                <w:rFonts w:hint="eastAsia" w:ascii="Times New Roman" w:hAnsi="Times New Roman"/>
                <w:sz w:val="21"/>
              </w:rPr>
              <w:t>、石油类</w:t>
            </w:r>
          </w:p>
        </w:tc>
        <w:tc>
          <w:tcPr>
            <w:tcW w:w="459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存放于泥浆池、沉砂池中，填埋处理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压裂废水</w:t>
            </w:r>
          </w:p>
        </w:tc>
        <w:tc>
          <w:tcPr>
            <w:tcW w:w="234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氯化物、硫酸盐等</w:t>
            </w:r>
          </w:p>
        </w:tc>
        <w:tc>
          <w:tcPr>
            <w:tcW w:w="459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暂存于压裂液储存罐中，沉淀后全部回用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生产废水</w:t>
            </w:r>
          </w:p>
        </w:tc>
        <w:tc>
          <w:tcPr>
            <w:tcW w:w="234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ascii="Times New Roman" w:hAnsi="Times New Roman"/>
                <w:sz w:val="21"/>
              </w:rPr>
              <w:t>SS</w:t>
            </w:r>
            <w:r>
              <w:rPr>
                <w:rFonts w:hint="eastAsia" w:ascii="Times New Roman" w:hAnsi="Times New Roman"/>
                <w:sz w:val="21"/>
              </w:rPr>
              <w:t>、氯化物、石油类</w:t>
            </w:r>
          </w:p>
        </w:tc>
        <w:tc>
          <w:tcPr>
            <w:tcW w:w="459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通过污水管线由污水管线输送到污水处理站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生活污水</w:t>
            </w:r>
          </w:p>
        </w:tc>
        <w:tc>
          <w:tcPr>
            <w:tcW w:w="234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ascii="Times New Roman" w:hAnsi="Times New Roman"/>
                <w:sz w:val="21"/>
              </w:rPr>
              <w:t>COD</w:t>
            </w:r>
            <w:r>
              <w:rPr>
                <w:rFonts w:hint="eastAsia" w:ascii="Times New Roman" w:hAnsi="Times New Roman"/>
                <w:sz w:val="21"/>
              </w:rPr>
              <w:t>、氨氮</w:t>
            </w:r>
          </w:p>
        </w:tc>
        <w:tc>
          <w:tcPr>
            <w:tcW w:w="459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经生活污水处理站处理后全部回用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雨水</w:t>
            </w:r>
          </w:p>
        </w:tc>
        <w:tc>
          <w:tcPr>
            <w:tcW w:w="234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悬浮物</w:t>
            </w:r>
          </w:p>
        </w:tc>
        <w:tc>
          <w:tcPr>
            <w:tcW w:w="4592"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jc w:val="center"/>
              <w:rPr>
                <w:rFonts w:ascii="Times New Roman" w:hAnsi="Times New Roman"/>
                <w:sz w:val="21"/>
              </w:rPr>
            </w:pPr>
            <w:r>
              <w:rPr>
                <w:rFonts w:hint="eastAsia" w:ascii="Times New Roman" w:hAnsi="Times New Roman"/>
                <w:sz w:val="21"/>
              </w:rPr>
              <w:t>经工业场地雨水收集系统收集后，外排</w:t>
            </w:r>
          </w:p>
        </w:tc>
      </w:tr>
    </w:tbl>
    <w:p>
      <w:pPr>
        <w:ind w:firstLine="480" w:firstLineChars="0"/>
        <w:jc w:val="left"/>
        <w:rPr>
          <w:rFonts w:ascii="Times New Roman" w:hAnsi="Times New Roman"/>
          <w:szCs w:val="22"/>
        </w:rPr>
      </w:pPr>
      <w:r>
        <w:rPr>
          <w:rFonts w:hint="eastAsia" w:ascii="Times New Roman" w:hAnsi="Times New Roman"/>
          <w:szCs w:val="22"/>
        </w:rPr>
        <w:t>由上表可知，本项目除雨水外，其余废、污水均不外排。本着废水循环利用，减少污染物排放的原则，可以将收集后的雨水经过简单沉降过滤后，用于厂区、道路绿化与降尘。</w:t>
      </w:r>
    </w:p>
    <w:p>
      <w:pPr>
        <w:ind w:firstLine="480" w:firstLineChars="0"/>
        <w:jc w:val="left"/>
        <w:rPr>
          <w:rFonts w:ascii="Times New Roman" w:hAnsi="Times New Roman"/>
          <w:szCs w:val="22"/>
        </w:rPr>
      </w:pPr>
      <w:r>
        <w:rPr>
          <w:rFonts w:hint="eastAsia" w:ascii="Times New Roman" w:hAnsi="Times New Roman"/>
          <w:szCs w:val="22"/>
        </w:rPr>
        <w:t>2. 降低污染物跑、冒、滴、漏等现象</w:t>
      </w:r>
    </w:p>
    <w:p>
      <w:pPr>
        <w:ind w:firstLine="480" w:firstLineChars="0"/>
        <w:jc w:val="left"/>
        <w:rPr>
          <w:rFonts w:ascii="Times New Roman" w:hAnsi="Times New Roman"/>
          <w:szCs w:val="22"/>
        </w:rPr>
      </w:pPr>
      <w:r>
        <w:rPr>
          <w:rFonts w:hint="eastAsia" w:ascii="Times New Roman"/>
        </w:rPr>
        <w:t>①考虑到</w:t>
      </w:r>
      <w:r>
        <w:rPr>
          <w:rFonts w:hint="eastAsia" w:ascii="Times New Roman" w:hAnsi="Times New Roman"/>
          <w:szCs w:val="22"/>
        </w:rPr>
        <w:t>压裂废水主要产生在建设期，且压裂液返排液各主要污染因子浓度较大，因此各井场按照压裂液返排液产生量布置相适应的撬装式储水罐，将压裂液返排液储存到储水罐中。此外，对于存放钻井废水的泥浆池，也应该设置围挡物，避免雨季雨水灌入导致漫溢；</w:t>
      </w:r>
    </w:p>
    <w:p>
      <w:pPr>
        <w:ind w:firstLine="480" w:firstLineChars="0"/>
        <w:jc w:val="left"/>
        <w:rPr>
          <w:rFonts w:ascii="Times New Roman" w:hAnsi="Times New Roman"/>
          <w:szCs w:val="22"/>
        </w:rPr>
      </w:pPr>
      <w:r>
        <w:rPr>
          <w:rFonts w:hint="eastAsia" w:ascii="Times New Roman"/>
        </w:rPr>
        <w:t>②</w:t>
      </w:r>
      <w:r>
        <w:rPr>
          <w:rFonts w:hint="eastAsia" w:ascii="Times New Roman" w:hAnsi="Times New Roman"/>
          <w:szCs w:val="22"/>
        </w:rPr>
        <w:t>井场四周修筑界沟，防止井场清水及雨水流入污水罐；</w:t>
      </w:r>
    </w:p>
    <w:p>
      <w:pPr>
        <w:ind w:firstLine="480" w:firstLineChars="0"/>
        <w:jc w:val="left"/>
        <w:rPr>
          <w:rFonts w:ascii="Times New Roman" w:hAnsi="Times New Roman"/>
          <w:szCs w:val="22"/>
        </w:rPr>
      </w:pPr>
      <w:r>
        <w:rPr>
          <w:rFonts w:hint="eastAsia"/>
        </w:rPr>
        <w:t>③</w:t>
      </w:r>
      <w:r>
        <w:rPr>
          <w:rFonts w:hint="eastAsia" w:ascii="Times New Roman" w:hAnsi="Times New Roman"/>
          <w:szCs w:val="22"/>
        </w:rPr>
        <w:t>在钻井过程中，必须采取成熟有效的止水技术，不允许出现连通不同含水层的情况，避免对含水层结构产生影响；</w:t>
      </w:r>
    </w:p>
    <w:p>
      <w:pPr>
        <w:ind w:firstLine="480" w:firstLineChars="0"/>
        <w:jc w:val="left"/>
        <w:rPr>
          <w:rFonts w:ascii="Times New Roman" w:hAnsi="Times New Roman"/>
          <w:szCs w:val="22"/>
        </w:rPr>
      </w:pPr>
      <w:r>
        <w:rPr>
          <w:rFonts w:hint="eastAsia" w:ascii="Times New Roman"/>
        </w:rPr>
        <w:t>④</w:t>
      </w:r>
      <w:r>
        <w:rPr>
          <w:rFonts w:hint="eastAsia" w:ascii="Times New Roman" w:hAnsi="Times New Roman"/>
          <w:szCs w:val="22"/>
        </w:rPr>
        <w:t xml:space="preserve">提高钻井泥浆循环使用率； </w:t>
      </w:r>
    </w:p>
    <w:p>
      <w:pPr>
        <w:ind w:firstLine="480" w:firstLineChars="0"/>
        <w:jc w:val="left"/>
        <w:rPr>
          <w:rFonts w:ascii="Times New Roman" w:hAnsi="Times New Roman"/>
          <w:szCs w:val="22"/>
        </w:rPr>
      </w:pPr>
      <w:r>
        <w:rPr>
          <w:rFonts w:hint="eastAsia" w:ascii="Times New Roman"/>
        </w:rPr>
        <w:t>⑤</w:t>
      </w:r>
      <w:r>
        <w:rPr>
          <w:rFonts w:hint="eastAsia" w:ascii="Times New Roman" w:hAnsi="Times New Roman"/>
          <w:szCs w:val="22"/>
        </w:rPr>
        <w:t>在钻井过程中，尽量减少化学泥浆材料的使用，最大限度地减少钻井液对地下含水层的污染；尽量采用低碱、低毒泥浆，采用无害化泥浆配方；</w:t>
      </w:r>
    </w:p>
    <w:p>
      <w:pPr>
        <w:ind w:firstLine="480" w:firstLineChars="0"/>
        <w:jc w:val="left"/>
        <w:rPr>
          <w:rFonts w:ascii="Times New Roman" w:hAnsi="Times New Roman"/>
          <w:szCs w:val="22"/>
        </w:rPr>
      </w:pPr>
      <w:r>
        <w:rPr>
          <w:rFonts w:hint="eastAsia" w:ascii="Times New Roman"/>
        </w:rPr>
        <w:t>⑥</w:t>
      </w:r>
      <w:r>
        <w:rPr>
          <w:rFonts w:hint="eastAsia" w:ascii="Times New Roman" w:hAnsi="Times New Roman"/>
          <w:szCs w:val="22"/>
        </w:rPr>
        <w:t>在钻井的同时，加强对周围地下水的监测，以便及时发现问题，采取相应补救措施；</w:t>
      </w:r>
    </w:p>
    <w:p>
      <w:pPr>
        <w:ind w:firstLine="480"/>
        <w:jc w:val="left"/>
        <w:rPr>
          <w:rFonts w:ascii="Times New Roman" w:hAnsi="Times New Roman"/>
          <w:szCs w:val="22"/>
        </w:rPr>
      </w:pPr>
      <w:r>
        <w:rPr>
          <w:rFonts w:hint="eastAsia" w:ascii="Times New Roman" w:hAnsi="Times New Roman"/>
          <w:szCs w:val="22"/>
        </w:rPr>
        <w:t>⑦压裂过程中，采用对环境友好的压裂液、射液，减小对地下水环境的影响；对压裂液、射液采取集中配制，按需配送；</w:t>
      </w:r>
    </w:p>
    <w:p>
      <w:pPr>
        <w:ind w:firstLine="480"/>
        <w:jc w:val="left"/>
        <w:rPr>
          <w:rFonts w:ascii="Times New Roman" w:hAnsi="Times New Roman"/>
          <w:szCs w:val="22"/>
        </w:rPr>
      </w:pPr>
      <w:r>
        <w:rPr>
          <w:rFonts w:hint="eastAsia" w:ascii="Times New Roman" w:hAnsi="Times New Roman"/>
          <w:szCs w:val="22"/>
        </w:rPr>
        <w:t>⑧煤成气采出水必须要进行处理，不得随意排放；</w:t>
      </w:r>
    </w:p>
    <w:p>
      <w:pPr>
        <w:ind w:firstLine="480"/>
        <w:jc w:val="left"/>
        <w:rPr>
          <w:rFonts w:ascii="Times New Roman" w:hAnsi="Times New Roman"/>
          <w:szCs w:val="22"/>
        </w:rPr>
      </w:pPr>
      <w:r>
        <w:rPr>
          <w:rFonts w:hint="eastAsia" w:ascii="Times New Roman" w:hAnsi="Times New Roman"/>
          <w:szCs w:val="22"/>
        </w:rPr>
        <w:t>⑨废弃泥浆能回收的尽量回收，或经处理后使用。对于含复杂化合物的钻井液必须进行处理，然后固化处理；</w:t>
      </w:r>
    </w:p>
    <w:p>
      <w:pPr>
        <w:ind w:firstLine="480"/>
        <w:jc w:val="left"/>
        <w:rPr>
          <w:rFonts w:ascii="Times New Roman" w:hAnsi="Times New Roman"/>
          <w:szCs w:val="22"/>
        </w:rPr>
      </w:pPr>
      <w:r>
        <w:rPr>
          <w:rFonts w:hint="eastAsia" w:ascii="Times New Roman" w:hAnsi="Times New Roman"/>
          <w:szCs w:val="22"/>
        </w:rPr>
        <w:t>⑩加强套管的防腐工作，防止在运输、下套管等作业时对外表面防护层的磨损及套管与钻柱之间的内磨损；</w:t>
      </w:r>
    </w:p>
    <w:p>
      <w:pPr>
        <w:ind w:firstLine="480"/>
        <w:jc w:val="left"/>
        <w:rPr>
          <w:rFonts w:ascii="Times New Roman" w:hAnsi="Times New Roman"/>
          <w:szCs w:val="22"/>
        </w:rPr>
      </w:pPr>
      <w:r>
        <w:rPr>
          <w:rFonts w:ascii="Times New Roman" w:hAnsi="Times New Roman"/>
          <w:szCs w:val="22"/>
        </w:rPr>
        <w:fldChar w:fldCharType="begin"/>
      </w:r>
      <w:r>
        <w:rPr>
          <w:rFonts w:ascii="Times New Roman" w:hAnsi="Times New Roman"/>
          <w:szCs w:val="22"/>
        </w:rPr>
        <w:instrText xml:space="preserve"> </w:instrText>
      </w:r>
      <w:r>
        <w:rPr>
          <w:rFonts w:hint="eastAsia" w:ascii="Times New Roman" w:hAnsi="Times New Roman"/>
          <w:szCs w:val="22"/>
        </w:rPr>
        <w:instrText xml:space="preserve">eq \o\ac(○,</w:instrText>
      </w:r>
      <w:r>
        <w:rPr>
          <w:rFonts w:hint="eastAsia" w:ascii="Times New Roman" w:hAnsi="Times New Roman"/>
          <w:position w:val="2"/>
          <w:sz w:val="16"/>
          <w:szCs w:val="22"/>
        </w:rPr>
        <w:instrText xml:space="preserve">11</w:instrText>
      </w:r>
      <w:r>
        <w:rPr>
          <w:rFonts w:hint="eastAsia" w:ascii="Times New Roman" w:hAnsi="Times New Roman"/>
          <w:szCs w:val="22"/>
        </w:rPr>
        <w:instrText xml:space="preserve">)</w:instrText>
      </w:r>
      <w:r>
        <w:rPr>
          <w:rFonts w:ascii="Times New Roman" w:hAnsi="Times New Roman"/>
          <w:szCs w:val="22"/>
        </w:rPr>
        <w:fldChar w:fldCharType="end"/>
      </w:r>
      <w:r>
        <w:rPr>
          <w:rFonts w:hint="eastAsia" w:ascii="Times New Roman" w:hAnsi="Times New Roman"/>
          <w:szCs w:val="22"/>
        </w:rPr>
        <w:t>定期检查采气管线、污水管线，如发现管线有腐蚀或磨损等情况，应及时更换；提高计量精度，统计分析进入、排出量，并进行合理分析，一旦发现异常，应准确判断问题原因，迅速排查解决，确保管线内污废水及水汽保量运输到指定地点；</w:t>
      </w:r>
    </w:p>
    <w:p>
      <w:pPr>
        <w:ind w:firstLine="480"/>
        <w:jc w:val="left"/>
        <w:rPr>
          <w:rFonts w:ascii="Times New Roman" w:hAnsi="Times New Roman"/>
          <w:szCs w:val="22"/>
        </w:rPr>
      </w:pPr>
      <w:r>
        <w:rPr>
          <w:rFonts w:ascii="Times New Roman" w:hAnsi="Times New Roman"/>
          <w:szCs w:val="22"/>
        </w:rPr>
        <w:fldChar w:fldCharType="begin"/>
      </w:r>
      <w:r>
        <w:rPr>
          <w:rFonts w:ascii="Times New Roman" w:hAnsi="Times New Roman"/>
          <w:szCs w:val="22"/>
        </w:rPr>
        <w:instrText xml:space="preserve"> </w:instrText>
      </w:r>
      <w:r>
        <w:rPr>
          <w:rFonts w:hint="eastAsia" w:ascii="Times New Roman" w:hAnsi="Times New Roman"/>
          <w:szCs w:val="22"/>
        </w:rPr>
        <w:instrText xml:space="preserve">eq \o\ac(○,</w:instrText>
      </w:r>
      <w:r>
        <w:rPr>
          <w:rFonts w:hint="eastAsia" w:ascii="Times New Roman" w:hAnsi="Times New Roman"/>
          <w:position w:val="2"/>
          <w:sz w:val="16"/>
          <w:szCs w:val="22"/>
        </w:rPr>
        <w:instrText xml:space="preserve">12</w:instrText>
      </w:r>
      <w:r>
        <w:rPr>
          <w:rFonts w:hint="eastAsia" w:ascii="Times New Roman" w:hAnsi="Times New Roman"/>
          <w:szCs w:val="22"/>
        </w:rPr>
        <w:instrText xml:space="preserve">)</w:instrText>
      </w:r>
      <w:r>
        <w:rPr>
          <w:rFonts w:ascii="Times New Roman" w:hAnsi="Times New Roman"/>
          <w:szCs w:val="22"/>
        </w:rPr>
        <w:fldChar w:fldCharType="end"/>
      </w:r>
      <w:r>
        <w:rPr>
          <w:rFonts w:hint="eastAsia" w:ascii="Times New Roman" w:hAnsi="Times New Roman"/>
          <w:szCs w:val="22"/>
        </w:rPr>
        <w:t>在用罐车拉运废水时，一定做到专车专用。定期检查罐车的密封性，杜绝罐车敞口运输。修筑罐车运输道路，将道路硬化。</w:t>
      </w:r>
    </w:p>
    <w:p>
      <w:pPr>
        <w:ind w:firstLine="480"/>
        <w:jc w:val="left"/>
        <w:rPr>
          <w:rFonts w:ascii="Times New Roman" w:hAnsi="Times New Roman"/>
          <w:szCs w:val="22"/>
        </w:rPr>
      </w:pPr>
      <w:r>
        <w:rPr>
          <w:rFonts w:hint="eastAsia" w:ascii="Times New Roman" w:hAnsi="Times New Roman"/>
          <w:szCs w:val="22"/>
        </w:rPr>
        <w:t>通过以上措施，将污染物跑、冒、漏、滴的现象降到最低。</w:t>
      </w:r>
    </w:p>
    <w:p>
      <w:pPr>
        <w:ind w:firstLine="0" w:firstLineChars="0"/>
        <w:rPr>
          <w:rFonts w:ascii="Times New Roman" w:hAnsi="Times New Roman"/>
          <w:szCs w:val="22"/>
        </w:rPr>
      </w:pPr>
      <w:r>
        <w:rPr>
          <w:rFonts w:hint="eastAsia" w:ascii="Times New Roman" w:hAnsi="Times New Roman"/>
          <w:szCs w:val="22"/>
        </w:rPr>
        <w:t xml:space="preserve">    （2）分区防控措施</w:t>
      </w:r>
    </w:p>
    <w:p>
      <w:pPr>
        <w:ind w:firstLine="480"/>
        <w:jc w:val="left"/>
        <w:rPr>
          <w:rFonts w:ascii="Times New Roman" w:hAnsi="Times New Roman"/>
          <w:szCs w:val="22"/>
        </w:rPr>
      </w:pPr>
      <w:r>
        <w:rPr>
          <w:rFonts w:hint="eastAsia" w:ascii="Times New Roman" w:hAnsi="Times New Roman"/>
          <w:szCs w:val="22"/>
        </w:rPr>
        <w:t>本项目为煤成气开采项目，开发区域面积大，污染点源分散。为防止在施工期及运营期项目对地下水环境的影响，依据地下水环境敏感程度、含水层易污染特征以及包气带防污性能来判定是否需要防渗，具体依据参考《石油化工工程防渗技术规范》（</w:t>
      </w:r>
      <w:r>
        <w:rPr>
          <w:rFonts w:ascii="Times New Roman" w:hAnsi="Times New Roman"/>
          <w:szCs w:val="22"/>
        </w:rPr>
        <w:t>GBT50934-2013</w:t>
      </w:r>
      <w:r>
        <w:rPr>
          <w:rFonts w:hint="eastAsia" w:ascii="Times New Roman" w:hAnsi="Times New Roman"/>
          <w:szCs w:val="22"/>
        </w:rPr>
        <w:t>），判定结果见表</w:t>
      </w:r>
      <w:r>
        <w:rPr>
          <w:rFonts w:ascii="Times New Roman" w:hAnsi="Times New Roman"/>
          <w:szCs w:val="22"/>
        </w:rPr>
        <w:t>6.2</w:t>
      </w:r>
      <w:r>
        <w:rPr>
          <w:rFonts w:hint="eastAsia" w:ascii="Times New Roman" w:hAnsi="Times New Roman"/>
          <w:szCs w:val="22"/>
        </w:rPr>
        <w:t>-2。各建设场地污染防渗分区参考《环境影响评价技术导则—地下水环境》（HJ-610-2016）中地下水污染防渗分区参照表，分区结果见表</w:t>
      </w:r>
      <w:r>
        <w:rPr>
          <w:rFonts w:ascii="Times New Roman" w:hAnsi="Times New Roman"/>
          <w:szCs w:val="22"/>
        </w:rPr>
        <w:t>6.2</w:t>
      </w:r>
      <w:r>
        <w:rPr>
          <w:rFonts w:hint="eastAsia" w:ascii="Times New Roman" w:hAnsi="Times New Roman"/>
          <w:szCs w:val="22"/>
        </w:rPr>
        <w:t>-3。</w:t>
      </w:r>
    </w:p>
    <w:p>
      <w:pPr>
        <w:spacing w:line="500" w:lineRule="exact"/>
        <w:ind w:left="397"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 xml:space="preserve">6.2-2  </w:t>
      </w:r>
      <w:r>
        <w:rPr>
          <w:rFonts w:hint="eastAsia" w:ascii="Times New Roman" w:hAnsi="Times New Roman"/>
          <w:b/>
          <w:sz w:val="21"/>
        </w:rPr>
        <w:t>各建设项目场地防渗判定结果表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8"/>
        <w:gridCol w:w="1747"/>
        <w:gridCol w:w="1612"/>
        <w:gridCol w:w="1747"/>
        <w:gridCol w:w="1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建设项目场地</w:t>
            </w:r>
          </w:p>
        </w:tc>
        <w:tc>
          <w:tcPr>
            <w:tcW w:w="102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地下水环境</w:t>
            </w:r>
          </w:p>
          <w:p>
            <w:pPr>
              <w:spacing w:line="240" w:lineRule="auto"/>
              <w:ind w:firstLine="0" w:firstLineChars="0"/>
              <w:jc w:val="center"/>
              <w:rPr>
                <w:rFonts w:ascii="Times New Roman" w:hAnsi="Times New Roman"/>
                <w:sz w:val="21"/>
              </w:rPr>
            </w:pPr>
            <w:r>
              <w:rPr>
                <w:rFonts w:hint="eastAsia" w:ascii="Times New Roman" w:hAnsi="Times New Roman"/>
                <w:sz w:val="21"/>
              </w:rPr>
              <w:t>敏感程度</w:t>
            </w:r>
          </w:p>
        </w:tc>
        <w:tc>
          <w:tcPr>
            <w:tcW w:w="9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含水层</w:t>
            </w:r>
          </w:p>
          <w:p>
            <w:pPr>
              <w:spacing w:line="240" w:lineRule="auto"/>
              <w:ind w:firstLine="0" w:firstLineChars="0"/>
              <w:jc w:val="center"/>
              <w:rPr>
                <w:rFonts w:ascii="Times New Roman" w:hAnsi="Times New Roman"/>
                <w:sz w:val="21"/>
              </w:rPr>
            </w:pPr>
            <w:r>
              <w:rPr>
                <w:rFonts w:hint="eastAsia" w:ascii="Times New Roman" w:hAnsi="Times New Roman"/>
                <w:sz w:val="21"/>
              </w:rPr>
              <w:t>易污染特征</w:t>
            </w:r>
          </w:p>
        </w:tc>
        <w:tc>
          <w:tcPr>
            <w:tcW w:w="102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包气带</w:t>
            </w:r>
          </w:p>
          <w:p>
            <w:pPr>
              <w:spacing w:line="240" w:lineRule="auto"/>
              <w:ind w:firstLine="0" w:firstLineChars="0"/>
              <w:jc w:val="center"/>
              <w:rPr>
                <w:rFonts w:ascii="Times New Roman" w:hAnsi="Times New Roman"/>
                <w:sz w:val="21"/>
              </w:rPr>
            </w:pPr>
            <w:r>
              <w:rPr>
                <w:rFonts w:hint="eastAsia" w:ascii="Times New Roman" w:hAnsi="Times New Roman"/>
                <w:sz w:val="21"/>
              </w:rPr>
              <w:t>防污性能</w:t>
            </w:r>
          </w:p>
        </w:tc>
        <w:tc>
          <w:tcPr>
            <w:tcW w:w="9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防渗判定结果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LX-101</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LX-102</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LX-103</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LX-104</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LX-105</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中</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中</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LX-106</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ascii="Times New Roman" w:hAnsi="Times New Roman"/>
                <w:sz w:val="21"/>
              </w:rPr>
              <w:t>LX-4</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集气站</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办公生活区</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采气管线</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污水管线</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注醇管线</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较敏感</w:t>
            </w:r>
          </w:p>
        </w:tc>
        <w:tc>
          <w:tcPr>
            <w:tcW w:w="94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024"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925"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sz w:val="21"/>
              </w:rPr>
            </w:pPr>
            <w:r>
              <w:rPr>
                <w:rFonts w:hint="eastAsia" w:ascii="Times New Roman" w:hAnsi="Times New Roman"/>
                <w:sz w:val="21"/>
              </w:rPr>
              <w:t>需要防渗</w:t>
            </w:r>
          </w:p>
        </w:tc>
      </w:tr>
    </w:tbl>
    <w:p>
      <w:pPr>
        <w:spacing w:line="500" w:lineRule="exact"/>
        <w:ind w:left="397"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 xml:space="preserve">6.2-3  </w:t>
      </w:r>
      <w:r>
        <w:rPr>
          <w:rFonts w:hint="eastAsia" w:ascii="Times New Roman" w:hAnsi="Times New Roman"/>
          <w:b/>
          <w:sz w:val="21"/>
        </w:rPr>
        <w:t>各建设场地污染防渗分区表</w:t>
      </w:r>
    </w:p>
    <w:tbl>
      <w:tblPr>
        <w:tblStyle w:val="18"/>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701"/>
        <w:gridCol w:w="1276"/>
        <w:gridCol w:w="1276"/>
        <w:gridCol w:w="1276"/>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建设项目场地</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包气带</w:t>
            </w:r>
          </w:p>
          <w:p>
            <w:pPr>
              <w:spacing w:line="240" w:lineRule="auto"/>
              <w:ind w:firstLine="0" w:firstLineChars="0"/>
              <w:jc w:val="center"/>
              <w:rPr>
                <w:rFonts w:ascii="Times New Roman" w:hAnsi="Times New Roman"/>
                <w:sz w:val="21"/>
              </w:rPr>
            </w:pPr>
            <w:r>
              <w:rPr>
                <w:rFonts w:hint="eastAsia" w:ascii="Times New Roman" w:hAnsi="Times New Roman"/>
                <w:sz w:val="21"/>
              </w:rPr>
              <w:t>防污性能</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污染控制</w:t>
            </w:r>
          </w:p>
          <w:p>
            <w:pPr>
              <w:spacing w:line="240" w:lineRule="auto"/>
              <w:ind w:firstLine="0" w:firstLineChars="0"/>
              <w:jc w:val="center"/>
              <w:rPr>
                <w:rFonts w:ascii="Times New Roman" w:hAnsi="Times New Roman"/>
                <w:sz w:val="21"/>
              </w:rPr>
            </w:pPr>
            <w:r>
              <w:rPr>
                <w:rFonts w:hint="eastAsia" w:ascii="Times New Roman" w:hAnsi="Times New Roman"/>
                <w:sz w:val="21"/>
              </w:rPr>
              <w:t>难易程度</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污染物类型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污染防治区</w:t>
            </w:r>
          </w:p>
          <w:p>
            <w:pPr>
              <w:spacing w:line="240" w:lineRule="auto"/>
              <w:ind w:firstLine="0" w:firstLineChars="0"/>
              <w:jc w:val="center"/>
              <w:rPr>
                <w:rFonts w:ascii="Times New Roman" w:hAnsi="Times New Roman"/>
                <w:sz w:val="21"/>
              </w:rPr>
            </w:pPr>
            <w:r>
              <w:rPr>
                <w:rFonts w:hint="eastAsia" w:ascii="Times New Roman" w:hAnsi="Times New Roman"/>
                <w:sz w:val="21"/>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LX-101</w:t>
            </w:r>
            <w:r>
              <w:rPr>
                <w:rFonts w:hint="eastAsia" w:ascii="Times New Roman" w:hAnsi="Times New Roman"/>
                <w:sz w:val="21"/>
              </w:rPr>
              <w:t>、</w:t>
            </w:r>
            <w:r>
              <w:rPr>
                <w:rFonts w:ascii="Times New Roman" w:hAnsi="Times New Roman"/>
                <w:sz w:val="21"/>
              </w:rPr>
              <w:t>LX-102</w:t>
            </w:r>
            <w:r>
              <w:rPr>
                <w:rFonts w:hint="eastAsia" w:ascii="Times New Roman" w:hAnsi="Times New Roman"/>
                <w:sz w:val="21"/>
              </w:rPr>
              <w:t>、</w:t>
            </w:r>
            <w:r>
              <w:rPr>
                <w:rFonts w:ascii="Times New Roman" w:hAnsi="Times New Roman"/>
                <w:sz w:val="21"/>
              </w:rPr>
              <w:t>LX-103</w:t>
            </w:r>
            <w:r>
              <w:rPr>
                <w:rFonts w:hint="eastAsia" w:ascii="Times New Roman" w:hAnsi="Times New Roman"/>
                <w:sz w:val="21"/>
              </w:rPr>
              <w:t>、</w:t>
            </w:r>
            <w:r>
              <w:rPr>
                <w:rFonts w:ascii="Times New Roman" w:hAnsi="Times New Roman"/>
                <w:sz w:val="21"/>
              </w:rPr>
              <w:t>LX-104</w:t>
            </w:r>
            <w:r>
              <w:rPr>
                <w:rFonts w:hint="eastAsia" w:ascii="Times New Roman" w:hAnsi="Times New Roman"/>
                <w:sz w:val="21"/>
              </w:rPr>
              <w:t>、</w:t>
            </w:r>
            <w:r>
              <w:rPr>
                <w:rFonts w:ascii="Times New Roman" w:hAnsi="Times New Roman"/>
                <w:sz w:val="21"/>
              </w:rPr>
              <w:t>LX-105</w:t>
            </w:r>
            <w:r>
              <w:rPr>
                <w:rFonts w:hint="eastAsia" w:ascii="Times New Roman" w:hAnsi="Times New Roman"/>
                <w:sz w:val="21"/>
              </w:rPr>
              <w:t>、</w:t>
            </w:r>
            <w:r>
              <w:rPr>
                <w:rFonts w:ascii="Times New Roman" w:hAnsi="Times New Roman"/>
                <w:sz w:val="21"/>
              </w:rPr>
              <w:t>LX-106</w:t>
            </w:r>
            <w:r>
              <w:rPr>
                <w:rFonts w:hint="eastAsia" w:ascii="Times New Roman" w:hAnsi="Times New Roman"/>
                <w:sz w:val="21"/>
              </w:rPr>
              <w:t>、</w:t>
            </w:r>
            <w:r>
              <w:rPr>
                <w:rFonts w:ascii="Times New Roman" w:hAnsi="Times New Roman"/>
                <w:sz w:val="21"/>
              </w:rPr>
              <w:t>LX-4</w:t>
            </w: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泥浆池</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弱—中</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压裂液储罐</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弱—中</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rFonts w:ascii="Times New Roman" w:hAnsi="Times New Roman"/>
                <w:sz w:val="21"/>
              </w:rPr>
            </w:pP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生活垃圾池</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弱—中</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rPr>
            </w:pPr>
            <w:r>
              <w:rPr>
                <w:rFonts w:hint="eastAsia"/>
                <w:sz w:val="21"/>
              </w:rPr>
              <w:t>集气站</w:t>
            </w: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生活垃圾池</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tLeast"/>
              <w:ind w:firstLine="420"/>
              <w:rPr>
                <w:sz w:val="21"/>
              </w:rPr>
            </w:pP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闭排罐</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tcBorders>
              <w:top w:val="single" w:color="auto" w:sz="4" w:space="0"/>
              <w:left w:val="single" w:color="auto" w:sz="4" w:space="0"/>
              <w:bottom w:val="single" w:color="auto" w:sz="4" w:space="0"/>
              <w:right w:val="single" w:color="auto" w:sz="4" w:space="0"/>
            </w:tcBorders>
            <w:vAlign w:val="center"/>
          </w:tcPr>
          <w:p>
            <w:pPr>
              <w:ind w:firstLine="420"/>
              <w:jc w:val="center"/>
              <w:rPr>
                <w:sz w:val="21"/>
              </w:rPr>
            </w:pPr>
            <w:r>
              <w:rPr>
                <w:rFonts w:hint="eastAsia"/>
                <w:sz w:val="21"/>
              </w:rPr>
              <w:t>办公生活区</w:t>
            </w:r>
          </w:p>
        </w:tc>
        <w:tc>
          <w:tcPr>
            <w:tcW w:w="17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生活污水处理站</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净化废水处理站</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蒸发废水处理站</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中</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难</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采气管线</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污水管线</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注醇管线（净化处理站废水至蒸发处理站管线）</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各井场、工业场地内的管线（地面以上）</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弱—中</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易</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其他类型</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简单防渗区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备注</w:t>
            </w:r>
          </w:p>
        </w:tc>
        <w:tc>
          <w:tcPr>
            <w:tcW w:w="5245" w:type="dxa"/>
            <w:gridSpan w:val="4"/>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各井场包气带防污性能除</w:t>
            </w:r>
            <w:r>
              <w:rPr>
                <w:rFonts w:ascii="Times New Roman" w:hAnsi="Times New Roman"/>
                <w:sz w:val="21"/>
              </w:rPr>
              <w:t>LX-105</w:t>
            </w:r>
            <w:r>
              <w:rPr>
                <w:rFonts w:hint="eastAsia" w:ascii="Times New Roman" w:hAnsi="Times New Roman"/>
                <w:sz w:val="21"/>
              </w:rPr>
              <w:t>为中外，其余均为弱</w:t>
            </w:r>
          </w:p>
        </w:tc>
      </w:tr>
    </w:tbl>
    <w:p>
      <w:pPr>
        <w:spacing w:before="240"/>
        <w:ind w:firstLine="480"/>
        <w:jc w:val="left"/>
        <w:rPr>
          <w:rFonts w:ascii="Times New Roman" w:hAnsi="Times New Roman"/>
          <w:szCs w:val="22"/>
        </w:rPr>
      </w:pPr>
      <w:r>
        <w:rPr>
          <w:rFonts w:hint="eastAsia" w:ascii="Times New Roman" w:hAnsi="Times New Roman"/>
          <w:szCs w:val="22"/>
        </w:rPr>
        <w:t>依据表</w:t>
      </w:r>
      <w:r>
        <w:rPr>
          <w:rFonts w:ascii="Times New Roman" w:hAnsi="Times New Roman"/>
          <w:szCs w:val="22"/>
        </w:rPr>
        <w:t>6.2</w:t>
      </w:r>
      <w:r>
        <w:rPr>
          <w:rFonts w:hint="eastAsia" w:ascii="Times New Roman" w:hAnsi="Times New Roman"/>
          <w:szCs w:val="22"/>
        </w:rPr>
        <w:t>-3中对各建设场地污染防渗分区结果，建设项目各敏感场地污染防渗分区均为一般防渗区。参照地下水环境影响评价导则中对一般防渗区防渗技术要求：</w:t>
      </w:r>
    </w:p>
    <w:p>
      <w:pPr>
        <w:numPr>
          <w:ilvl w:val="0"/>
          <w:numId w:val="2"/>
        </w:numPr>
        <w:ind w:firstLineChars="0"/>
        <w:jc w:val="left"/>
        <w:rPr>
          <w:rFonts w:ascii="Times New Roman" w:hAnsi="Times New Roman"/>
          <w:szCs w:val="22"/>
        </w:rPr>
      </w:pPr>
      <w:r>
        <w:rPr>
          <w:rFonts w:hint="eastAsia" w:ascii="Times New Roman" w:hAnsi="Times New Roman"/>
          <w:szCs w:val="22"/>
        </w:rPr>
        <w:t>防渗材料应等效黏土防渗层Mb≥1.5m；</w:t>
      </w:r>
    </w:p>
    <w:p>
      <w:pPr>
        <w:numPr>
          <w:ilvl w:val="0"/>
          <w:numId w:val="2"/>
        </w:numPr>
        <w:ind w:firstLineChars="0"/>
        <w:jc w:val="left"/>
        <w:rPr>
          <w:rFonts w:ascii="Times New Roman" w:hAnsi="Times New Roman"/>
          <w:szCs w:val="22"/>
        </w:rPr>
      </w:pPr>
      <w:r>
        <w:rPr>
          <w:rFonts w:hint="eastAsia" w:ascii="Times New Roman" w:hAnsi="Times New Roman"/>
          <w:szCs w:val="22"/>
        </w:rPr>
        <w:t>防渗材料的垂向渗透系数K≤10</w:t>
      </w:r>
      <w:r>
        <w:rPr>
          <w:rFonts w:hint="eastAsia" w:ascii="Times New Roman" w:hAnsi="Times New Roman"/>
          <w:szCs w:val="22"/>
          <w:vertAlign w:val="superscript"/>
        </w:rPr>
        <w:t>-7</w:t>
      </w:r>
      <w:r>
        <w:rPr>
          <w:rFonts w:hint="eastAsia" w:ascii="Times New Roman" w:hAnsi="Times New Roman"/>
          <w:szCs w:val="22"/>
        </w:rPr>
        <w:t>cm/s。</w:t>
      </w:r>
    </w:p>
    <w:p>
      <w:pPr>
        <w:ind w:firstLine="480"/>
        <w:jc w:val="left"/>
      </w:pPr>
      <w:r>
        <w:rPr>
          <w:rFonts w:hint="eastAsia" w:ascii="Times New Roman" w:hAnsi="Times New Roman"/>
          <w:szCs w:val="22"/>
        </w:rPr>
        <w:t>对于各井场、集气站工业场地内的管线，由于位于地面之上，容易控制便于检查和处理，设置为简单防渗区，做一般地面硬化即可。</w:t>
      </w:r>
    </w:p>
    <w:p>
      <w:pPr>
        <w:ind w:firstLine="0" w:firstLineChars="0"/>
        <w:rPr>
          <w:rFonts w:ascii="Times New Roman" w:hAnsi="Times New Roman"/>
          <w:b/>
          <w:szCs w:val="24"/>
        </w:rPr>
      </w:pPr>
      <w:r>
        <w:rPr>
          <w:rFonts w:ascii="Times New Roman" w:hAnsi="Times New Roman"/>
          <w:b/>
          <w:szCs w:val="24"/>
        </w:rPr>
        <w:t>6.2.3.</w:t>
      </w:r>
      <w:r>
        <w:rPr>
          <w:rFonts w:hint="eastAsia" w:ascii="Times New Roman" w:hAnsi="Times New Roman"/>
          <w:b/>
          <w:szCs w:val="24"/>
        </w:rPr>
        <w:t>2 保护防治措施的经济技术可行性分析</w:t>
      </w:r>
    </w:p>
    <w:p>
      <w:pPr>
        <w:ind w:firstLine="480"/>
        <w:rPr>
          <w:rFonts w:ascii="Times New Roman" w:hAnsi="Times New Roman"/>
          <w:szCs w:val="22"/>
        </w:rPr>
      </w:pPr>
      <w:r>
        <w:rPr>
          <w:rFonts w:hint="eastAsia" w:ascii="Times New Roman" w:hAnsi="Times New Roman"/>
          <w:szCs w:val="22"/>
        </w:rPr>
        <w:t>本评价中提出的保护对策措施，是以本区的水文地质条件为基础，同时考虑了对策措施的可行性，地下水环境污染防治工作是项目的重点工作之一。</w:t>
      </w:r>
    </w:p>
    <w:p>
      <w:pPr>
        <w:ind w:firstLine="480"/>
        <w:rPr>
          <w:rFonts w:ascii="Times New Roman" w:hAnsi="Times New Roman"/>
          <w:szCs w:val="22"/>
        </w:rPr>
      </w:pPr>
      <w:r>
        <w:rPr>
          <w:rFonts w:hint="eastAsia" w:ascii="Times New Roman" w:hAnsi="Times New Roman"/>
          <w:szCs w:val="22"/>
        </w:rPr>
        <w:t>本次评价提出的地下水保护措施技术上是可行的，经济上是合理的，只要项目建成后，业主认真履行其承担的环保责任，遵循“源头控制、分区防控、污染监控、应急响应”的原则去落实相关的环保防治污染措施，本项目在技术经济上是完全可行的。</w:t>
      </w:r>
    </w:p>
    <w:p>
      <w:pPr>
        <w:ind w:firstLine="0" w:firstLineChars="0"/>
        <w:outlineLvl w:val="2"/>
        <w:rPr>
          <w:rFonts w:ascii="Times New Roman" w:hAnsi="Times New Roman"/>
          <w:szCs w:val="24"/>
        </w:rPr>
      </w:pPr>
      <w:bookmarkStart w:id="119" w:name="_Toc524624646"/>
      <w:r>
        <w:rPr>
          <w:rFonts w:hint="eastAsia" w:ascii="Times New Roman" w:hAnsi="Times New Roman"/>
          <w:b/>
          <w:sz w:val="28"/>
          <w:szCs w:val="28"/>
        </w:rPr>
        <w:t>6.2.4 运营期噪声污染防治措施</w:t>
      </w:r>
      <w:bookmarkEnd w:id="119"/>
    </w:p>
    <w:p>
      <w:pPr>
        <w:ind w:firstLine="480"/>
        <w:rPr>
          <w:rFonts w:ascii="Times New Roman" w:hAnsi="Times New Roman"/>
          <w:szCs w:val="24"/>
        </w:rPr>
      </w:pPr>
      <w:r>
        <w:rPr>
          <w:rFonts w:hint="eastAsia" w:ascii="Times New Roman" w:hAnsi="Times New Roman"/>
          <w:szCs w:val="24"/>
        </w:rPr>
        <w:t>（1）合理布置噪声源，在压缩机等强噪声源周围布置隔声板，并在外围植树绿化；</w:t>
      </w:r>
    </w:p>
    <w:p>
      <w:pPr>
        <w:ind w:firstLine="480"/>
        <w:rPr>
          <w:rFonts w:ascii="Times New Roman" w:hAnsi="Times New Roman"/>
          <w:szCs w:val="24"/>
        </w:rPr>
      </w:pPr>
      <w:r>
        <w:rPr>
          <w:rFonts w:hint="eastAsia" w:ascii="Times New Roman" w:hAnsi="Times New Roman"/>
          <w:szCs w:val="24"/>
        </w:rPr>
        <w:t>（2）选择低噪声设备，设备设有减振基础并采用消声措施；</w:t>
      </w:r>
    </w:p>
    <w:p>
      <w:pPr>
        <w:ind w:firstLine="480"/>
        <w:rPr>
          <w:rFonts w:ascii="Times New Roman" w:hAnsi="Times New Roman"/>
          <w:szCs w:val="24"/>
        </w:rPr>
      </w:pPr>
      <w:r>
        <w:rPr>
          <w:rFonts w:hint="eastAsia" w:ascii="Times New Roman" w:hAnsi="Times New Roman"/>
          <w:szCs w:val="24"/>
        </w:rPr>
        <w:t>（3）设备与管道之间的连接采用柔性连接，以减少噪声和振动的传递。</w:t>
      </w:r>
    </w:p>
    <w:p>
      <w:pPr>
        <w:ind w:firstLine="0" w:firstLineChars="0"/>
        <w:outlineLvl w:val="2"/>
        <w:rPr>
          <w:rFonts w:ascii="Times New Roman" w:hAnsi="Times New Roman"/>
          <w:b/>
          <w:sz w:val="28"/>
          <w:szCs w:val="28"/>
        </w:rPr>
      </w:pPr>
      <w:bookmarkStart w:id="120" w:name="_Toc524624647"/>
      <w:r>
        <w:rPr>
          <w:rFonts w:hint="eastAsia" w:ascii="Times New Roman" w:hAnsi="Times New Roman"/>
          <w:b/>
          <w:sz w:val="28"/>
          <w:szCs w:val="28"/>
        </w:rPr>
        <w:t>6.2.5 运营期固体废物污染防治措施</w:t>
      </w:r>
      <w:bookmarkEnd w:id="120"/>
    </w:p>
    <w:p>
      <w:pPr>
        <w:ind w:firstLine="480"/>
        <w:rPr>
          <w:rFonts w:ascii="Times New Roman" w:hAnsi="Times New Roman"/>
          <w:szCs w:val="24"/>
        </w:rPr>
      </w:pPr>
      <w:r>
        <w:rPr>
          <w:szCs w:val="24"/>
        </w:rPr>
        <w:t>本项目运营期固体废物主要为</w:t>
      </w:r>
      <w:r>
        <w:rPr>
          <w:rFonts w:hint="eastAsia"/>
          <w:szCs w:val="24"/>
        </w:rPr>
        <w:t>集气站分离撬</w:t>
      </w:r>
      <w:r>
        <w:rPr>
          <w:szCs w:val="24"/>
        </w:rPr>
        <w:t>分离出的</w:t>
      </w:r>
      <w:r>
        <w:rPr>
          <w:rFonts w:hint="eastAsia"/>
          <w:szCs w:val="24"/>
        </w:rPr>
        <w:t>凝析油和</w:t>
      </w:r>
      <w:r>
        <w:rPr>
          <w:szCs w:val="24"/>
        </w:rPr>
        <w:t>废弃分子筛</w:t>
      </w:r>
      <w:r>
        <w:rPr>
          <w:rFonts w:hint="eastAsia"/>
          <w:szCs w:val="24"/>
        </w:rPr>
        <w:t>，采出</w:t>
      </w:r>
      <w:r>
        <w:rPr>
          <w:szCs w:val="24"/>
        </w:rPr>
        <w:t>废水处理站</w:t>
      </w:r>
      <w:r>
        <w:rPr>
          <w:rFonts w:hint="eastAsia"/>
          <w:szCs w:val="24"/>
        </w:rPr>
        <w:t>产生的干化污泥和废盐，办公生活区生活污水处理站污泥和</w:t>
      </w:r>
      <w:r>
        <w:rPr>
          <w:szCs w:val="24"/>
        </w:rPr>
        <w:t>职工生活垃圾。</w:t>
      </w:r>
    </w:p>
    <w:p>
      <w:pPr>
        <w:ind w:firstLine="480"/>
        <w:rPr>
          <w:rFonts w:ascii="Times New Roman" w:hAnsi="Times New Roman"/>
          <w:szCs w:val="24"/>
        </w:rPr>
      </w:pPr>
      <w:r>
        <w:rPr>
          <w:rFonts w:ascii="Times New Roman" w:hAnsi="Times New Roman"/>
          <w:szCs w:val="24"/>
        </w:rPr>
        <w:t>（1）</w:t>
      </w:r>
      <w:r>
        <w:rPr>
          <w:rFonts w:hint="eastAsia" w:ascii="Times New Roman" w:hAnsi="Times New Roman"/>
          <w:szCs w:val="24"/>
        </w:rPr>
        <w:t>凝析油</w:t>
      </w:r>
    </w:p>
    <w:p>
      <w:pPr>
        <w:ind w:firstLine="480"/>
        <w:rPr>
          <w:rFonts w:ascii="Times New Roman" w:hAnsi="Times New Roman"/>
          <w:szCs w:val="24"/>
        </w:rPr>
      </w:pPr>
      <w:r>
        <w:rPr>
          <w:rFonts w:ascii="Times New Roman" w:hAnsi="Times New Roman"/>
          <w:szCs w:val="24"/>
        </w:rPr>
        <w:t>煤成气中夹带有极少量的</w:t>
      </w:r>
      <w:r>
        <w:rPr>
          <w:rFonts w:hint="eastAsia" w:ascii="Times New Roman" w:hAnsi="Times New Roman"/>
          <w:szCs w:val="24"/>
        </w:rPr>
        <w:t>凝析油</w:t>
      </w:r>
      <w:r>
        <w:rPr>
          <w:rFonts w:ascii="Times New Roman" w:hAnsi="Times New Roman"/>
          <w:szCs w:val="24"/>
        </w:rPr>
        <w:t>，根据工程经验，每10万m</w:t>
      </w:r>
      <w:r>
        <w:rPr>
          <w:rFonts w:ascii="Times New Roman" w:hAnsi="Times New Roman"/>
          <w:szCs w:val="24"/>
          <w:vertAlign w:val="superscript"/>
        </w:rPr>
        <w:t>3</w:t>
      </w:r>
      <w:r>
        <w:rPr>
          <w:rFonts w:ascii="Times New Roman" w:hAnsi="Times New Roman"/>
          <w:szCs w:val="24"/>
        </w:rPr>
        <w:t>煤成气产生0.05m</w:t>
      </w:r>
      <w:r>
        <w:rPr>
          <w:rFonts w:ascii="Times New Roman" w:hAnsi="Times New Roman"/>
          <w:szCs w:val="24"/>
          <w:vertAlign w:val="superscript"/>
        </w:rPr>
        <w:t>3</w:t>
      </w:r>
      <w:r>
        <w:rPr>
          <w:rFonts w:hint="eastAsia" w:ascii="Times New Roman" w:hAnsi="Times New Roman"/>
          <w:szCs w:val="24"/>
        </w:rPr>
        <w:t>凝析油</w:t>
      </w:r>
      <w:r>
        <w:rPr>
          <w:rFonts w:ascii="Times New Roman" w:hAnsi="Times New Roman"/>
          <w:szCs w:val="24"/>
        </w:rPr>
        <w:t>，因此本项目</w:t>
      </w:r>
      <w:r>
        <w:rPr>
          <w:rFonts w:hint="eastAsia" w:ascii="Times New Roman" w:hAnsi="Times New Roman"/>
          <w:szCs w:val="24"/>
        </w:rPr>
        <w:t>凝析油</w:t>
      </w:r>
      <w:r>
        <w:rPr>
          <w:rFonts w:ascii="Times New Roman" w:hAnsi="Times New Roman"/>
          <w:szCs w:val="24"/>
        </w:rPr>
        <w:t>产生量为80m</w:t>
      </w:r>
      <w:r>
        <w:rPr>
          <w:rFonts w:ascii="Times New Roman" w:hAnsi="Times New Roman"/>
          <w:szCs w:val="24"/>
          <w:vertAlign w:val="superscript"/>
        </w:rPr>
        <w:t>3</w:t>
      </w:r>
      <w:r>
        <w:rPr>
          <w:rFonts w:ascii="Times New Roman" w:hAnsi="Times New Roman"/>
          <w:szCs w:val="24"/>
        </w:rPr>
        <w:t>/a</w:t>
      </w:r>
      <w:r>
        <w:rPr>
          <w:rFonts w:hint="eastAsia" w:ascii="Times New Roman" w:hAnsi="Times New Roman"/>
          <w:szCs w:val="24"/>
        </w:rPr>
        <w:t>，集气站达产后凝析油产生量为150</w:t>
      </w:r>
      <w:r>
        <w:rPr>
          <w:rFonts w:ascii="Times New Roman" w:hAnsi="Times New Roman"/>
          <w:szCs w:val="24"/>
        </w:rPr>
        <w:t xml:space="preserve"> m</w:t>
      </w:r>
      <w:r>
        <w:rPr>
          <w:rFonts w:ascii="Times New Roman" w:hAnsi="Times New Roman"/>
          <w:szCs w:val="24"/>
          <w:vertAlign w:val="superscript"/>
        </w:rPr>
        <w:t>3</w:t>
      </w:r>
      <w:r>
        <w:rPr>
          <w:rFonts w:ascii="Times New Roman" w:hAnsi="Times New Roman"/>
          <w:szCs w:val="24"/>
        </w:rPr>
        <w:t>/a。</w:t>
      </w:r>
      <w:r>
        <w:rPr>
          <w:rFonts w:hint="eastAsia" w:ascii="Times New Roman" w:hAnsi="Times New Roman"/>
          <w:szCs w:val="24"/>
        </w:rPr>
        <w:t>凝析油存于容积为30m</w:t>
      </w:r>
      <w:r>
        <w:rPr>
          <w:rFonts w:hint="eastAsia" w:ascii="Times New Roman" w:hAnsi="Times New Roman"/>
          <w:szCs w:val="24"/>
          <w:vertAlign w:val="superscript"/>
        </w:rPr>
        <w:t>3</w:t>
      </w:r>
      <w:r>
        <w:rPr>
          <w:rFonts w:hint="eastAsia" w:ascii="Times New Roman" w:hAnsi="Times New Roman"/>
          <w:szCs w:val="24"/>
        </w:rPr>
        <w:t>烃储罐内，烃储罐满后，定期交由广灵金隅水泥有限公司处置。</w:t>
      </w:r>
    </w:p>
    <w:p>
      <w:pPr>
        <w:ind w:firstLine="480"/>
        <w:rPr>
          <w:rFonts w:ascii="Times New Roman" w:hAnsi="Times New Roman"/>
          <w:szCs w:val="24"/>
        </w:rPr>
      </w:pPr>
      <w:r>
        <w:rPr>
          <w:rFonts w:ascii="Times New Roman" w:hAnsi="Times New Roman"/>
          <w:szCs w:val="24"/>
        </w:rPr>
        <w:t>（2）废弃分子筛</w:t>
      </w:r>
    </w:p>
    <w:p>
      <w:pPr>
        <w:ind w:firstLine="480"/>
        <w:rPr>
          <w:rFonts w:ascii="Times New Roman" w:hAnsi="Times New Roman"/>
          <w:szCs w:val="24"/>
        </w:rPr>
      </w:pPr>
      <w:r>
        <w:rPr>
          <w:rFonts w:ascii="Times New Roman" w:hAnsi="Times New Roman"/>
          <w:szCs w:val="24"/>
        </w:rPr>
        <w:t>分子筛定期更换，更换下来的分子筛由厂家回收处理后重复利用。</w:t>
      </w:r>
    </w:p>
    <w:p>
      <w:pPr>
        <w:ind w:firstLine="480"/>
        <w:rPr>
          <w:rFonts w:ascii="Times New Roman" w:hAnsi="Times New Roman"/>
          <w:szCs w:val="24"/>
        </w:rPr>
      </w:pPr>
      <w:r>
        <w:rPr>
          <w:rFonts w:hint="eastAsia" w:ascii="Times New Roman" w:hAnsi="Times New Roman"/>
          <w:szCs w:val="24"/>
        </w:rPr>
        <w:t>（3）废盐</w:t>
      </w:r>
    </w:p>
    <w:p>
      <w:pPr>
        <w:ind w:firstLine="480"/>
        <w:rPr>
          <w:rFonts w:ascii="Times New Roman" w:hAnsi="Times New Roman"/>
          <w:szCs w:val="24"/>
        </w:rPr>
      </w:pPr>
      <w:r>
        <w:rPr>
          <w:rFonts w:hint="eastAsia" w:ascii="Times New Roman" w:hAnsi="Times New Roman"/>
          <w:szCs w:val="24"/>
        </w:rPr>
        <w:t>净化后的生产废水经蒸发处理站处理后会产生废盐，根据生产废水中试处理试验，本项目废盐产生量为585t/a，废盐暂存于蒸发处理站的接水池内，定期交由广灵金隅水泥有限公司处置。</w:t>
      </w:r>
    </w:p>
    <w:p>
      <w:pPr>
        <w:ind w:firstLine="480"/>
        <w:rPr>
          <w:rFonts w:ascii="Times New Roman" w:hAnsi="Times New Roman"/>
          <w:szCs w:val="24"/>
        </w:rPr>
      </w:pPr>
      <w:r>
        <w:rPr>
          <w:rFonts w:hint="eastAsia" w:ascii="Times New Roman" w:hAnsi="Times New Roman"/>
          <w:szCs w:val="24"/>
        </w:rPr>
        <w:t>（4）生活污水处理站污泥</w:t>
      </w:r>
    </w:p>
    <w:p>
      <w:pPr>
        <w:ind w:firstLine="480"/>
        <w:rPr>
          <w:rFonts w:ascii="Times New Roman" w:hAnsi="Times New Roman"/>
          <w:szCs w:val="24"/>
        </w:rPr>
      </w:pPr>
      <w:r>
        <w:rPr>
          <w:rFonts w:hint="eastAsia" w:ascii="Times New Roman" w:hAnsi="Times New Roman"/>
          <w:szCs w:val="24"/>
        </w:rPr>
        <w:t>根据工程分析，生活污水中</w:t>
      </w:r>
      <w:r>
        <w:rPr>
          <w:rFonts w:ascii="Times New Roman" w:hAnsi="Times New Roman"/>
          <w:szCs w:val="24"/>
        </w:rPr>
        <w:t>SS</w:t>
      </w:r>
      <w:r>
        <w:rPr>
          <w:rFonts w:hint="eastAsia" w:ascii="Times New Roman" w:hAnsi="Times New Roman"/>
          <w:szCs w:val="24"/>
        </w:rPr>
        <w:t>约1.6764</w:t>
      </w:r>
      <w:r>
        <w:rPr>
          <w:rFonts w:ascii="Times New Roman" w:hAnsi="Times New Roman"/>
          <w:szCs w:val="24"/>
        </w:rPr>
        <w:t>t/a</w:t>
      </w:r>
      <w:r>
        <w:rPr>
          <w:rFonts w:hint="eastAsia" w:ascii="Times New Roman" w:hAnsi="Times New Roman"/>
          <w:szCs w:val="24"/>
        </w:rPr>
        <w:t>（SS250mg/l），废水处理产生污泥量按SS产生量的90%计，则污泥产生量约1.51t/a，污泥收集后作为一般固废定期送填埋场处理。</w:t>
      </w:r>
    </w:p>
    <w:p>
      <w:pPr>
        <w:ind w:firstLine="480"/>
        <w:rPr>
          <w:rFonts w:ascii="Times New Roman" w:hAnsi="Times New Roman"/>
          <w:szCs w:val="24"/>
        </w:rPr>
      </w:pPr>
      <w:r>
        <w:rPr>
          <w:rFonts w:hint="eastAsia" w:ascii="Times New Roman" w:hAnsi="Times New Roman"/>
          <w:szCs w:val="24"/>
        </w:rPr>
        <w:t>（5）干化池污泥</w:t>
      </w:r>
    </w:p>
    <w:p>
      <w:pPr>
        <w:ind w:firstLine="480"/>
        <w:rPr>
          <w:rFonts w:ascii="Times New Roman" w:hAnsi="Times New Roman"/>
          <w:szCs w:val="24"/>
        </w:rPr>
      </w:pPr>
      <w:r>
        <w:rPr>
          <w:rFonts w:hint="eastAsia" w:ascii="Times New Roman" w:hAnsi="Times New Roman"/>
          <w:szCs w:val="24"/>
        </w:rPr>
        <w:t>根据项目模拟实验，1吨采出水净化处理站经干化池处理后，产生的污泥约0.37kg，则本项目净化处理站干化池污泥产生量约为5.92t/a，这部分污泥含油极少量的凝析油，因为作为危险废物定期交由广灵金隅水泥有限公司收集处置。</w:t>
      </w:r>
    </w:p>
    <w:p>
      <w:pPr>
        <w:ind w:firstLine="480"/>
        <w:rPr>
          <w:rFonts w:ascii="Times New Roman" w:hAnsi="Times New Roman"/>
          <w:szCs w:val="24"/>
        </w:rPr>
      </w:pPr>
      <w:r>
        <w:rPr>
          <w:rFonts w:ascii="Times New Roman" w:hAnsi="Times New Roman"/>
          <w:snapToGrid w:val="0"/>
        </w:rPr>
        <w:t>（</w:t>
      </w:r>
      <w:r>
        <w:rPr>
          <w:rFonts w:hint="eastAsia" w:ascii="Times New Roman" w:hAnsi="Times New Roman"/>
          <w:snapToGrid w:val="0"/>
        </w:rPr>
        <w:t>6</w:t>
      </w:r>
      <w:r>
        <w:rPr>
          <w:rFonts w:ascii="Times New Roman" w:hAnsi="Times New Roman"/>
          <w:snapToGrid w:val="0"/>
        </w:rPr>
        <w:t>）生活垃圾</w:t>
      </w:r>
    </w:p>
    <w:p>
      <w:pPr>
        <w:ind w:firstLine="480"/>
        <w:rPr>
          <w:rFonts w:ascii="Times New Roman" w:hAnsi="Times New Roman"/>
          <w:szCs w:val="24"/>
        </w:rPr>
      </w:pPr>
      <w:r>
        <w:rPr>
          <w:rFonts w:hint="eastAsia" w:ascii="Times New Roman" w:hAnsi="Times New Roman"/>
          <w:szCs w:val="24"/>
        </w:rPr>
        <w:t>本项目</w:t>
      </w:r>
      <w:r>
        <w:rPr>
          <w:rFonts w:ascii="Times New Roman" w:hAnsi="Times New Roman"/>
          <w:szCs w:val="24"/>
        </w:rPr>
        <w:t>工作人员共100人，按照每人每天产生生活垃圾0.6kg计算，每年产生生活垃圾19.8t</w:t>
      </w:r>
      <w:r>
        <w:rPr>
          <w:rFonts w:hint="eastAsia" w:ascii="Times New Roman" w:hAnsi="Times New Roman"/>
          <w:szCs w:val="24"/>
        </w:rPr>
        <w:t>，办公生活区和集气站均定点设置垃圾箱，定期由环卫部门统一收集处置</w:t>
      </w:r>
      <w:r>
        <w:rPr>
          <w:rFonts w:ascii="Times New Roman" w:hAnsi="Times New Roman"/>
          <w:szCs w:val="24"/>
        </w:rPr>
        <w:t>。</w:t>
      </w:r>
    </w:p>
    <w:p>
      <w:pPr>
        <w:ind w:firstLine="0" w:firstLineChars="0"/>
        <w:outlineLvl w:val="2"/>
        <w:rPr>
          <w:rFonts w:ascii="Times New Roman" w:hAnsi="Times New Roman"/>
          <w:b/>
          <w:sz w:val="28"/>
          <w:szCs w:val="28"/>
        </w:rPr>
      </w:pPr>
      <w:bookmarkStart w:id="121" w:name="_Toc524624648"/>
      <w:r>
        <w:rPr>
          <w:rFonts w:hint="eastAsia" w:ascii="Times New Roman" w:hAnsi="Times New Roman"/>
          <w:b/>
          <w:sz w:val="28"/>
          <w:szCs w:val="28"/>
        </w:rPr>
        <w:t>6.2.6 运营期生态保护措施</w:t>
      </w:r>
      <w:bookmarkEnd w:id="121"/>
    </w:p>
    <w:p>
      <w:pPr>
        <w:adjustRightInd w:val="0"/>
        <w:snapToGrid w:val="0"/>
        <w:ind w:firstLine="480"/>
        <w:rPr>
          <w:rFonts w:ascii="Times New Roman" w:hAnsi="Times New Roman"/>
        </w:rPr>
      </w:pPr>
      <w:r>
        <w:rPr>
          <w:rFonts w:hint="eastAsia" w:ascii="宋体" w:hAnsi="宋体" w:cs="宋体"/>
        </w:rPr>
        <w:t>（1）</w:t>
      </w:r>
      <w:r>
        <w:rPr>
          <w:rFonts w:ascii="Times New Roman" w:hAnsi="Times New Roman"/>
        </w:rPr>
        <w:t>事故预防</w:t>
      </w:r>
    </w:p>
    <w:p>
      <w:pPr>
        <w:adjustRightInd w:val="0"/>
        <w:snapToGrid w:val="0"/>
        <w:ind w:firstLine="480"/>
        <w:rPr>
          <w:rFonts w:ascii="Times New Roman" w:hAnsi="Times New Roman"/>
        </w:rPr>
      </w:pPr>
      <w:r>
        <w:rPr>
          <w:rFonts w:hint="eastAsia" w:ascii="Times New Roman" w:hAnsi="Times New Roman"/>
        </w:rPr>
        <w:t>煤成气</w:t>
      </w:r>
      <w:r>
        <w:rPr>
          <w:rFonts w:ascii="Times New Roman" w:hAnsi="Times New Roman"/>
        </w:rPr>
        <w:t>开发过程中的突发事件如</w:t>
      </w:r>
      <w:r>
        <w:rPr>
          <w:rFonts w:hint="eastAsia" w:ascii="Times New Roman" w:hAnsi="Times New Roman"/>
        </w:rPr>
        <w:t>生产和生活</w:t>
      </w:r>
      <w:r>
        <w:rPr>
          <w:rFonts w:ascii="Times New Roman" w:hAnsi="Times New Roman"/>
        </w:rPr>
        <w:t>污水的泄漏将对土壤和生态环境造成严重影响。因此必须采取有效的预防和应急处理措施，加强监督管理，在事故发生时将事故危害降至最低。</w:t>
      </w:r>
    </w:p>
    <w:p>
      <w:pPr>
        <w:adjustRightInd w:val="0"/>
        <w:snapToGrid w:val="0"/>
        <w:ind w:firstLine="480"/>
        <w:rPr>
          <w:rFonts w:ascii="Times New Roman" w:hAnsi="Times New Roman"/>
        </w:rPr>
      </w:pPr>
      <w:r>
        <w:rPr>
          <w:rFonts w:hint="eastAsia" w:ascii="宋体" w:hAnsi="宋体" w:cs="宋体"/>
        </w:rPr>
        <w:t>（2）</w:t>
      </w:r>
      <w:r>
        <w:rPr>
          <w:rFonts w:ascii="Times New Roman" w:hAnsi="Times New Roman"/>
        </w:rPr>
        <w:t>管理措施</w:t>
      </w:r>
    </w:p>
    <w:p>
      <w:pPr>
        <w:adjustRightInd w:val="0"/>
        <w:snapToGrid w:val="0"/>
        <w:ind w:firstLine="480"/>
        <w:rPr>
          <w:rFonts w:ascii="Times New Roman" w:hAnsi="Times New Roman"/>
          <w:szCs w:val="24"/>
        </w:rPr>
      </w:pPr>
      <w:r>
        <w:rPr>
          <w:rFonts w:ascii="Times New Roman" w:hAnsi="Times New Roman"/>
          <w:szCs w:val="24"/>
        </w:rPr>
        <w:t>严格将</w:t>
      </w:r>
      <w:r>
        <w:rPr>
          <w:rFonts w:hint="eastAsia" w:ascii="Times New Roman" w:hAnsi="Times New Roman"/>
          <w:szCs w:val="24"/>
        </w:rPr>
        <w:t>煤成气</w:t>
      </w:r>
      <w:r>
        <w:rPr>
          <w:rFonts w:ascii="Times New Roman" w:hAnsi="Times New Roman"/>
          <w:szCs w:val="24"/>
        </w:rPr>
        <w:t>开采活动控制在评价区域内，在区内进行加密生产时应严格履行环保报批手续。</w:t>
      </w:r>
    </w:p>
    <w:p>
      <w:pPr>
        <w:ind w:firstLine="480"/>
        <w:rPr>
          <w:rFonts w:ascii="Times New Roman" w:hAnsi="Times New Roman"/>
          <w:szCs w:val="24"/>
        </w:rPr>
      </w:pPr>
      <w:r>
        <w:rPr>
          <w:rFonts w:ascii="Times New Roman" w:hAnsi="Times New Roman"/>
          <w:szCs w:val="24"/>
        </w:rPr>
        <w:t>由于各项施工均由钻井公司和其他施工单位承担，在施工前建设方应明确提出植被恢复要达到100%的要求；在施工后验收时，应将此作为验收的标准进行考核。</w:t>
      </w:r>
    </w:p>
    <w:p>
      <w:pPr>
        <w:ind w:firstLine="480"/>
        <w:rPr>
          <w:rFonts w:ascii="Times New Roman" w:hAnsi="Times New Roman"/>
          <w:szCs w:val="24"/>
        </w:rPr>
      </w:pPr>
    </w:p>
    <w:p>
      <w:pPr>
        <w:spacing w:before="156" w:beforeLines="50" w:after="156" w:afterLines="50"/>
        <w:ind w:firstLine="0" w:firstLineChars="0"/>
        <w:outlineLvl w:val="1"/>
        <w:rPr>
          <w:rFonts w:ascii="Times New Roman" w:hAnsi="Times New Roman"/>
          <w:b/>
          <w:sz w:val="30"/>
          <w:szCs w:val="30"/>
        </w:rPr>
      </w:pPr>
      <w:bookmarkStart w:id="122" w:name="_Toc524624649"/>
      <w:r>
        <w:rPr>
          <w:rFonts w:hint="eastAsia" w:ascii="Times New Roman" w:hAnsi="Times New Roman"/>
          <w:b/>
          <w:sz w:val="30"/>
          <w:szCs w:val="30"/>
        </w:rPr>
        <w:t>6.3 退役期环保措施分析</w:t>
      </w:r>
      <w:bookmarkEnd w:id="122"/>
    </w:p>
    <w:p>
      <w:pPr>
        <w:ind w:firstLine="480"/>
        <w:rPr>
          <w:rFonts w:ascii="Times New Roman" w:hAnsi="Times New Roman"/>
          <w:szCs w:val="24"/>
        </w:rPr>
      </w:pPr>
      <w:r>
        <w:rPr>
          <w:rFonts w:hint="eastAsia" w:ascii="Times New Roman" w:hAnsi="Times New Roman"/>
          <w:szCs w:val="24"/>
        </w:rPr>
        <w:t>当气井开发接近尾声时，各种机械设备将停止使用，进驻其中的气田开发工作人员将陆续撤离气田区域，由此带来的大气污染物、生产废水、生活污水、噪声及固体废物等对环境的影响将会消失。</w:t>
      </w:r>
    </w:p>
    <w:p>
      <w:pPr>
        <w:ind w:firstLine="480"/>
        <w:rPr>
          <w:rFonts w:ascii="Times New Roman" w:hAnsi="Times New Roman"/>
          <w:szCs w:val="24"/>
        </w:rPr>
      </w:pPr>
      <w:r>
        <w:rPr>
          <w:rFonts w:hint="eastAsia" w:ascii="Times New Roman" w:hAnsi="Times New Roman"/>
          <w:szCs w:val="24"/>
        </w:rPr>
        <w:t>退役期的环境影响以生态环境的恢复为主，同时封井和井场清理也会产生少量扬尘和建筑垃圾，会对周围的环境造成一定影响。</w:t>
      </w:r>
    </w:p>
    <w:p>
      <w:pPr>
        <w:ind w:firstLine="480"/>
        <w:rPr>
          <w:rFonts w:ascii="Times New Roman" w:hAnsi="Times New Roman"/>
          <w:szCs w:val="24"/>
        </w:rPr>
      </w:pPr>
      <w:r>
        <w:rPr>
          <w:rFonts w:hint="eastAsia" w:ascii="Times New Roman" w:hAnsi="Times New Roman"/>
          <w:szCs w:val="24"/>
        </w:rPr>
        <w:t>气井停采后将进行一系列清理工作，包括地面设施拆除、地下截去至少1m的井筒并用水泥灌注封井、井场清理等。在这期间，将会产生少量扬尘和固体废物。在闭井施工操作中应注意采取降尘措施，文明施工，防止水泥等的洒落与飘散，同时在清理井场时防止产生飞灰、扬尘的产生，尽可能降低对周边大气环境的影响。</w:t>
      </w:r>
    </w:p>
    <w:p>
      <w:pPr>
        <w:ind w:firstLine="480"/>
        <w:rPr>
          <w:rFonts w:ascii="Times New Roman" w:hAnsi="Times New Roman"/>
          <w:szCs w:val="24"/>
        </w:rPr>
      </w:pPr>
      <w:r>
        <w:rPr>
          <w:rFonts w:hint="eastAsia" w:ascii="Times New Roman" w:hAnsi="Times New Roman"/>
          <w:szCs w:val="24"/>
        </w:rPr>
        <w:t>另外，井场清理等工作还会产生部分废弃管线、废弃建筑残渣等固体废物，对这些废弃管线、残渣等进行集中清理收集，管线外运经清洗后可回收再利用，废弃建筑残渣外运至指定处理场填埋处理。固体废物的妥善处理，可以有效控制对区域环境的影响。</w:t>
      </w:r>
    </w:p>
    <w:p>
      <w:pPr>
        <w:ind w:firstLine="480"/>
        <w:rPr>
          <w:rFonts w:ascii="Times New Roman" w:hAnsi="Times New Roman"/>
          <w:szCs w:val="24"/>
        </w:rPr>
      </w:pPr>
      <w:r>
        <w:rPr>
          <w:rFonts w:hint="eastAsia" w:ascii="Times New Roman" w:hAnsi="Times New Roman"/>
          <w:szCs w:val="24"/>
        </w:rPr>
        <w:t>井场经过清理后，永久性占地范围内的水泥平台或砂砾石铺垫被清理，井场恢复到相对自然的一种状态，没有了人为的扰动，井场范围内的自然植被会逐渐得以恢复，有助于区域生态环境的改善。</w:t>
      </w:r>
    </w:p>
    <w:p>
      <w:pPr>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br w:type="page"/>
      </w:r>
    </w:p>
    <w:p>
      <w:pPr>
        <w:spacing w:before="156" w:beforeLines="50" w:after="156" w:afterLines="50"/>
        <w:ind w:firstLine="0" w:firstLineChars="0"/>
        <w:outlineLvl w:val="0"/>
        <w:rPr>
          <w:rFonts w:ascii="Times New Roman" w:hAnsi="Times New Roman"/>
          <w:b/>
          <w:sz w:val="32"/>
          <w:szCs w:val="32"/>
        </w:rPr>
      </w:pPr>
      <w:bookmarkStart w:id="123" w:name="_Toc524624650"/>
      <w:r>
        <w:rPr>
          <w:rFonts w:hint="eastAsia" w:ascii="Times New Roman" w:hAnsi="Times New Roman"/>
          <w:b/>
          <w:sz w:val="32"/>
          <w:szCs w:val="32"/>
        </w:rPr>
        <w:t>7 环境影响经济损益分析</w:t>
      </w:r>
      <w:bookmarkEnd w:id="123"/>
    </w:p>
    <w:p>
      <w:pPr>
        <w:ind w:firstLine="480"/>
        <w:rPr>
          <w:rFonts w:ascii="Times New Roman" w:hAnsi="Times New Roman"/>
          <w:szCs w:val="24"/>
        </w:rPr>
      </w:pPr>
      <w:r>
        <w:rPr>
          <w:rFonts w:hint="eastAsia" w:ascii="Times New Roman" w:hAnsi="Times New Roman"/>
          <w:szCs w:val="24"/>
        </w:rPr>
        <w:t>建设项目的开发将有利于地区经济的发展，但同时也会产生相应的环境污染。因此，就建设项目而言只有解决好环境问题，才能保障环境与经济的协调发展，走可持续发展的道路，才能形成良性循环。本项目实施后不仅会给企业带来巨大经济效益，增加了企业的市场竞争能力，有利于执行国家控制总量、调整产业结构的宏观产业政策，促进经济的发展和降低污染物的排放量，同时还可以为地方政府增加地方财政收入，并带动相关行业和地方经济共同发展，具有良好的社会效益、环境效益和经济效益。</w:t>
      </w:r>
    </w:p>
    <w:p>
      <w:pPr>
        <w:spacing w:before="156" w:beforeLines="50" w:after="156" w:afterLines="50"/>
        <w:ind w:firstLine="0" w:firstLineChars="0"/>
        <w:outlineLvl w:val="1"/>
        <w:rPr>
          <w:rFonts w:ascii="Times New Roman" w:hAnsi="Times New Roman"/>
          <w:b/>
          <w:sz w:val="30"/>
          <w:szCs w:val="30"/>
        </w:rPr>
      </w:pPr>
      <w:bookmarkStart w:id="124" w:name="_Toc524624651"/>
      <w:r>
        <w:rPr>
          <w:rFonts w:hint="eastAsia" w:ascii="Times New Roman" w:hAnsi="Times New Roman"/>
          <w:b/>
          <w:sz w:val="30"/>
          <w:szCs w:val="30"/>
        </w:rPr>
        <w:t>7.1 环境保护工程投资分析</w:t>
      </w:r>
      <w:bookmarkEnd w:id="124"/>
    </w:p>
    <w:p>
      <w:pPr>
        <w:ind w:firstLine="480"/>
        <w:rPr>
          <w:rFonts w:ascii="Times New Roman" w:hAnsi="Times New Roman"/>
          <w:szCs w:val="24"/>
        </w:rPr>
      </w:pPr>
      <w:r>
        <w:rPr>
          <w:rFonts w:ascii="Times New Roman" w:hAnsi="Times New Roman"/>
          <w:szCs w:val="24"/>
        </w:rPr>
        <w:t>本项目总资金</w:t>
      </w:r>
      <w:r>
        <w:rPr>
          <w:rFonts w:hint="eastAsia" w:ascii="Times New Roman" w:hAnsi="Times New Roman"/>
          <w:szCs w:val="24"/>
        </w:rPr>
        <w:t>2988</w:t>
      </w:r>
      <w:r>
        <w:rPr>
          <w:rFonts w:ascii="Times New Roman" w:hAnsi="Times New Roman"/>
          <w:szCs w:val="24"/>
        </w:rPr>
        <w:t>万元，环保项目投资为</w:t>
      </w:r>
      <w:r>
        <w:rPr>
          <w:rFonts w:hint="eastAsia" w:ascii="Times New Roman" w:hAnsi="Times New Roman"/>
          <w:szCs w:val="24"/>
        </w:rPr>
        <w:t>662.37</w:t>
      </w:r>
      <w:r>
        <w:rPr>
          <w:rFonts w:ascii="Times New Roman" w:hAnsi="Times New Roman"/>
          <w:szCs w:val="24"/>
        </w:rPr>
        <w:t>万元，约占项目总投资的</w:t>
      </w:r>
      <w:r>
        <w:rPr>
          <w:rFonts w:hint="eastAsia" w:ascii="Times New Roman" w:hAnsi="Times New Roman"/>
          <w:szCs w:val="24"/>
        </w:rPr>
        <w:t>22.16767</w:t>
      </w:r>
      <w:r>
        <w:rPr>
          <w:rFonts w:ascii="Times New Roman" w:hAnsi="Times New Roman"/>
          <w:szCs w:val="24"/>
        </w:rPr>
        <w:t>%，详见表</w:t>
      </w:r>
      <w:r>
        <w:rPr>
          <w:rFonts w:hint="eastAsia" w:ascii="Times New Roman" w:hAnsi="Times New Roman"/>
          <w:szCs w:val="24"/>
        </w:rPr>
        <w:t>7.1</w:t>
      </w:r>
      <w:r>
        <w:rPr>
          <w:rFonts w:ascii="Times New Roman" w:hAnsi="Times New Roman"/>
          <w:szCs w:val="24"/>
        </w:rPr>
        <w:t>-1。</w:t>
      </w:r>
    </w:p>
    <w:p>
      <w:pPr>
        <w:adjustRightInd w:val="0"/>
        <w:spacing w:line="240" w:lineRule="auto"/>
        <w:ind w:firstLine="0" w:firstLineChars="0"/>
        <w:jc w:val="center"/>
        <w:textAlignment w:val="baseline"/>
        <w:rPr>
          <w:rFonts w:ascii="Times New Roman" w:hAnsi="Times New Roman"/>
          <w:b/>
          <w:sz w:val="21"/>
          <w:szCs w:val="20"/>
        </w:rPr>
      </w:pPr>
      <w:r>
        <w:rPr>
          <w:rFonts w:hint="eastAsia" w:ascii="Times New Roman" w:hAnsi="Times New Roman"/>
          <w:b/>
          <w:sz w:val="21"/>
          <w:szCs w:val="20"/>
        </w:rPr>
        <w:t>表</w:t>
      </w:r>
      <w:r>
        <w:rPr>
          <w:rFonts w:ascii="Times New Roman" w:hAnsi="Times New Roman"/>
          <w:b/>
          <w:sz w:val="21"/>
          <w:szCs w:val="20"/>
        </w:rPr>
        <w:t xml:space="preserve">7.1-1 </w:t>
      </w:r>
      <w:r>
        <w:rPr>
          <w:rFonts w:hint="eastAsia" w:ascii="Times New Roman" w:hAnsi="Times New Roman"/>
          <w:b/>
          <w:sz w:val="21"/>
          <w:szCs w:val="20"/>
        </w:rPr>
        <w:t>环保投资估算一览表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1745"/>
        <w:gridCol w:w="5101"/>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序号</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环保工程项目</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内容</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投资</w:t>
            </w:r>
          </w:p>
          <w:p>
            <w:pPr>
              <w:spacing w:line="280" w:lineRule="exact"/>
              <w:ind w:firstLine="0" w:firstLineChars="0"/>
              <w:jc w:val="center"/>
              <w:rPr>
                <w:rFonts w:ascii="Times New Roman" w:hAnsi="Times New Roman"/>
                <w:sz w:val="21"/>
              </w:rPr>
            </w:pPr>
            <w:r>
              <w:rPr>
                <w:rFonts w:hint="eastAsia" w:ascii="Times New Roman" w:hAnsi="宋体"/>
                <w:sz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一</w:t>
            </w:r>
          </w:p>
        </w:tc>
        <w:tc>
          <w:tcPr>
            <w:tcW w:w="802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污废水处理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1</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生产废水收集、处理系统</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生产废水收集、输送管道，厂区地面硬化；净化处理站处理、蒸发处理站的建设。</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297.54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生活污水收集、处理系统</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shd w:val="clear" w:color="auto" w:fill="FFFFFF"/>
              </w:rPr>
              <w:t>设置化粪池、隔油池各一座，生活污水收集、输送管道，生活污水处理设备的建设。</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181.07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Times New Roman"/>
                <w:sz w:val="21"/>
              </w:rPr>
              <w:t>二</w:t>
            </w:r>
          </w:p>
        </w:tc>
        <w:tc>
          <w:tcPr>
            <w:tcW w:w="802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left"/>
              <w:rPr>
                <w:rFonts w:ascii="Times New Roman" w:hAnsi="Times New Roman"/>
                <w:sz w:val="21"/>
              </w:rPr>
            </w:pPr>
            <w:r>
              <w:rPr>
                <w:rFonts w:hint="eastAsia" w:ascii="Times New Roman" w:hAnsi="Times New Roman"/>
                <w:sz w:val="21"/>
              </w:rPr>
              <w:t>噪声控制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宋体"/>
                <w:sz w:val="21"/>
              </w:rPr>
              <w:t>1</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降噪措施</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①合理布置噪声源，在压缩机等强噪声源周围布置隔声板，并在外围植树绿化；</w:t>
            </w:r>
          </w:p>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②选择低噪声设备，设备设有减振基础并采用消声措施；</w:t>
            </w:r>
          </w:p>
          <w:p>
            <w:pPr>
              <w:spacing w:line="280" w:lineRule="exact"/>
              <w:ind w:firstLine="0" w:firstLineChars="0"/>
              <w:rPr>
                <w:rFonts w:ascii="Times New Roman" w:hAnsi="Times New Roman"/>
                <w:sz w:val="21"/>
              </w:rPr>
            </w:pPr>
            <w:r>
              <w:rPr>
                <w:rFonts w:hint="eastAsia" w:ascii="Times New Roman" w:hAnsi="宋体"/>
                <w:sz w:val="21"/>
                <w:shd w:val="clear" w:color="auto" w:fill="FFFFFF"/>
              </w:rPr>
              <w:t>③设备与管道之间的连接采用柔性连接，以减少噪声和振动的传递</w:t>
            </w:r>
            <w:r>
              <w:rPr>
                <w:rFonts w:hint="eastAsia" w:ascii="Times New Roman" w:hAnsi="宋体"/>
                <w:sz w:val="21"/>
              </w:rPr>
              <w:t>。</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三</w:t>
            </w:r>
          </w:p>
        </w:tc>
        <w:tc>
          <w:tcPr>
            <w:tcW w:w="802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大气污染防治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1</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燃气锅炉烟气</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sz w:val="21"/>
              </w:rPr>
            </w:pPr>
            <w:r>
              <w:rPr>
                <w:rFonts w:hint="eastAsia" w:ascii="Times New Roman" w:hAnsi="Times New Roman"/>
                <w:sz w:val="21"/>
              </w:rPr>
              <w:t>设置高</w:t>
            </w:r>
            <w:r>
              <w:rPr>
                <w:rFonts w:ascii="Times New Roman" w:hAnsi="Times New Roman"/>
                <w:sz w:val="21"/>
              </w:rPr>
              <w:t>15m</w:t>
            </w:r>
            <w:r>
              <w:rPr>
                <w:rFonts w:hint="eastAsia" w:ascii="Times New Roman" w:hAnsi="Times New Roman"/>
                <w:sz w:val="21"/>
              </w:rPr>
              <w:t>、内径</w:t>
            </w:r>
            <w:r>
              <w:rPr>
                <w:rFonts w:ascii="Times New Roman" w:hAnsi="Times New Roman"/>
                <w:sz w:val="21"/>
              </w:rPr>
              <w:t>0.2mm</w:t>
            </w:r>
            <w:r>
              <w:rPr>
                <w:rFonts w:hint="eastAsia" w:ascii="Times New Roman" w:hAnsi="Times New Roman"/>
                <w:sz w:val="21"/>
              </w:rPr>
              <w:t>排气筒两根；高</w:t>
            </w:r>
            <w:r>
              <w:rPr>
                <w:rFonts w:ascii="Times New Roman" w:hAnsi="Times New Roman"/>
                <w:sz w:val="21"/>
              </w:rPr>
              <w:t>15m</w:t>
            </w:r>
            <w:r>
              <w:rPr>
                <w:rFonts w:hint="eastAsia" w:ascii="Times New Roman" w:hAnsi="Times New Roman"/>
                <w:sz w:val="21"/>
              </w:rPr>
              <w:t>、内径</w:t>
            </w:r>
            <w:r>
              <w:rPr>
                <w:rFonts w:ascii="Times New Roman" w:hAnsi="Times New Roman"/>
                <w:sz w:val="21"/>
              </w:rPr>
              <w:t>0.438mm</w:t>
            </w:r>
            <w:r>
              <w:rPr>
                <w:rFonts w:hint="eastAsia" w:ascii="Times New Roman" w:hAnsi="Times New Roman"/>
                <w:sz w:val="21"/>
              </w:rPr>
              <w:t>排气筒一根。</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煤成气集输过程中挥发损失的烃类气体等</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sz w:val="21"/>
              </w:rPr>
            </w:pPr>
            <w:r>
              <w:rPr>
                <w:rFonts w:hint="eastAsia" w:ascii="Times New Roman" w:hAnsi="Times New Roman"/>
                <w:sz w:val="21"/>
              </w:rPr>
              <w:t>①输气管道及站场输送采用密闭输送，选用可靠性高的设备、密封性能好的阀门；</w:t>
            </w:r>
          </w:p>
          <w:p>
            <w:pPr>
              <w:spacing w:line="240" w:lineRule="auto"/>
              <w:ind w:firstLine="0" w:firstLineChars="0"/>
              <w:rPr>
                <w:rFonts w:ascii="Times New Roman" w:hAnsi="Times New Roman"/>
                <w:sz w:val="21"/>
              </w:rPr>
            </w:pPr>
            <w:r>
              <w:rPr>
                <w:rFonts w:hint="eastAsia" w:ascii="Times New Roman" w:hAnsi="Times New Roman"/>
                <w:sz w:val="21"/>
              </w:rPr>
              <w:t>②煤成气传输管路应设置甲烷传感器、流量传感器、压力传感器及温度传感器，对管道内甲烷浓度、流量压力、温度等参数进行监测。井场抽排装置应设甲烷传感器防止煤成气泄漏；</w:t>
            </w:r>
          </w:p>
          <w:p>
            <w:pPr>
              <w:spacing w:line="240" w:lineRule="auto"/>
              <w:ind w:firstLine="0" w:firstLineChars="0"/>
              <w:rPr>
                <w:rFonts w:ascii="Times New Roman" w:hAnsi="Times New Roman"/>
                <w:sz w:val="21"/>
              </w:rPr>
            </w:pPr>
            <w:r>
              <w:rPr>
                <w:rFonts w:hint="eastAsia" w:ascii="Times New Roman" w:hAnsi="Times New Roman"/>
                <w:sz w:val="21"/>
              </w:rPr>
              <w:t>③站场和阀室以及沿线设可燃气体浓度检测系统和</w:t>
            </w:r>
            <w:r>
              <w:rPr>
                <w:rFonts w:ascii="Times New Roman" w:hAnsi="Times New Roman"/>
                <w:sz w:val="21"/>
              </w:rPr>
              <w:t>ESD</w:t>
            </w:r>
            <w:r>
              <w:rPr>
                <w:rFonts w:hint="eastAsia" w:ascii="Times New Roman" w:hAnsi="Times New Roman"/>
                <w:sz w:val="21"/>
              </w:rPr>
              <w:t>系统，密切监视煤成气的泄漏量。</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sz w:val="21"/>
              </w:rPr>
            </w:pPr>
            <w:r>
              <w:rPr>
                <w:rFonts w:ascii="Times New Roman" w:hAnsi="Times New Roman"/>
                <w:sz w:val="21"/>
              </w:rPr>
              <w:t>30.04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四</w:t>
            </w:r>
          </w:p>
        </w:tc>
        <w:tc>
          <w:tcPr>
            <w:tcW w:w="802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固体废物处置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1</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生活垃圾收集系统</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shd w:val="clear" w:color="auto" w:fill="FFFFFF"/>
              </w:rPr>
              <w:t>生活垃圾收集桶、垃圾清运等。</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工业废水处理站废盐</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shd w:val="clear" w:color="auto" w:fill="FFFFFF"/>
              </w:rPr>
            </w:pPr>
            <w:r>
              <w:rPr>
                <w:rFonts w:hint="eastAsia" w:ascii="Times New Roman" w:hAnsi="Times New Roman"/>
                <w:sz w:val="21"/>
              </w:rPr>
              <w:t>废盐暂存于</w:t>
            </w:r>
            <w:r>
              <w:rPr>
                <w:rFonts w:ascii="Times New Roman" w:hAnsi="Times New Roman"/>
                <w:sz w:val="21"/>
              </w:rPr>
              <w:t>LX-104</w:t>
            </w:r>
            <w:r>
              <w:rPr>
                <w:rFonts w:hint="eastAsia" w:ascii="Times New Roman" w:hAnsi="Times New Roman"/>
                <w:sz w:val="21"/>
              </w:rPr>
              <w:t>蒸发处理池内，并定期</w:t>
            </w:r>
            <w:r>
              <w:rPr>
                <w:rFonts w:hint="eastAsia" w:ascii="Times New Roman" w:hAnsi="Times New Roman"/>
                <w:sz w:val="21"/>
                <w:lang w:eastAsia="zh-CN"/>
              </w:rPr>
              <w:t>交由</w:t>
            </w:r>
            <w:r>
              <w:rPr>
                <w:rFonts w:hint="eastAsia" w:ascii="Times New Roman" w:hAnsi="Times New Roman"/>
                <w:sz w:val="21"/>
              </w:rPr>
              <w:t>广灵金隅水泥有限公司收集处置。</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3</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集气站凝析油</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属于危险废物，在站内设专门烃类物质（有机废油）储罐，地面作防渗处理，定期交由广灵金隅水泥有限公司处置。</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4</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废弃分子筛</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分子筛定期更换，更换下来的分子筛由厂家回收处理后重复利用。</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5</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生活污水处理站污泥</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经收集后作为一般固废，定期送填埋场处理。</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6</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干化池污泥</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经收集后作为危险废物，</w:t>
            </w:r>
            <w:r>
              <w:rPr>
                <w:rFonts w:hint="eastAsia" w:ascii="Times New Roman" w:hAnsi="Times New Roman"/>
                <w:sz w:val="21"/>
              </w:rPr>
              <w:t>并定期</w:t>
            </w:r>
            <w:r>
              <w:rPr>
                <w:rFonts w:hint="eastAsia" w:ascii="Times New Roman" w:hAnsi="Times New Roman"/>
                <w:sz w:val="21"/>
                <w:lang w:eastAsia="zh-CN"/>
              </w:rPr>
              <w:t>交由</w:t>
            </w:r>
            <w:r>
              <w:rPr>
                <w:rFonts w:hint="eastAsia" w:ascii="Times New Roman" w:hAnsi="Times New Roman"/>
                <w:sz w:val="21"/>
              </w:rPr>
              <w:t>广灵金隅水泥有限公司收集处置。</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Times New Roman"/>
                <w:sz w:val="21"/>
              </w:rPr>
              <w:t>五</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宋体"/>
                <w:sz w:val="21"/>
              </w:rPr>
            </w:pPr>
            <w:r>
              <w:rPr>
                <w:rFonts w:hint="eastAsia" w:ascii="Times New Roman" w:hAnsi="宋体"/>
                <w:sz w:val="21"/>
              </w:rPr>
              <w:t>绿化</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shd w:val="clear" w:color="auto" w:fill="FFFFFF"/>
              </w:rPr>
              <w:t>厂址区域绿化，绿化率</w:t>
            </w:r>
            <w:r>
              <w:rPr>
                <w:rFonts w:ascii="Times New Roman" w:hAnsi="Times New Roman"/>
                <w:sz w:val="21"/>
                <w:shd w:val="clear" w:color="auto" w:fill="FFFFFF"/>
              </w:rPr>
              <w:t>10%</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宋体"/>
                <w:sz w:val="21"/>
              </w:rPr>
              <w:t>6.5</w:t>
            </w:r>
            <w:r>
              <w:rPr>
                <w:rFonts w:hint="eastAsia" w:ascii="Times New Roman" w:hAnsi="宋体"/>
                <w:sz w:val="21"/>
              </w:rPr>
              <w:t>（场地绿化费按</w:t>
            </w:r>
            <w:r>
              <w:rPr>
                <w:rFonts w:ascii="Times New Roman" w:hAnsi="Times New Roman"/>
                <w:sz w:val="21"/>
              </w:rPr>
              <w:t>25</w:t>
            </w:r>
            <w:r>
              <w:rPr>
                <w:rFonts w:hint="eastAsia" w:ascii="Times New Roman" w:hAnsi="宋体"/>
                <w:sz w:val="21"/>
              </w:rPr>
              <w:t>元</w:t>
            </w:r>
            <w:r>
              <w:rPr>
                <w:rFonts w:ascii="Times New Roman" w:hAnsi="Times New Roman"/>
                <w:sz w:val="21"/>
              </w:rPr>
              <w:t>/m</w:t>
            </w:r>
            <w:r>
              <w:rPr>
                <w:rFonts w:ascii="Times New Roman" w:hAnsi="Times New Roman"/>
                <w:sz w:val="21"/>
                <w:vertAlign w:val="superscript"/>
              </w:rPr>
              <w:t>2</w:t>
            </w:r>
            <w:r>
              <w:rPr>
                <w:rFonts w:hint="eastAsia" w:ascii="Times New Roman" w:hAnsi="宋体"/>
                <w:sz w:val="21"/>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六</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环境管理及监测费用</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shd w:val="clear" w:color="auto" w:fill="FFFFFF"/>
              </w:rPr>
            </w:pPr>
            <w:r>
              <w:rPr>
                <w:rFonts w:hint="eastAsia" w:ascii="Times New Roman" w:hAnsi="宋体"/>
                <w:sz w:val="21"/>
                <w:shd w:val="clear" w:color="auto" w:fill="FFFFFF"/>
              </w:rPr>
              <w:t>委托当地有资质监测机构执行</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七</w:t>
            </w:r>
          </w:p>
        </w:tc>
        <w:tc>
          <w:tcPr>
            <w:tcW w:w="1745"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预备费</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按以上</w:t>
            </w:r>
            <w:r>
              <w:rPr>
                <w:rFonts w:ascii="Times New Roman" w:hAnsi="Times New Roman"/>
                <w:sz w:val="21"/>
              </w:rPr>
              <w:t>10%</w:t>
            </w:r>
            <w:r>
              <w:rPr>
                <w:rFonts w:hint="eastAsia" w:ascii="Times New Roman" w:hAnsi="宋体"/>
                <w:sz w:val="21"/>
              </w:rPr>
              <w:t>计取</w:t>
            </w: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合计</w:t>
            </w:r>
          </w:p>
        </w:tc>
        <w:tc>
          <w:tcPr>
            <w:tcW w:w="5101"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p>
        </w:tc>
        <w:tc>
          <w:tcPr>
            <w:tcW w:w="1182" w:type="dxa"/>
            <w:tcBorders>
              <w:top w:val="single" w:color="auto" w:sz="4" w:space="0"/>
              <w:left w:val="single" w:color="auto" w:sz="4" w:space="0"/>
              <w:bottom w:val="single" w:color="auto" w:sz="4" w:space="0"/>
              <w:right w:val="single" w:color="auto" w:sz="4" w:space="0"/>
            </w:tcBorders>
            <w:vAlign w:val="center"/>
          </w:tcPr>
          <w:p>
            <w:pPr>
              <w:spacing w:line="280" w:lineRule="exact"/>
              <w:ind w:firstLine="0" w:firstLineChars="0"/>
              <w:jc w:val="center"/>
              <w:rPr>
                <w:rFonts w:ascii="Times New Roman" w:hAnsi="Times New Roman"/>
                <w:sz w:val="21"/>
              </w:rPr>
            </w:pPr>
            <w:r>
              <w:rPr>
                <w:rFonts w:ascii="Times New Roman" w:hAnsi="Times New Roman"/>
                <w:sz w:val="21"/>
              </w:rPr>
              <w:t>662.37</w:t>
            </w:r>
          </w:p>
        </w:tc>
      </w:tr>
    </w:tbl>
    <w:p>
      <w:pPr>
        <w:spacing w:line="240" w:lineRule="auto"/>
        <w:ind w:firstLine="0" w:firstLineChars="0"/>
        <w:textAlignment w:val="baseline"/>
        <w:rPr>
          <w:rFonts w:ascii="Times New Roman" w:hAnsi="Times New Roman"/>
          <w:szCs w:val="20"/>
        </w:rPr>
      </w:pPr>
      <w:r>
        <w:rPr>
          <w:rFonts w:hint="eastAsia" w:ascii="Times New Roman" w:hAnsi="Times New Roman"/>
          <w:sz w:val="21"/>
        </w:rPr>
        <w:t>注：水土保持不计入环保投资。</w:t>
      </w:r>
    </w:p>
    <w:p>
      <w:pPr>
        <w:ind w:firstLine="480"/>
        <w:rPr>
          <w:rFonts w:ascii="Times New Roman" w:hAnsi="Times New Roman"/>
          <w:szCs w:val="24"/>
        </w:rPr>
      </w:pPr>
      <w:r>
        <w:rPr>
          <w:rFonts w:ascii="Times New Roman" w:hAnsi="Times New Roman"/>
          <w:szCs w:val="20"/>
        </w:rPr>
        <w:t>环评建议，建设方应根据项目具体施工情况，适当提高环保投入，保证环保设施的充足资金</w:t>
      </w:r>
      <w:r>
        <w:rPr>
          <w:rFonts w:hint="eastAsia" w:ascii="Times New Roman" w:hAnsi="Times New Roman"/>
          <w:szCs w:val="20"/>
        </w:rPr>
        <w:t>。</w:t>
      </w:r>
    </w:p>
    <w:p>
      <w:pPr>
        <w:spacing w:before="156" w:beforeLines="50" w:after="156" w:afterLines="50"/>
        <w:ind w:firstLine="0" w:firstLineChars="0"/>
        <w:outlineLvl w:val="1"/>
        <w:rPr>
          <w:rFonts w:ascii="Times New Roman" w:hAnsi="Times New Roman"/>
          <w:b/>
          <w:sz w:val="30"/>
          <w:szCs w:val="30"/>
        </w:rPr>
      </w:pPr>
      <w:bookmarkStart w:id="125" w:name="_Toc524624652"/>
      <w:r>
        <w:rPr>
          <w:rFonts w:hint="eastAsia" w:ascii="Times New Roman" w:hAnsi="Times New Roman"/>
          <w:b/>
          <w:sz w:val="30"/>
          <w:szCs w:val="30"/>
        </w:rPr>
        <w:t>7.2 环境经济损益分析</w:t>
      </w:r>
      <w:bookmarkEnd w:id="125"/>
    </w:p>
    <w:p>
      <w:pPr>
        <w:ind w:firstLine="0" w:firstLineChars="0"/>
        <w:outlineLvl w:val="2"/>
        <w:rPr>
          <w:rFonts w:ascii="Times New Roman" w:hAnsi="Times New Roman"/>
          <w:b/>
          <w:sz w:val="28"/>
          <w:szCs w:val="28"/>
        </w:rPr>
      </w:pPr>
      <w:bookmarkStart w:id="126" w:name="_Toc524624653"/>
      <w:r>
        <w:rPr>
          <w:rFonts w:hint="eastAsia" w:ascii="Times New Roman" w:hAnsi="Times New Roman"/>
          <w:b/>
          <w:sz w:val="28"/>
          <w:szCs w:val="28"/>
        </w:rPr>
        <w:t>7.2.1 社会效益分析</w:t>
      </w:r>
      <w:bookmarkEnd w:id="126"/>
    </w:p>
    <w:p>
      <w:pPr>
        <w:ind w:firstLine="480"/>
        <w:rPr>
          <w:rFonts w:ascii="Times New Roman" w:hAnsi="Times New Roman"/>
          <w:szCs w:val="24"/>
        </w:rPr>
      </w:pPr>
      <w:r>
        <w:rPr>
          <w:rFonts w:hint="eastAsia" w:ascii="Times New Roman" w:hAnsi="Times New Roman"/>
          <w:szCs w:val="24"/>
        </w:rPr>
        <w:t>我国能源结构仍然以煤为主，能源结构过于单一，很不合理。从改善我国能源结构，促进我国以煤炭为主的能源结构逐渐向环境无害的可持续发展的模式转变来说，开发煤成气资源，形成新的能源产业，具有重要战略意义。</w:t>
      </w:r>
    </w:p>
    <w:p>
      <w:pPr>
        <w:ind w:firstLine="480"/>
        <w:rPr>
          <w:rFonts w:ascii="Times New Roman" w:hAnsi="Times New Roman"/>
          <w:szCs w:val="24"/>
        </w:rPr>
      </w:pPr>
      <w:r>
        <w:rPr>
          <w:rFonts w:hint="eastAsia" w:ascii="Times New Roman" w:hAnsi="Times New Roman"/>
          <w:szCs w:val="24"/>
        </w:rPr>
        <w:t>开发利用煤成气将拉动相关产业的发展。煤成气产业是一项庞大的系统工程，建设一个煤成气生产基地将带动运输、钢铁、水泥、化工、电力、生活服等相关产业的发展，增加就业机会，促进当地经济的发展。</w:t>
      </w:r>
    </w:p>
    <w:p>
      <w:pPr>
        <w:ind w:firstLine="480"/>
        <w:rPr>
          <w:rFonts w:ascii="Times New Roman" w:hAnsi="Times New Roman"/>
          <w:szCs w:val="24"/>
        </w:rPr>
      </w:pPr>
      <w:r>
        <w:rPr>
          <w:rFonts w:hint="eastAsia" w:ascii="Times New Roman" w:hAnsi="Times New Roman"/>
          <w:szCs w:val="24"/>
        </w:rPr>
        <w:t>本项目的实施在一定程度上缓解我国能源紧张的局势。煤成气的成功开采对于增加洁净能源、减少温室气体排放、带动相关产业的发展具有极其重要的意义。开发煤成气，将加速我国煤成气产业的形成和发展，是实现国家“开发新能源、实现能源利用与环境保护同步，保证可持续发展”和保障我国能源安全的重要措施。</w:t>
      </w:r>
    </w:p>
    <w:p>
      <w:pPr>
        <w:ind w:firstLine="0" w:firstLineChars="0"/>
        <w:outlineLvl w:val="2"/>
        <w:rPr>
          <w:rFonts w:ascii="Times New Roman" w:hAnsi="Times New Roman"/>
          <w:b/>
          <w:sz w:val="28"/>
          <w:szCs w:val="28"/>
        </w:rPr>
      </w:pPr>
      <w:bookmarkStart w:id="127" w:name="_Toc524624654"/>
      <w:r>
        <w:rPr>
          <w:rFonts w:hint="eastAsia" w:ascii="Times New Roman" w:hAnsi="Times New Roman"/>
          <w:b/>
          <w:sz w:val="28"/>
          <w:szCs w:val="28"/>
        </w:rPr>
        <w:t>7.2.2 环境效益分析</w:t>
      </w:r>
      <w:bookmarkEnd w:id="127"/>
    </w:p>
    <w:p>
      <w:pPr>
        <w:ind w:firstLine="480"/>
        <w:rPr>
          <w:rFonts w:ascii="Times New Roman" w:hAnsi="Times New Roman"/>
        </w:rPr>
      </w:pPr>
      <w:r>
        <w:rPr>
          <w:rFonts w:hint="eastAsia" w:ascii="Times New Roman" w:hAnsi="Times New Roman"/>
        </w:rPr>
        <w:t>（1）</w:t>
      </w:r>
      <w:r>
        <w:rPr>
          <w:rFonts w:ascii="Times New Roman"/>
        </w:rPr>
        <w:t>减排温室气体，改善大气环境保护</w:t>
      </w:r>
    </w:p>
    <w:p>
      <w:pPr>
        <w:ind w:firstLine="480"/>
        <w:rPr>
          <w:rFonts w:ascii="Times New Roman" w:hAnsi="Times New Roman"/>
        </w:rPr>
      </w:pPr>
      <w:r>
        <w:rPr>
          <w:rFonts w:hint="eastAsia" w:ascii="Times New Roman"/>
        </w:rPr>
        <w:t>煤成气</w:t>
      </w:r>
      <w:r>
        <w:rPr>
          <w:rFonts w:ascii="Times New Roman"/>
        </w:rPr>
        <w:t>的主要成分为甲烷。甲烷是一种温室气体，据研究，其温室效应比</w:t>
      </w:r>
      <w:r>
        <w:rPr>
          <w:rFonts w:ascii="Times New Roman" w:hAnsi="Times New Roman"/>
        </w:rPr>
        <w:t>CO</w:t>
      </w:r>
      <w:r>
        <w:rPr>
          <w:rFonts w:ascii="Times New Roman" w:hAnsi="Times New Roman"/>
          <w:vertAlign w:val="subscript"/>
        </w:rPr>
        <w:t>2</w:t>
      </w:r>
      <w:r>
        <w:rPr>
          <w:rFonts w:ascii="Times New Roman"/>
        </w:rPr>
        <w:t>大</w:t>
      </w:r>
      <w:r>
        <w:rPr>
          <w:rFonts w:ascii="Times New Roman" w:hAnsi="Times New Roman"/>
        </w:rPr>
        <w:t>20.60</w:t>
      </w:r>
      <w:r>
        <w:rPr>
          <w:rFonts w:ascii="Times New Roman"/>
        </w:rPr>
        <w:t>倍，对臭氧层的破坏能力是</w:t>
      </w:r>
      <w:r>
        <w:rPr>
          <w:rFonts w:ascii="Times New Roman" w:hAnsi="Times New Roman"/>
        </w:rPr>
        <w:t>CO</w:t>
      </w:r>
      <w:r>
        <w:rPr>
          <w:rFonts w:ascii="Times New Roman" w:hAnsi="Times New Roman"/>
          <w:vertAlign w:val="subscript"/>
        </w:rPr>
        <w:t>2</w:t>
      </w:r>
      <w:r>
        <w:rPr>
          <w:rFonts w:ascii="Times New Roman"/>
        </w:rPr>
        <w:t>的</w:t>
      </w:r>
      <w:r>
        <w:rPr>
          <w:rFonts w:ascii="Times New Roman" w:hAnsi="Times New Roman"/>
        </w:rPr>
        <w:t>7</w:t>
      </w:r>
      <w:r>
        <w:rPr>
          <w:rFonts w:ascii="Times New Roman"/>
        </w:rPr>
        <w:t>倍。与</w:t>
      </w:r>
      <w:r>
        <w:rPr>
          <w:rFonts w:ascii="Times New Roman" w:hAnsi="Times New Roman"/>
        </w:rPr>
        <w:t>CO</w:t>
      </w:r>
      <w:r>
        <w:rPr>
          <w:rFonts w:ascii="Times New Roman" w:hAnsi="Times New Roman"/>
          <w:vertAlign w:val="subscript"/>
        </w:rPr>
        <w:t>2</w:t>
      </w:r>
      <w:r>
        <w:rPr>
          <w:rFonts w:ascii="Times New Roman"/>
        </w:rPr>
        <w:t>相比，甲烷还是一种寿命短的气体，它在大气中滞留的时间只有</w:t>
      </w:r>
      <w:r>
        <w:rPr>
          <w:rFonts w:ascii="Times New Roman" w:hAnsi="Times New Roman"/>
        </w:rPr>
        <w:t>8</w:t>
      </w:r>
      <w:r>
        <w:rPr>
          <w:rFonts w:ascii="Times New Roman"/>
        </w:rPr>
        <w:t>～</w:t>
      </w:r>
      <w:r>
        <w:rPr>
          <w:rFonts w:ascii="Times New Roman" w:hAnsi="Times New Roman"/>
        </w:rPr>
        <w:t>12</w:t>
      </w:r>
      <w:r>
        <w:rPr>
          <w:rFonts w:ascii="Times New Roman"/>
        </w:rPr>
        <w:t>年，而</w:t>
      </w:r>
      <w:r>
        <w:rPr>
          <w:rFonts w:ascii="Times New Roman" w:hAnsi="Times New Roman"/>
        </w:rPr>
        <w:t>CO</w:t>
      </w:r>
      <w:r>
        <w:rPr>
          <w:rFonts w:ascii="Times New Roman" w:hAnsi="Times New Roman"/>
          <w:vertAlign w:val="subscript"/>
        </w:rPr>
        <w:t>2</w:t>
      </w:r>
      <w:r>
        <w:rPr>
          <w:rFonts w:ascii="Times New Roman"/>
        </w:rPr>
        <w:t>超过</w:t>
      </w:r>
      <w:r>
        <w:rPr>
          <w:rFonts w:ascii="Times New Roman" w:hAnsi="Times New Roman"/>
        </w:rPr>
        <w:t>200</w:t>
      </w:r>
      <w:r>
        <w:rPr>
          <w:rFonts w:ascii="Times New Roman"/>
        </w:rPr>
        <w:t>年。</w:t>
      </w:r>
    </w:p>
    <w:p>
      <w:pPr>
        <w:ind w:firstLine="480"/>
        <w:rPr>
          <w:rFonts w:ascii="Times New Roman" w:hAnsi="Times New Roman"/>
        </w:rPr>
      </w:pPr>
      <w:r>
        <w:rPr>
          <w:rFonts w:ascii="Times New Roman"/>
        </w:rPr>
        <w:t>因此减少甲烷向大气中的排放对缓解全球变暖具有较明显的近期效果。用煤成气代替煤炭和石油，还可以减少</w:t>
      </w:r>
      <w:r>
        <w:rPr>
          <w:rFonts w:ascii="Times New Roman" w:hAnsi="Times New Roman"/>
        </w:rPr>
        <w:t>CO</w:t>
      </w:r>
      <w:r>
        <w:rPr>
          <w:rFonts w:ascii="Times New Roman" w:hAnsi="Times New Roman"/>
          <w:vertAlign w:val="subscript"/>
        </w:rPr>
        <w:t>2</w:t>
      </w:r>
      <w:r>
        <w:rPr>
          <w:rFonts w:ascii="Times New Roman"/>
        </w:rPr>
        <w:t>的排放。因此，开发利用煤成气，对减少温室气体排放，改善大气环境具有非常重要的作用。</w:t>
      </w:r>
    </w:p>
    <w:p>
      <w:pPr>
        <w:ind w:firstLine="480"/>
        <w:rPr>
          <w:rFonts w:ascii="Times New Roman" w:hAnsi="Times New Roman"/>
        </w:rPr>
      </w:pPr>
      <w:r>
        <w:rPr>
          <w:rFonts w:hint="eastAsia" w:ascii="Times New Roman" w:hAnsi="Times New Roman"/>
        </w:rPr>
        <w:t>（2）</w:t>
      </w:r>
      <w:r>
        <w:rPr>
          <w:rFonts w:ascii="Times New Roman"/>
        </w:rPr>
        <w:t>降低污染物的排放量</w:t>
      </w:r>
    </w:p>
    <w:p>
      <w:pPr>
        <w:pStyle w:val="6"/>
        <w:spacing w:after="0" w:line="360" w:lineRule="auto"/>
        <w:ind w:firstLine="480"/>
        <w:rPr>
          <w:rFonts w:ascii="Times New Roman" w:hAnsi="Times New Roman" w:cs="Times New Roman"/>
          <w:sz w:val="24"/>
        </w:rPr>
      </w:pPr>
      <w:r>
        <w:rPr>
          <w:rFonts w:ascii="Times New Roman" w:cs="Times New Roman"/>
          <w:sz w:val="24"/>
        </w:rPr>
        <w:t>煤成气开发利用可以部分或全部替代工业和民用燃煤。假设日产气量为</w:t>
      </w:r>
      <w:r>
        <w:rPr>
          <w:rFonts w:ascii="Times New Roman" w:hAnsi="Times New Roman" w:cs="Times New Roman"/>
          <w:sz w:val="24"/>
        </w:rPr>
        <w:t>1800m</w:t>
      </w:r>
      <w:r>
        <w:rPr>
          <w:rFonts w:ascii="Times New Roman" w:hAnsi="Times New Roman" w:cs="Times New Roman"/>
          <w:sz w:val="24"/>
          <w:vertAlign w:val="superscript"/>
        </w:rPr>
        <w:t>3</w:t>
      </w:r>
      <w:r>
        <w:rPr>
          <w:rFonts w:ascii="Times New Roman" w:cs="Times New Roman"/>
          <w:sz w:val="24"/>
        </w:rPr>
        <w:t>的煤成气</w:t>
      </w:r>
      <w:r>
        <w:rPr>
          <w:rFonts w:hint="eastAsia" w:ascii="Times New Roman" w:cs="Times New Roman"/>
          <w:sz w:val="24"/>
        </w:rPr>
        <w:t>集气站</w:t>
      </w:r>
      <w:r>
        <w:rPr>
          <w:rFonts w:ascii="Times New Roman" w:cs="Times New Roman"/>
          <w:sz w:val="24"/>
        </w:rPr>
        <w:t>，其日产量就相当于</w:t>
      </w:r>
      <w:r>
        <w:rPr>
          <w:rFonts w:ascii="Times New Roman" w:hAnsi="Times New Roman" w:cs="Times New Roman"/>
          <w:sz w:val="24"/>
        </w:rPr>
        <w:t>2</w:t>
      </w:r>
      <w:r>
        <w:rPr>
          <w:rFonts w:ascii="Times New Roman" w:cs="Times New Roman"/>
          <w:sz w:val="24"/>
        </w:rPr>
        <w:t>吨标准煤。如果煤的含硫量为</w:t>
      </w:r>
      <w:r>
        <w:rPr>
          <w:rFonts w:ascii="Times New Roman" w:hAnsi="Times New Roman" w:cs="Times New Roman"/>
          <w:sz w:val="24"/>
        </w:rPr>
        <w:t>0.6</w:t>
      </w:r>
      <w:r>
        <w:rPr>
          <w:rFonts w:ascii="Times New Roman" w:cs="Times New Roman"/>
          <w:sz w:val="24"/>
        </w:rPr>
        <w:t>％，燃煤采用机械风动抛煤炉，并装有除尘效率为</w:t>
      </w:r>
      <w:r>
        <w:rPr>
          <w:rFonts w:ascii="Times New Roman" w:hAnsi="Times New Roman" w:cs="Times New Roman"/>
          <w:sz w:val="24"/>
        </w:rPr>
        <w:t>90</w:t>
      </w:r>
      <w:r>
        <w:rPr>
          <w:rFonts w:hint="eastAsia" w:ascii="Times New Roman" w:cs="Times New Roman"/>
          <w:sz w:val="24"/>
        </w:rPr>
        <w:t>%</w:t>
      </w:r>
      <w:r>
        <w:rPr>
          <w:rFonts w:ascii="Times New Roman" w:cs="Times New Roman"/>
          <w:sz w:val="24"/>
        </w:rPr>
        <w:t>的除尘器。将燃烧煤成气与燃烧标准煤所排放污染物的数量进行比较，见表</w:t>
      </w:r>
      <w:r>
        <w:rPr>
          <w:rFonts w:hint="eastAsia" w:ascii="Times New Roman" w:hAnsi="Times New Roman" w:cs="Times New Roman"/>
          <w:sz w:val="24"/>
        </w:rPr>
        <w:t>7.2-1</w:t>
      </w:r>
      <w:r>
        <w:rPr>
          <w:rFonts w:ascii="Times New Roman" w:cs="Times New Roman"/>
          <w:sz w:val="24"/>
        </w:rPr>
        <w:t>。</w:t>
      </w:r>
    </w:p>
    <w:p>
      <w:pPr>
        <w:spacing w:before="156" w:beforeLines="50" w:line="240" w:lineRule="auto"/>
        <w:ind w:firstLine="0" w:firstLineChars="0"/>
        <w:jc w:val="center"/>
        <w:rPr>
          <w:rFonts w:ascii="Times New Roman" w:hAnsi="Times New Roman"/>
          <w:b/>
          <w:sz w:val="21"/>
        </w:rPr>
      </w:pPr>
      <w:r>
        <w:rPr>
          <w:rFonts w:ascii="Times New Roman" w:hAnsi="Times New Roman"/>
          <w:b/>
          <w:sz w:val="21"/>
        </w:rPr>
        <w:t>表7.2-1  燃烧煤成气与燃烧标准煤排放污染物对比</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0"/>
        <w:gridCol w:w="1641"/>
        <w:gridCol w:w="1642"/>
        <w:gridCol w:w="1641"/>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1237" w:type="pct"/>
            <w:shd w:val="clear" w:color="auto" w:fill="auto"/>
            <w:vAlign w:val="center"/>
          </w:tcPr>
          <w:p>
            <w:pPr>
              <w:pStyle w:val="42"/>
            </w:pPr>
            <w:r>
              <w:t>燃料</w:t>
            </w:r>
          </w:p>
        </w:tc>
        <w:tc>
          <w:tcPr>
            <w:tcW w:w="962" w:type="pct"/>
            <w:shd w:val="clear" w:color="auto" w:fill="auto"/>
            <w:vAlign w:val="center"/>
          </w:tcPr>
          <w:p>
            <w:pPr>
              <w:pStyle w:val="42"/>
            </w:pPr>
            <w:r>
              <w:t>排气量(m</w:t>
            </w:r>
            <w:r>
              <w:rPr>
                <w:vertAlign w:val="superscript"/>
              </w:rPr>
              <w:t>3</w:t>
            </w:r>
            <w:r>
              <w:t>)</w:t>
            </w:r>
          </w:p>
        </w:tc>
        <w:tc>
          <w:tcPr>
            <w:tcW w:w="963" w:type="pct"/>
            <w:shd w:val="clear" w:color="auto" w:fill="auto"/>
            <w:vAlign w:val="center"/>
          </w:tcPr>
          <w:p>
            <w:pPr>
              <w:pStyle w:val="42"/>
            </w:pPr>
            <w:r>
              <w:t>NOx(kg)</w:t>
            </w:r>
          </w:p>
        </w:tc>
        <w:tc>
          <w:tcPr>
            <w:tcW w:w="962" w:type="pct"/>
            <w:shd w:val="clear" w:color="auto" w:fill="auto"/>
            <w:vAlign w:val="center"/>
          </w:tcPr>
          <w:p>
            <w:pPr>
              <w:pStyle w:val="42"/>
            </w:pPr>
            <w:r>
              <w:t>SO</w:t>
            </w:r>
            <w:r>
              <w:rPr>
                <w:vertAlign w:val="subscript"/>
              </w:rPr>
              <w:t>2</w:t>
            </w:r>
            <w:r>
              <w:t>(kg)</w:t>
            </w:r>
          </w:p>
        </w:tc>
        <w:tc>
          <w:tcPr>
            <w:tcW w:w="876" w:type="pct"/>
            <w:shd w:val="clear" w:color="auto" w:fill="auto"/>
            <w:vAlign w:val="center"/>
          </w:tcPr>
          <w:p>
            <w:pPr>
              <w:pStyle w:val="42"/>
            </w:pPr>
            <w:r>
              <w:t>烟尘(kg)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1237" w:type="pct"/>
            <w:shd w:val="clear" w:color="auto" w:fill="auto"/>
            <w:vAlign w:val="center"/>
          </w:tcPr>
          <w:p>
            <w:pPr>
              <w:pStyle w:val="42"/>
            </w:pPr>
            <w:r>
              <w:t>1800m</w:t>
            </w:r>
            <w:r>
              <w:rPr>
                <w:rFonts w:hint="eastAsia"/>
                <w:vertAlign w:val="superscript"/>
              </w:rPr>
              <w:t>3</w:t>
            </w:r>
            <w:r>
              <w:t>煤成气</w:t>
            </w:r>
          </w:p>
        </w:tc>
        <w:tc>
          <w:tcPr>
            <w:tcW w:w="962" w:type="pct"/>
            <w:shd w:val="clear" w:color="auto" w:fill="auto"/>
            <w:vAlign w:val="center"/>
          </w:tcPr>
          <w:p>
            <w:pPr>
              <w:pStyle w:val="42"/>
            </w:pPr>
            <w:r>
              <w:rPr>
                <w:rFonts w:hint="eastAsia"/>
              </w:rPr>
              <w:t>12960</w:t>
            </w:r>
          </w:p>
        </w:tc>
        <w:tc>
          <w:tcPr>
            <w:tcW w:w="963" w:type="pct"/>
            <w:shd w:val="clear" w:color="auto" w:fill="auto"/>
            <w:vAlign w:val="center"/>
          </w:tcPr>
          <w:p>
            <w:pPr>
              <w:pStyle w:val="42"/>
            </w:pPr>
            <w:r>
              <w:t>1.98</w:t>
            </w:r>
          </w:p>
        </w:tc>
        <w:tc>
          <w:tcPr>
            <w:tcW w:w="962" w:type="pct"/>
            <w:shd w:val="clear" w:color="auto" w:fill="auto"/>
            <w:vAlign w:val="center"/>
          </w:tcPr>
          <w:p>
            <w:pPr>
              <w:pStyle w:val="42"/>
            </w:pPr>
            <w:r>
              <w:t>0</w:t>
            </w:r>
          </w:p>
        </w:tc>
        <w:tc>
          <w:tcPr>
            <w:tcW w:w="876" w:type="pct"/>
            <w:shd w:val="clear" w:color="auto" w:fill="auto"/>
            <w:vAlign w:val="center"/>
          </w:tcPr>
          <w:p>
            <w:pPr>
              <w:pStyle w:val="42"/>
            </w:pPr>
            <w: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1237" w:type="pct"/>
            <w:shd w:val="clear" w:color="auto" w:fill="auto"/>
            <w:vAlign w:val="center"/>
          </w:tcPr>
          <w:p>
            <w:pPr>
              <w:pStyle w:val="42"/>
            </w:pPr>
            <w:r>
              <w:t>2吨标准煤</w:t>
            </w:r>
          </w:p>
        </w:tc>
        <w:tc>
          <w:tcPr>
            <w:tcW w:w="962" w:type="pct"/>
            <w:shd w:val="clear" w:color="auto" w:fill="auto"/>
            <w:vAlign w:val="center"/>
          </w:tcPr>
          <w:p>
            <w:pPr>
              <w:pStyle w:val="42"/>
            </w:pPr>
            <w:r>
              <w:t>22000</w:t>
            </w:r>
          </w:p>
        </w:tc>
        <w:tc>
          <w:tcPr>
            <w:tcW w:w="963" w:type="pct"/>
            <w:shd w:val="clear" w:color="auto" w:fill="auto"/>
            <w:vAlign w:val="center"/>
          </w:tcPr>
          <w:p>
            <w:pPr>
              <w:pStyle w:val="42"/>
            </w:pPr>
            <w:r>
              <w:t>8.8</w:t>
            </w:r>
          </w:p>
        </w:tc>
        <w:tc>
          <w:tcPr>
            <w:tcW w:w="962" w:type="pct"/>
            <w:shd w:val="clear" w:color="auto" w:fill="auto"/>
            <w:vAlign w:val="center"/>
          </w:tcPr>
          <w:p>
            <w:pPr>
              <w:pStyle w:val="42"/>
            </w:pPr>
            <w:r>
              <w:t>19.2</w:t>
            </w:r>
          </w:p>
        </w:tc>
        <w:tc>
          <w:tcPr>
            <w:tcW w:w="876" w:type="pct"/>
            <w:shd w:val="clear" w:color="auto" w:fill="auto"/>
            <w:vAlign w:val="center"/>
          </w:tcPr>
          <w:p>
            <w:pPr>
              <w:pStyle w:val="42"/>
            </w:pPr>
            <w:r>
              <w:t>4.4</w:t>
            </w:r>
          </w:p>
        </w:tc>
      </w:tr>
    </w:tbl>
    <w:p>
      <w:pPr>
        <w:pStyle w:val="6"/>
        <w:spacing w:after="0" w:line="360" w:lineRule="auto"/>
        <w:ind w:firstLine="480"/>
        <w:rPr>
          <w:rFonts w:ascii="Times New Roman" w:hAnsi="Times New Roman" w:cs="Times New Roman"/>
          <w:sz w:val="24"/>
        </w:rPr>
      </w:pPr>
      <w:r>
        <w:rPr>
          <w:rFonts w:ascii="Times New Roman" w:cs="Times New Roman"/>
          <w:sz w:val="24"/>
        </w:rPr>
        <w:t>从表中可以看到，煤成气燃烧排放的</w:t>
      </w:r>
      <w:r>
        <w:rPr>
          <w:rFonts w:ascii="Times New Roman" w:hAnsi="Times New Roman" w:cs="Times New Roman"/>
          <w:sz w:val="24"/>
        </w:rPr>
        <w:t>NOx</w:t>
      </w:r>
      <w:r>
        <w:rPr>
          <w:rFonts w:ascii="Times New Roman" w:cs="Times New Roman"/>
          <w:sz w:val="24"/>
        </w:rPr>
        <w:t>为燃煤的</w:t>
      </w:r>
      <w:r>
        <w:rPr>
          <w:rFonts w:ascii="Times New Roman" w:hAnsi="Times New Roman" w:cs="Times New Roman"/>
          <w:sz w:val="24"/>
        </w:rPr>
        <w:t>22.5%</w:t>
      </w:r>
      <w:r>
        <w:rPr>
          <w:rFonts w:ascii="Times New Roman" w:cs="Times New Roman"/>
          <w:sz w:val="24"/>
        </w:rPr>
        <w:t>，烟尘排放为燃煤的</w:t>
      </w:r>
      <w:r>
        <w:rPr>
          <w:rFonts w:ascii="Times New Roman" w:hAnsi="Times New Roman" w:cs="Times New Roman"/>
          <w:sz w:val="24"/>
        </w:rPr>
        <w:t>4.5%</w:t>
      </w:r>
      <w:r>
        <w:rPr>
          <w:rFonts w:ascii="Times New Roman" w:cs="Times New Roman"/>
          <w:sz w:val="24"/>
        </w:rPr>
        <w:t>，不产生</w:t>
      </w:r>
      <w:r>
        <w:rPr>
          <w:rFonts w:ascii="Times New Roman" w:hAnsi="Times New Roman" w:cs="Times New Roman"/>
          <w:sz w:val="24"/>
        </w:rPr>
        <w:t>SO</w:t>
      </w:r>
      <w:r>
        <w:rPr>
          <w:rFonts w:ascii="Times New Roman" w:hAnsi="Times New Roman" w:cs="Times New Roman"/>
          <w:sz w:val="24"/>
          <w:vertAlign w:val="subscript"/>
        </w:rPr>
        <w:t>2</w:t>
      </w:r>
      <w:r>
        <w:rPr>
          <w:rFonts w:ascii="Times New Roman" w:cs="Times New Roman"/>
          <w:sz w:val="24"/>
        </w:rPr>
        <w:t>，燃烧煤成气排放的各类污染物都远远低于燃煤排放的污染物量。因此煤成气开发利用，可以大大减少排入大气中的污染物，改善区域大气环境质量。</w:t>
      </w:r>
    </w:p>
    <w:p>
      <w:pPr>
        <w:pStyle w:val="6"/>
        <w:spacing w:after="0" w:line="360" w:lineRule="auto"/>
        <w:ind w:firstLine="480"/>
        <w:rPr>
          <w:rFonts w:ascii="Times New Roman" w:hAnsi="Times New Roman" w:cs="Times New Roman"/>
          <w:sz w:val="24"/>
        </w:rPr>
      </w:pPr>
      <w:r>
        <w:rPr>
          <w:rFonts w:hint="eastAsia" w:ascii="Times New Roman" w:hAnsi="Times New Roman" w:cs="Times New Roman"/>
          <w:sz w:val="24"/>
        </w:rPr>
        <w:t>（3）</w:t>
      </w:r>
      <w:r>
        <w:rPr>
          <w:rFonts w:ascii="Times New Roman" w:cs="Times New Roman"/>
          <w:sz w:val="24"/>
        </w:rPr>
        <w:t>减少由于运输带来的环境污染</w:t>
      </w:r>
    </w:p>
    <w:p>
      <w:pPr>
        <w:ind w:firstLine="480"/>
        <w:rPr>
          <w:rFonts w:ascii="Times New Roman" w:hAnsi="Times New Roman"/>
          <w:szCs w:val="24"/>
        </w:rPr>
      </w:pPr>
      <w:r>
        <w:rPr>
          <w:rFonts w:ascii="Times New Roman"/>
        </w:rPr>
        <w:t>管道输送是一种安全、稳定、高效的运送方式。由于煤成气采用管道密闭输送，运输中不会对环境造成污染。而利用煤炭或者石油，需要车船运输，运输中会产生一定量的大气污染物，如汽车尾气、二次扬尘。因此，利用煤成气避免了运输对环境的污染问题，保护了生态环境，具有较好的环境效益。</w:t>
      </w:r>
    </w:p>
    <w:p>
      <w:pPr>
        <w:ind w:firstLine="0" w:firstLineChars="0"/>
        <w:outlineLvl w:val="2"/>
        <w:rPr>
          <w:rFonts w:ascii="Times New Roman" w:hAnsi="Times New Roman"/>
          <w:b/>
          <w:sz w:val="28"/>
          <w:szCs w:val="28"/>
        </w:rPr>
      </w:pPr>
      <w:bookmarkStart w:id="128" w:name="_Toc524624655"/>
      <w:r>
        <w:rPr>
          <w:rFonts w:hint="eastAsia" w:ascii="Times New Roman" w:hAnsi="Times New Roman"/>
          <w:b/>
          <w:sz w:val="28"/>
          <w:szCs w:val="28"/>
        </w:rPr>
        <w:t>7.2.3 经济效益分析</w:t>
      </w:r>
      <w:bookmarkEnd w:id="128"/>
    </w:p>
    <w:p>
      <w:pPr>
        <w:adjustRightInd w:val="0"/>
        <w:snapToGrid w:val="0"/>
        <w:ind w:firstLine="480"/>
        <w:rPr>
          <w:rFonts w:ascii="Times New Roman" w:hAnsi="Times New Roman"/>
        </w:rPr>
      </w:pPr>
      <w:r>
        <w:rPr>
          <w:rFonts w:ascii="Times New Roman" w:hAnsi="Times New Roman"/>
        </w:rPr>
        <w:t>本项目建设资产总投资</w:t>
      </w:r>
      <w:r>
        <w:rPr>
          <w:rFonts w:hint="eastAsia" w:ascii="Times New Roman" w:hAnsi="Times New Roman"/>
        </w:rPr>
        <w:t>2988</w:t>
      </w:r>
      <w:r>
        <w:rPr>
          <w:rFonts w:ascii="Times New Roman" w:hAnsi="Times New Roman"/>
        </w:rPr>
        <w:t>万元。经预测，本项目生产期预计产能</w:t>
      </w:r>
      <w:r>
        <w:rPr>
          <w:rFonts w:hint="eastAsia" w:ascii="Times New Roman" w:hAnsi="Times New Roman"/>
        </w:rPr>
        <w:t>1.6亿方/年</w:t>
      </w:r>
      <w:r>
        <w:rPr>
          <w:rFonts w:ascii="Times New Roman" w:hAnsi="Times New Roman"/>
        </w:rPr>
        <w:t>，按</w:t>
      </w:r>
      <w:r>
        <w:rPr>
          <w:rFonts w:hint="eastAsia" w:ascii="Times New Roman" w:hAnsi="Times New Roman"/>
        </w:rPr>
        <w:t>煤成气</w:t>
      </w:r>
      <w:r>
        <w:rPr>
          <w:rFonts w:ascii="Times New Roman" w:hAnsi="Times New Roman"/>
        </w:rPr>
        <w:t>价格</w:t>
      </w:r>
      <w:r>
        <w:rPr>
          <w:rFonts w:hint="eastAsia" w:ascii="Times New Roman" w:hAnsi="Times New Roman"/>
        </w:rPr>
        <w:t>1.5</w:t>
      </w:r>
      <w:r>
        <w:rPr>
          <w:rFonts w:ascii="Times New Roman" w:hAnsi="Times New Roman"/>
        </w:rPr>
        <w:t>元/</w:t>
      </w:r>
      <w:r>
        <w:rPr>
          <w:rFonts w:hint="eastAsia" w:ascii="Times New Roman" w:hAnsi="Times New Roman"/>
        </w:rPr>
        <w:t>方</w:t>
      </w:r>
      <w:r>
        <w:rPr>
          <w:rFonts w:ascii="Times New Roman" w:hAnsi="Times New Roman"/>
        </w:rPr>
        <w:t>计算，本项目新增销售收入</w:t>
      </w:r>
      <w:r>
        <w:rPr>
          <w:rFonts w:hint="eastAsia" w:ascii="Times New Roman" w:hAnsi="Times New Roman"/>
        </w:rPr>
        <w:t>2.4亿</w:t>
      </w:r>
      <w:r>
        <w:rPr>
          <w:rFonts w:ascii="Times New Roman" w:hAnsi="Times New Roman"/>
        </w:rPr>
        <w:t>元。</w:t>
      </w:r>
    </w:p>
    <w:p>
      <w:pPr>
        <w:ind w:firstLine="480"/>
        <w:rPr>
          <w:rFonts w:ascii="Times New Roman" w:hAnsi="Times New Roman"/>
          <w:szCs w:val="24"/>
        </w:rPr>
      </w:pPr>
      <w:r>
        <w:rPr>
          <w:rFonts w:ascii="Times New Roman" w:hAnsi="Times New Roman"/>
        </w:rPr>
        <w:t>由此可见，本项目的建设不但可为企业带来较好的经济效益，而且可将本地的资源优势转化为经济优势，充分发挥气田开发建设的经济带动作用，促进地方经济的发展</w:t>
      </w:r>
    </w:p>
    <w:p>
      <w:pPr>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br w:type="page"/>
      </w:r>
    </w:p>
    <w:p>
      <w:pPr>
        <w:spacing w:before="156" w:beforeLines="50" w:after="156" w:afterLines="50"/>
        <w:ind w:firstLine="0" w:firstLineChars="0"/>
        <w:outlineLvl w:val="0"/>
        <w:rPr>
          <w:rFonts w:ascii="Times New Roman" w:hAnsi="Times New Roman"/>
          <w:szCs w:val="24"/>
        </w:rPr>
      </w:pPr>
      <w:bookmarkStart w:id="129" w:name="_Toc524624656"/>
      <w:r>
        <w:rPr>
          <w:rFonts w:hint="eastAsia" w:ascii="Times New Roman" w:hAnsi="Times New Roman"/>
          <w:b/>
          <w:sz w:val="32"/>
          <w:szCs w:val="32"/>
        </w:rPr>
        <w:t>8 环境管理与环境监测</w:t>
      </w:r>
      <w:bookmarkEnd w:id="129"/>
    </w:p>
    <w:p>
      <w:pPr>
        <w:spacing w:before="156" w:beforeLines="50" w:after="156" w:afterLines="50"/>
        <w:ind w:firstLine="0" w:firstLineChars="0"/>
        <w:outlineLvl w:val="1"/>
        <w:rPr>
          <w:rFonts w:ascii="Times New Roman" w:hAnsi="Times New Roman"/>
          <w:b/>
          <w:sz w:val="30"/>
          <w:szCs w:val="30"/>
        </w:rPr>
      </w:pPr>
      <w:bookmarkStart w:id="130" w:name="_Toc524624657"/>
      <w:r>
        <w:rPr>
          <w:rFonts w:hint="eastAsia" w:ascii="Times New Roman" w:hAnsi="Times New Roman"/>
          <w:b/>
          <w:sz w:val="30"/>
          <w:szCs w:val="30"/>
        </w:rPr>
        <w:t>8.1 环境管理体系建立与运行</w:t>
      </w:r>
      <w:bookmarkEnd w:id="130"/>
    </w:p>
    <w:p>
      <w:pPr>
        <w:ind w:firstLine="0" w:firstLineChars="0"/>
        <w:outlineLvl w:val="2"/>
        <w:rPr>
          <w:rFonts w:ascii="Times New Roman" w:hAnsi="Times New Roman"/>
          <w:b/>
          <w:sz w:val="28"/>
          <w:szCs w:val="28"/>
        </w:rPr>
      </w:pPr>
      <w:bookmarkStart w:id="131" w:name="_Toc524624658"/>
      <w:r>
        <w:rPr>
          <w:rFonts w:hint="eastAsia" w:ascii="Times New Roman" w:hAnsi="Times New Roman"/>
          <w:b/>
          <w:sz w:val="28"/>
          <w:szCs w:val="28"/>
        </w:rPr>
        <w:t>8.1.1 环境管理现状</w:t>
      </w:r>
      <w:bookmarkEnd w:id="131"/>
    </w:p>
    <w:p>
      <w:pPr>
        <w:ind w:firstLine="480"/>
        <w:rPr>
          <w:rFonts w:ascii="Times New Roman" w:hAnsi="Times New Roman"/>
        </w:rPr>
      </w:pPr>
      <w:r>
        <w:rPr>
          <w:rFonts w:ascii="Times New Roman" w:hAnsi="Times New Roman"/>
        </w:rPr>
        <w:t>为了在开发资源的同时，搞好勘探期的环境保护工作，进一步减少本项目对环境的影响及环境风险，保证提出的环保措施真正落到实处，增强企业和当地经济的可持续发展，</w:t>
      </w:r>
      <w:r>
        <w:rPr>
          <w:rFonts w:hint="eastAsia" w:ascii="Times New Roman" w:hAnsi="Times New Roman"/>
        </w:rPr>
        <w:t>内蒙采油厂</w:t>
      </w:r>
      <w:r>
        <w:rPr>
          <w:rFonts w:ascii="Times New Roman" w:hAnsi="Times New Roman"/>
        </w:rPr>
        <w:t>采取以下的环境管理措施：</w:t>
      </w:r>
    </w:p>
    <w:p>
      <w:pPr>
        <w:ind w:firstLine="480"/>
        <w:rPr>
          <w:rFonts w:ascii="Times New Roman" w:hAnsi="Times New Roman"/>
        </w:rPr>
      </w:pPr>
      <w:r>
        <w:rPr>
          <w:rFonts w:ascii="Times New Roman" w:hAnsi="宋体"/>
        </w:rPr>
        <w:t>（</w:t>
      </w:r>
      <w:r>
        <w:rPr>
          <w:rFonts w:ascii="Times New Roman" w:hAnsi="Times New Roman"/>
        </w:rPr>
        <w:t>1</w:t>
      </w:r>
      <w:r>
        <w:rPr>
          <w:rFonts w:ascii="Times New Roman" w:hAnsi="宋体"/>
        </w:rPr>
        <w:t>）</w:t>
      </w:r>
      <w:r>
        <w:rPr>
          <w:rFonts w:ascii="Times New Roman" w:hAnsi="Times New Roman"/>
        </w:rPr>
        <w:t>建设单位严格执行国家、当地政府有关健康、安全与环境保护法律、法规相关文件的规定。</w:t>
      </w:r>
    </w:p>
    <w:p>
      <w:pPr>
        <w:ind w:firstLine="480"/>
        <w:rPr>
          <w:rFonts w:ascii="Times New Roman" w:hAnsi="Times New Roman"/>
        </w:rPr>
      </w:pPr>
      <w:r>
        <w:rPr>
          <w:rFonts w:ascii="Times New Roman" w:hAnsi="宋体"/>
        </w:rPr>
        <w:t>（</w:t>
      </w:r>
      <w:r>
        <w:rPr>
          <w:rFonts w:ascii="Times New Roman" w:hAnsi="Times New Roman"/>
        </w:rPr>
        <w:t>2</w:t>
      </w:r>
      <w:r>
        <w:rPr>
          <w:rFonts w:ascii="Times New Roman" w:hAnsi="宋体"/>
        </w:rPr>
        <w:t>）</w:t>
      </w:r>
      <w:r>
        <w:rPr>
          <w:rFonts w:ascii="Times New Roman" w:hAnsi="Times New Roman"/>
        </w:rPr>
        <w:t>施工单位严格执行《石油天然气工业健康、安全与环境管理体系》（SY/T6276－1997）和《石油天然气钻井健康、安全与环境管理体系指南》（SY/T6283－1997）行业标准的相关规定。</w:t>
      </w:r>
    </w:p>
    <w:p>
      <w:pPr>
        <w:ind w:firstLine="480"/>
        <w:rPr>
          <w:rFonts w:ascii="Times New Roman" w:hAnsi="Times New Roman"/>
        </w:rPr>
      </w:pPr>
      <w:r>
        <w:rPr>
          <w:rFonts w:ascii="Times New Roman" w:hAnsi="宋体"/>
        </w:rPr>
        <w:t>（</w:t>
      </w:r>
      <w:r>
        <w:rPr>
          <w:rFonts w:ascii="Times New Roman" w:hAnsi="Times New Roman"/>
        </w:rPr>
        <w:t>3</w:t>
      </w:r>
      <w:r>
        <w:rPr>
          <w:rFonts w:ascii="Times New Roman" w:hAnsi="宋体"/>
        </w:rPr>
        <w:t>）</w:t>
      </w:r>
      <w:r>
        <w:rPr>
          <w:rFonts w:ascii="Times New Roman" w:hAnsi="Times New Roman"/>
        </w:rPr>
        <w:t>根据环境影响评价报告书对井场周边环境进行核查，如居住人口、电力、河流情况、地方政府情况、重点保护区情况、安全、环保、消防、卫生机构等。</w:t>
      </w:r>
    </w:p>
    <w:p>
      <w:pPr>
        <w:ind w:firstLine="480"/>
        <w:rPr>
          <w:rFonts w:ascii="Times New Roman" w:hAnsi="Times New Roman"/>
        </w:rPr>
      </w:pPr>
      <w:r>
        <w:rPr>
          <w:rFonts w:ascii="Times New Roman" w:hAnsi="宋体"/>
        </w:rPr>
        <w:t>（</w:t>
      </w:r>
      <w:r>
        <w:rPr>
          <w:rFonts w:ascii="Times New Roman" w:hAnsi="Times New Roman"/>
        </w:rPr>
        <w:t>4</w:t>
      </w:r>
      <w:r>
        <w:rPr>
          <w:rFonts w:ascii="Times New Roman" w:hAnsi="宋体"/>
        </w:rPr>
        <w:t>）</w:t>
      </w:r>
      <w:r>
        <w:rPr>
          <w:rFonts w:ascii="Times New Roman" w:hAnsi="Times New Roman"/>
        </w:rPr>
        <w:t>管理部门和施工单位均按规定执行环境保护“三同时”原则。</w:t>
      </w:r>
    </w:p>
    <w:p>
      <w:pPr>
        <w:ind w:firstLine="480"/>
        <w:rPr>
          <w:rFonts w:ascii="Times New Roman" w:hAnsi="Times New Roman"/>
        </w:rPr>
      </w:pPr>
      <w:r>
        <w:rPr>
          <w:rFonts w:ascii="Times New Roman" w:hAnsi="宋体"/>
        </w:rPr>
        <w:t>（</w:t>
      </w:r>
      <w:r>
        <w:rPr>
          <w:rFonts w:ascii="Times New Roman" w:hAnsi="Times New Roman"/>
        </w:rPr>
        <w:t>5</w:t>
      </w:r>
      <w:r>
        <w:rPr>
          <w:rFonts w:ascii="Times New Roman" w:hAnsi="宋体"/>
        </w:rPr>
        <w:t>）</w:t>
      </w:r>
      <w:r>
        <w:rPr>
          <w:rFonts w:ascii="Times New Roman" w:hAnsi="Times New Roman"/>
        </w:rPr>
        <w:t>建立环境管理机构，制定环境管理制度，按规定进行环境监测。</w:t>
      </w:r>
    </w:p>
    <w:p>
      <w:pPr>
        <w:ind w:firstLine="0" w:firstLineChars="0"/>
        <w:outlineLvl w:val="2"/>
        <w:rPr>
          <w:rFonts w:ascii="Times New Roman" w:hAnsi="Times New Roman"/>
          <w:b/>
          <w:sz w:val="28"/>
          <w:szCs w:val="28"/>
        </w:rPr>
      </w:pPr>
      <w:bookmarkStart w:id="132" w:name="_Toc524624659"/>
      <w:r>
        <w:rPr>
          <w:rFonts w:hint="eastAsia" w:ascii="Times New Roman" w:hAnsi="Times New Roman"/>
          <w:b/>
          <w:sz w:val="28"/>
          <w:szCs w:val="28"/>
        </w:rPr>
        <w:t>8.1.2 施工期的环境管理</w:t>
      </w:r>
      <w:bookmarkEnd w:id="132"/>
    </w:p>
    <w:p>
      <w:pPr>
        <w:ind w:firstLine="480"/>
        <w:rPr>
          <w:rFonts w:ascii="Times New Roman" w:hAnsi="Times New Roman"/>
          <w:szCs w:val="24"/>
        </w:rPr>
      </w:pPr>
      <w:r>
        <w:rPr>
          <w:rFonts w:hint="eastAsia" w:ascii="Times New Roman" w:hAnsi="Times New Roman"/>
          <w:szCs w:val="24"/>
        </w:rPr>
        <w:t>（1）贯彻执行国家环境保护的方针、政策、法律和法规；组织制定本部门环境保护的规章制度和标准，并督促检查其执行。</w:t>
      </w:r>
    </w:p>
    <w:p>
      <w:pPr>
        <w:ind w:firstLine="480"/>
        <w:rPr>
          <w:rFonts w:ascii="Times New Roman" w:hAnsi="Times New Roman"/>
          <w:szCs w:val="24"/>
        </w:rPr>
      </w:pPr>
      <w:r>
        <w:rPr>
          <w:rFonts w:hint="eastAsia" w:ascii="Times New Roman" w:hAnsi="Times New Roman"/>
          <w:szCs w:val="24"/>
        </w:rPr>
        <w:t>（2）在施工期应建立环境监理制度，实现对开发区域的实时监测管理。</w:t>
      </w:r>
    </w:p>
    <w:p>
      <w:pPr>
        <w:ind w:firstLine="480"/>
        <w:rPr>
          <w:rFonts w:ascii="Times New Roman" w:hAnsi="Times New Roman"/>
          <w:szCs w:val="24"/>
        </w:rPr>
      </w:pPr>
      <w:r>
        <w:rPr>
          <w:rFonts w:hint="eastAsia" w:ascii="Times New Roman" w:hAnsi="Times New Roman"/>
          <w:szCs w:val="24"/>
        </w:rPr>
        <w:t>（3）参与选择环保业绩优秀的施工承包方。施工过程对环境的破坏程度与施工承包方的素质和管理水平有很大关系。在承包方的选择上，除实力、人员素质和装备技术等方面外，还要考虑施工承包方的HSE表现，应优选那些HSE管理水平高、业绩好的单位。</w:t>
      </w:r>
    </w:p>
    <w:p>
      <w:pPr>
        <w:ind w:firstLine="480"/>
        <w:rPr>
          <w:rFonts w:ascii="Times New Roman" w:hAnsi="Times New Roman"/>
          <w:szCs w:val="24"/>
        </w:rPr>
      </w:pPr>
      <w:r>
        <w:rPr>
          <w:rFonts w:hint="eastAsia" w:ascii="Times New Roman" w:hAnsi="Times New Roman"/>
          <w:szCs w:val="24"/>
        </w:rPr>
        <w:t>（4）对施工承包方提出明确的环保要求。在承包合同中应明确规定有关环境保护条款，如将主要环境保护目标应采取的水、气、声、生态保护及水土保持等的执行情况作为工程验收的标准之一。</w:t>
      </w:r>
    </w:p>
    <w:p>
      <w:pPr>
        <w:ind w:firstLine="480"/>
        <w:rPr>
          <w:rFonts w:ascii="Times New Roman" w:hAnsi="Times New Roman"/>
          <w:szCs w:val="24"/>
        </w:rPr>
      </w:pPr>
      <w:r>
        <w:rPr>
          <w:rFonts w:hint="eastAsia" w:ascii="Times New Roman" w:hAnsi="Times New Roman"/>
          <w:szCs w:val="24"/>
        </w:rPr>
        <w:t>（5）根据区域内不同的环境保护目标、环境保护要求，制定发生环境事故的应急计划和措施。</w:t>
      </w:r>
    </w:p>
    <w:p>
      <w:pPr>
        <w:ind w:firstLine="0" w:firstLineChars="0"/>
        <w:outlineLvl w:val="2"/>
        <w:rPr>
          <w:rFonts w:ascii="Times New Roman" w:hAnsi="Times New Roman"/>
          <w:b/>
          <w:sz w:val="28"/>
          <w:szCs w:val="28"/>
        </w:rPr>
      </w:pPr>
      <w:bookmarkStart w:id="133" w:name="_Toc524624660"/>
      <w:r>
        <w:rPr>
          <w:rFonts w:hint="eastAsia" w:ascii="Times New Roman" w:hAnsi="Times New Roman"/>
          <w:b/>
          <w:sz w:val="28"/>
          <w:szCs w:val="28"/>
        </w:rPr>
        <w:t>8.1.3 施工期的环境监理</w:t>
      </w:r>
      <w:bookmarkEnd w:id="133"/>
    </w:p>
    <w:p>
      <w:pPr>
        <w:ind w:firstLine="480"/>
        <w:rPr>
          <w:rFonts w:ascii="Times New Roman" w:hAnsi="Times New Roman"/>
        </w:rPr>
      </w:pPr>
      <w:r>
        <w:rPr>
          <w:rFonts w:ascii="Times New Roman" w:hAnsi="Times New Roman"/>
        </w:rPr>
        <w:t>环境监理是聘请有资质的第三方对环境管理工作及环境法规和政策的执行情况进行监察和督促的整套措施和方法，其主要任务是协助甲方落实工程施工期间的各项环境保护措施和方案，具体要求见表</w:t>
      </w:r>
      <w:r>
        <w:rPr>
          <w:rFonts w:hint="eastAsia" w:ascii="Times New Roman" w:hAnsi="Times New Roman"/>
        </w:rPr>
        <w:t>8.1</w:t>
      </w:r>
      <w:r>
        <w:rPr>
          <w:rFonts w:ascii="Times New Roman" w:hAnsi="Times New Roman"/>
        </w:rPr>
        <w:t>-1。</w:t>
      </w:r>
    </w:p>
    <w:p>
      <w:pPr>
        <w:ind w:firstLine="480"/>
        <w:rPr>
          <w:rFonts w:ascii="Times New Roman" w:hAnsi="Times New Roman"/>
        </w:rPr>
      </w:pPr>
      <w:r>
        <w:rPr>
          <w:rFonts w:ascii="Times New Roman" w:hAnsi="Times New Roman"/>
        </w:rPr>
        <w:t>在钻井阶段就开始实施环境监理，环境监理人员的主要职责是：</w:t>
      </w:r>
    </w:p>
    <w:p>
      <w:pPr>
        <w:ind w:firstLine="480"/>
        <w:rPr>
          <w:rFonts w:ascii="Times New Roman" w:hAnsi="Times New Roman"/>
        </w:rPr>
      </w:pPr>
      <w:r>
        <w:rPr>
          <w:rFonts w:hint="eastAsia" w:ascii="宋体" w:hAnsi="宋体" w:cs="宋体"/>
        </w:rPr>
        <w:t>（1）</w:t>
      </w:r>
      <w:r>
        <w:rPr>
          <w:rFonts w:ascii="Times New Roman" w:hAnsi="Times New Roman"/>
        </w:rPr>
        <w:t>监督施工现场对环境管理方案的落实情况；</w:t>
      </w:r>
    </w:p>
    <w:p>
      <w:pPr>
        <w:ind w:firstLine="480"/>
        <w:rPr>
          <w:rFonts w:ascii="Times New Roman" w:hAnsi="Times New Roman"/>
        </w:rPr>
      </w:pPr>
      <w:r>
        <w:rPr>
          <w:rFonts w:hint="eastAsia" w:ascii="宋体" w:hAnsi="宋体" w:cs="宋体"/>
        </w:rPr>
        <w:t>（2）</w:t>
      </w:r>
      <w:r>
        <w:rPr>
          <w:rFonts w:ascii="Times New Roman" w:hAnsi="Times New Roman"/>
        </w:rPr>
        <w:t>及时向HSE部门汇报施工环境管理现状，并根据发现的问题提出合理化建议；</w:t>
      </w:r>
    </w:p>
    <w:p>
      <w:pPr>
        <w:ind w:firstLine="480"/>
        <w:rPr>
          <w:rFonts w:ascii="Times New Roman" w:hAnsi="Times New Roman"/>
        </w:rPr>
      </w:pPr>
      <w:r>
        <w:rPr>
          <w:rFonts w:hint="eastAsia" w:ascii="宋体" w:hAnsi="宋体" w:cs="宋体"/>
        </w:rPr>
        <w:t>（3）</w:t>
      </w:r>
      <w:r>
        <w:rPr>
          <w:rFonts w:ascii="Times New Roman" w:hAnsi="Times New Roman"/>
        </w:rPr>
        <w:t>及时制止违反环境法律法规和将造成环境污染或隐患的行为；</w:t>
      </w:r>
    </w:p>
    <w:p>
      <w:pPr>
        <w:ind w:firstLine="480"/>
        <w:rPr>
          <w:rFonts w:ascii="Times New Roman" w:hAnsi="Times New Roman"/>
        </w:rPr>
      </w:pPr>
      <w:r>
        <w:rPr>
          <w:rFonts w:hint="eastAsia" w:ascii="宋体" w:hAnsi="宋体" w:cs="宋体"/>
        </w:rPr>
        <w:t>（4）</w:t>
      </w:r>
      <w:r>
        <w:rPr>
          <w:rFonts w:ascii="Times New Roman" w:hAnsi="Times New Roman"/>
        </w:rPr>
        <w:t>协助HSE部门经理宣传贯彻国家和地方政府的有关环境方面的法律法规；</w:t>
      </w:r>
    </w:p>
    <w:p>
      <w:pPr>
        <w:ind w:firstLine="480"/>
        <w:rPr>
          <w:rFonts w:ascii="Times New Roman" w:hAnsi="Times New Roman"/>
        </w:rPr>
      </w:pPr>
      <w:r>
        <w:rPr>
          <w:rFonts w:hint="eastAsia" w:ascii="宋体" w:hAnsi="宋体" w:cs="宋体"/>
        </w:rPr>
        <w:t>（5）</w:t>
      </w:r>
      <w:r>
        <w:rPr>
          <w:rFonts w:ascii="Times New Roman" w:hAnsi="Times New Roman"/>
        </w:rPr>
        <w:t>对HSE工作的真实性、合法性进行严格审查，评价其效果，并提出改进意见。</w:t>
      </w:r>
    </w:p>
    <w:p>
      <w:pPr>
        <w:snapToGrid w:val="0"/>
        <w:spacing w:line="240" w:lineRule="auto"/>
        <w:ind w:firstLine="0" w:firstLineChars="0"/>
        <w:jc w:val="center"/>
        <w:rPr>
          <w:rFonts w:ascii="Times New Roman" w:hAnsi="Times New Roman"/>
          <w:b/>
          <w:snapToGrid w:val="0"/>
          <w:kern w:val="0"/>
          <w:sz w:val="21"/>
        </w:rPr>
      </w:pPr>
      <w:r>
        <w:rPr>
          <w:rFonts w:hint="eastAsia" w:ascii="Times New Roman" w:hAnsi="Times New Roman"/>
          <w:b/>
          <w:snapToGrid w:val="0"/>
          <w:kern w:val="0"/>
          <w:sz w:val="21"/>
        </w:rPr>
        <w:t>表</w:t>
      </w:r>
      <w:r>
        <w:rPr>
          <w:rFonts w:ascii="Times New Roman" w:hAnsi="Times New Roman"/>
          <w:b/>
          <w:snapToGrid w:val="0"/>
          <w:kern w:val="0"/>
          <w:sz w:val="21"/>
        </w:rPr>
        <w:t xml:space="preserve">8.1-1    </w:t>
      </w:r>
      <w:r>
        <w:rPr>
          <w:rFonts w:hint="eastAsia" w:ascii="Times New Roman" w:hAnsi="Times New Roman"/>
          <w:b/>
          <w:snapToGrid w:val="0"/>
          <w:kern w:val="0"/>
          <w:sz w:val="21"/>
        </w:rPr>
        <w:t>现场环境监理工作重点</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6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场地</w:t>
            </w:r>
          </w:p>
        </w:tc>
        <w:tc>
          <w:tcPr>
            <w:tcW w:w="40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监督内容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管沟开挖现场</w:t>
            </w:r>
          </w:p>
        </w:tc>
        <w:tc>
          <w:tcPr>
            <w:tcW w:w="40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1</w:t>
            </w:r>
            <w:r>
              <w:rPr>
                <w:rFonts w:hint="eastAsia" w:ascii="Times New Roman" w:hAnsi="Times New Roman"/>
                <w:snapToGrid w:val="0"/>
                <w:kern w:val="0"/>
                <w:sz w:val="21"/>
              </w:rPr>
              <w:t>、是否执行了</w:t>
            </w:r>
            <w:r>
              <w:rPr>
                <w:rFonts w:ascii="Times New Roman" w:hAnsi="Times New Roman"/>
                <w:snapToGrid w:val="0"/>
                <w:kern w:val="0"/>
                <w:sz w:val="21"/>
              </w:rPr>
              <w:t>“</w:t>
            </w:r>
            <w:r>
              <w:rPr>
                <w:rFonts w:hint="eastAsia" w:ascii="Times New Roman" w:hAnsi="Times New Roman"/>
                <w:snapToGrid w:val="0"/>
                <w:kern w:val="0"/>
                <w:sz w:val="21"/>
              </w:rPr>
              <w:t>分层开挖、堆放、回填</w:t>
            </w:r>
            <w:r>
              <w:rPr>
                <w:rFonts w:ascii="Times New Roman" w:hAnsi="Times New Roman"/>
                <w:snapToGrid w:val="0"/>
                <w:kern w:val="0"/>
                <w:sz w:val="21"/>
              </w:rPr>
              <w:t>”</w:t>
            </w:r>
            <w:r>
              <w:rPr>
                <w:rFonts w:hint="eastAsia" w:ascii="Times New Roman" w:hAnsi="Times New Roman"/>
                <w:snapToGrid w:val="0"/>
                <w:kern w:val="0"/>
                <w:sz w:val="21"/>
              </w:rPr>
              <w:t>的操作制度；</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2</w:t>
            </w:r>
            <w:r>
              <w:rPr>
                <w:rFonts w:hint="eastAsia" w:ascii="Times New Roman" w:hAnsi="Times New Roman"/>
                <w:snapToGrid w:val="0"/>
                <w:kern w:val="0"/>
                <w:sz w:val="21"/>
              </w:rPr>
              <w:t>、施工人员及机械作业是否超越了作业带宽度；</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3</w:t>
            </w:r>
            <w:r>
              <w:rPr>
                <w:rFonts w:hint="eastAsia" w:ascii="Times New Roman" w:hAnsi="Times New Roman"/>
                <w:snapToGrid w:val="0"/>
                <w:kern w:val="0"/>
                <w:sz w:val="21"/>
              </w:rPr>
              <w:t>、管道是否采用了平埋方式。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井场和道路施工</w:t>
            </w:r>
          </w:p>
        </w:tc>
        <w:tc>
          <w:tcPr>
            <w:tcW w:w="40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1</w:t>
            </w:r>
            <w:r>
              <w:rPr>
                <w:rFonts w:hint="eastAsia" w:ascii="Times New Roman" w:hAnsi="Times New Roman"/>
                <w:snapToGrid w:val="0"/>
                <w:kern w:val="0"/>
                <w:sz w:val="21"/>
              </w:rPr>
              <w:t>、施工是否采取抑尘措施；</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2</w:t>
            </w:r>
            <w:r>
              <w:rPr>
                <w:rFonts w:hint="eastAsia" w:ascii="Times New Roman" w:hAnsi="Times New Roman"/>
                <w:snapToGrid w:val="0"/>
                <w:kern w:val="0"/>
                <w:sz w:val="21"/>
              </w:rPr>
              <w:t>、占地是否按规定占地执行；</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3</w:t>
            </w:r>
            <w:r>
              <w:rPr>
                <w:rFonts w:hint="eastAsia" w:ascii="Times New Roman" w:hAnsi="Times New Roman"/>
                <w:snapToGrid w:val="0"/>
                <w:kern w:val="0"/>
                <w:sz w:val="21"/>
              </w:rPr>
              <w:t>、表土是否采取了集中存放，并采取防止土壤风蚀防护措施；</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4</w:t>
            </w:r>
            <w:r>
              <w:rPr>
                <w:rFonts w:hint="eastAsia" w:ascii="Times New Roman" w:hAnsi="Times New Roman"/>
                <w:snapToGrid w:val="0"/>
                <w:kern w:val="0"/>
                <w:sz w:val="21"/>
              </w:rPr>
              <w:t>、是否执行了表土回覆措施；</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5</w:t>
            </w:r>
            <w:r>
              <w:rPr>
                <w:rFonts w:hint="eastAsia" w:ascii="Times New Roman" w:hAnsi="Times New Roman"/>
                <w:snapToGrid w:val="0"/>
                <w:kern w:val="0"/>
                <w:sz w:val="21"/>
              </w:rPr>
              <w:t>、泥浆池是否采取了防渗和防溢漏措施；</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6</w:t>
            </w:r>
            <w:r>
              <w:rPr>
                <w:rFonts w:hint="eastAsia" w:ascii="Times New Roman" w:hAnsi="Times New Roman"/>
                <w:snapToGrid w:val="0"/>
                <w:kern w:val="0"/>
                <w:sz w:val="21"/>
              </w:rPr>
              <w:t>、场地是否进行了平整恢复。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施工营地</w:t>
            </w:r>
          </w:p>
        </w:tc>
        <w:tc>
          <w:tcPr>
            <w:tcW w:w="40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1</w:t>
            </w:r>
            <w:r>
              <w:rPr>
                <w:rFonts w:hint="eastAsia" w:ascii="Times New Roman" w:hAnsi="Times New Roman"/>
                <w:snapToGrid w:val="0"/>
                <w:kern w:val="0"/>
                <w:sz w:val="21"/>
              </w:rPr>
              <w:t>、营地的生活垃圾是否堆放在固定地点，并在完工后集中处理；</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2</w:t>
            </w:r>
            <w:r>
              <w:rPr>
                <w:rFonts w:hint="eastAsia" w:ascii="Times New Roman" w:hAnsi="Times New Roman"/>
                <w:snapToGrid w:val="0"/>
                <w:kern w:val="0"/>
                <w:sz w:val="21"/>
              </w:rPr>
              <w:t>、营地的生活污水处理是否合理；</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3</w:t>
            </w:r>
            <w:r>
              <w:rPr>
                <w:rFonts w:hint="eastAsia" w:ascii="Times New Roman" w:hAnsi="Times New Roman"/>
                <w:snapToGrid w:val="0"/>
                <w:kern w:val="0"/>
                <w:sz w:val="21"/>
              </w:rPr>
              <w:t>、施工后厕所是否按要求填埋处理；</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4</w:t>
            </w:r>
            <w:r>
              <w:rPr>
                <w:rFonts w:hint="eastAsia" w:ascii="Times New Roman" w:hAnsi="Times New Roman"/>
                <w:snapToGrid w:val="0"/>
                <w:kern w:val="0"/>
                <w:sz w:val="21"/>
              </w:rPr>
              <w:t>、施工后场地是否进行恢复。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其它共同监督事项</w:t>
            </w:r>
          </w:p>
        </w:tc>
        <w:tc>
          <w:tcPr>
            <w:tcW w:w="40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1</w:t>
            </w:r>
            <w:r>
              <w:rPr>
                <w:rFonts w:hint="eastAsia" w:ascii="Times New Roman" w:hAnsi="Times New Roman"/>
                <w:snapToGrid w:val="0"/>
                <w:kern w:val="0"/>
                <w:sz w:val="21"/>
              </w:rPr>
              <w:t>、施工结束后是否及时清理现场，平整土地恢复了原状；</w:t>
            </w:r>
          </w:p>
          <w:p>
            <w:pPr>
              <w:snapToGrid w:val="0"/>
              <w:spacing w:line="240" w:lineRule="auto"/>
              <w:ind w:firstLine="420"/>
              <w:rPr>
                <w:rFonts w:ascii="Times New Roman" w:hAnsi="Times New Roman"/>
                <w:snapToGrid w:val="0"/>
                <w:kern w:val="0"/>
                <w:sz w:val="21"/>
              </w:rPr>
            </w:pPr>
            <w:r>
              <w:rPr>
                <w:rFonts w:ascii="Times New Roman" w:hAnsi="Times New Roman"/>
                <w:snapToGrid w:val="0"/>
                <w:kern w:val="0"/>
                <w:sz w:val="21"/>
              </w:rPr>
              <w:t>2</w:t>
            </w:r>
            <w:r>
              <w:rPr>
                <w:rFonts w:hint="eastAsia" w:ascii="Times New Roman" w:hAnsi="Times New Roman"/>
                <w:snapToGrid w:val="0"/>
                <w:kern w:val="0"/>
                <w:sz w:val="21"/>
              </w:rPr>
              <w:t>、施工季节及时间是否合适。</w:t>
            </w:r>
          </w:p>
        </w:tc>
      </w:tr>
    </w:tbl>
    <w:p>
      <w:pPr>
        <w:ind w:firstLine="0" w:firstLineChars="0"/>
        <w:outlineLvl w:val="2"/>
        <w:rPr>
          <w:rFonts w:ascii="Times New Roman" w:hAnsi="Times New Roman"/>
          <w:b/>
          <w:sz w:val="28"/>
          <w:szCs w:val="28"/>
        </w:rPr>
      </w:pPr>
      <w:bookmarkStart w:id="134" w:name="_Toc524624661"/>
      <w:r>
        <w:rPr>
          <w:rFonts w:hint="eastAsia" w:ascii="Times New Roman" w:hAnsi="Times New Roman"/>
          <w:b/>
          <w:sz w:val="28"/>
          <w:szCs w:val="28"/>
        </w:rPr>
        <w:t>8.1.4 建立HSE管理体系</w:t>
      </w:r>
      <w:bookmarkEnd w:id="134"/>
    </w:p>
    <w:p>
      <w:pPr>
        <w:ind w:firstLine="480"/>
        <w:rPr>
          <w:rFonts w:ascii="Times New Roman" w:hAnsi="Times New Roman"/>
          <w:szCs w:val="24"/>
        </w:rPr>
      </w:pPr>
      <w:r>
        <w:rPr>
          <w:rFonts w:hint="eastAsia" w:ascii="Times New Roman" w:hAnsi="Times New Roman"/>
          <w:szCs w:val="24"/>
        </w:rPr>
        <w:t>本项目应依据《石油天然气工业健康、安全与环境管理体系》（SY/T6276-1997）的要求，结合《安全生产法》，在项目的建设期、运营期和退役期等3个阶段建立和实施HSE管理体系。其中环境管理的内容应符合ISO14000系列标准规定的环境管理体系原则以及天然气开采、集输等有关标准的要求，健康管理体系符合OHS18000《职业安全卫生管理体系》的有关要求。建设期、运营期和退役期的HSE管理分别包括以下内容：</w:t>
      </w:r>
    </w:p>
    <w:p>
      <w:pPr>
        <w:ind w:firstLine="480"/>
        <w:rPr>
          <w:rFonts w:ascii="Times New Roman" w:hAnsi="Times New Roman"/>
          <w:szCs w:val="24"/>
        </w:rPr>
      </w:pPr>
      <w:r>
        <w:rPr>
          <w:rFonts w:hint="eastAsia" w:ascii="Times New Roman" w:hAnsi="Times New Roman"/>
          <w:szCs w:val="24"/>
        </w:rPr>
        <w:t>（1）建设期HSE管理主要包括良好的工程（高产、节水、节能）设计、安全、健康与环境保护设施的同时设计、同时施工和同时投入使用，安全、绿色施工等。</w:t>
      </w:r>
    </w:p>
    <w:p>
      <w:pPr>
        <w:ind w:firstLine="480"/>
        <w:rPr>
          <w:rFonts w:ascii="Times New Roman" w:hAnsi="Times New Roman"/>
          <w:szCs w:val="24"/>
        </w:rPr>
      </w:pPr>
      <w:r>
        <w:rPr>
          <w:rFonts w:hint="eastAsia" w:ascii="Times New Roman" w:hAnsi="Times New Roman"/>
          <w:szCs w:val="24"/>
        </w:rPr>
        <w:t>（2）运营期HSE管理主要包括：HSE组织机构的建立及职责的确定、文件的编写、风险的识别和管理、应急措施的建立、人员的培训、HSE管理体系的运行及保持、清洁生产等。</w:t>
      </w:r>
    </w:p>
    <w:p>
      <w:pPr>
        <w:ind w:firstLine="480"/>
        <w:rPr>
          <w:rFonts w:ascii="Times New Roman" w:hAnsi="Times New Roman"/>
          <w:szCs w:val="24"/>
        </w:rPr>
      </w:pPr>
      <w:r>
        <w:rPr>
          <w:rFonts w:hint="eastAsia" w:ascii="Times New Roman" w:hAnsi="Times New Roman"/>
          <w:szCs w:val="24"/>
        </w:rPr>
        <w:t>（3）退役期HSE管理主要考虑油区退役的安全与环境影响。</w:t>
      </w:r>
    </w:p>
    <w:p>
      <w:pPr>
        <w:ind w:firstLine="480"/>
        <w:rPr>
          <w:rFonts w:ascii="Times New Roman" w:hAnsi="Times New Roman"/>
          <w:szCs w:val="24"/>
        </w:rPr>
      </w:pPr>
      <w:r>
        <w:rPr>
          <w:rFonts w:hint="eastAsia" w:ascii="Times New Roman" w:hAnsi="Times New Roman"/>
          <w:szCs w:val="24"/>
        </w:rPr>
        <w:t>在项目初步设计中应对建设期和运营期可能产生的健康、安全与环境影响进行论述，对危害的预防进行设计，并对安全和环保措施进行专项投资概算，有效降低工程建设和运营中的健康、安全与环境危害。这些内容应纳入HSE文件。</w:t>
      </w:r>
    </w:p>
    <w:p>
      <w:pPr>
        <w:ind w:firstLine="480"/>
        <w:rPr>
          <w:rFonts w:ascii="Times New Roman" w:hAnsi="Times New Roman"/>
          <w:szCs w:val="24"/>
        </w:rPr>
      </w:pPr>
      <w:r>
        <w:rPr>
          <w:rFonts w:hint="eastAsia" w:ascii="Times New Roman" w:hAnsi="Times New Roman"/>
          <w:szCs w:val="24"/>
        </w:rPr>
        <w:t>气田开发建设对环境主要影响是建设期的各种施工作业活动和运行期的风险事故。为最大限度地减轻气田生产对区域内空气环境、水环境及生态环境的影响，减少事故的发生，以确保气田安全运行，必须建立科学有效的环境管理体制，制定详细周密的环境保护管理计划。</w:t>
      </w:r>
    </w:p>
    <w:p>
      <w:pPr>
        <w:ind w:firstLine="0" w:firstLineChars="0"/>
        <w:outlineLvl w:val="2"/>
        <w:rPr>
          <w:rFonts w:ascii="Times New Roman" w:hAnsi="Times New Roman"/>
          <w:b/>
          <w:sz w:val="28"/>
          <w:szCs w:val="28"/>
        </w:rPr>
      </w:pPr>
      <w:bookmarkStart w:id="135" w:name="_Toc524624662"/>
      <w:r>
        <w:rPr>
          <w:rFonts w:hint="eastAsia" w:ascii="Times New Roman" w:hAnsi="Times New Roman"/>
          <w:b/>
          <w:sz w:val="28"/>
          <w:szCs w:val="28"/>
        </w:rPr>
        <w:t>8.1.5 环境管理实施</w:t>
      </w:r>
      <w:bookmarkEnd w:id="135"/>
    </w:p>
    <w:p>
      <w:pPr>
        <w:ind w:firstLine="480"/>
        <w:rPr>
          <w:rFonts w:ascii="Times New Roman" w:hAnsi="Times New Roman"/>
        </w:rPr>
      </w:pPr>
      <w:r>
        <w:rPr>
          <w:rFonts w:ascii="Times New Roman" w:hAnsi="Times New Roman"/>
        </w:rPr>
        <w:t>首先建立健全HSE管理机构，明确人员、职责。在制定出一套环境管理方案后，必须狠抓制度的落实，制定环保经济责任制考核制度，以提高各部门对环境保护的责任感。</w:t>
      </w:r>
    </w:p>
    <w:p>
      <w:pPr>
        <w:ind w:firstLine="480"/>
        <w:rPr>
          <w:rFonts w:ascii="Times New Roman" w:hAnsi="Times New Roman"/>
          <w:szCs w:val="24"/>
        </w:rPr>
      </w:pPr>
      <w:r>
        <w:rPr>
          <w:rFonts w:ascii="Times New Roman" w:hAnsi="Times New Roman"/>
        </w:rPr>
        <w:t>在勘探期，落实HSE要求，选择环保管理水平高的施工单位，并明确要求施工单位的环境保护要求，对全体施工人员进行HSE培训。对建设过程中的环保事项，要求接受过HSE专门培训、专业的环保人员从事监理。</w:t>
      </w:r>
    </w:p>
    <w:p>
      <w:pPr>
        <w:ind w:firstLine="0" w:firstLineChars="0"/>
        <w:outlineLvl w:val="2"/>
        <w:rPr>
          <w:rFonts w:ascii="Times New Roman" w:hAnsi="Times New Roman"/>
          <w:b/>
          <w:sz w:val="28"/>
          <w:szCs w:val="28"/>
        </w:rPr>
      </w:pPr>
      <w:bookmarkStart w:id="136" w:name="_Toc524624663"/>
      <w:r>
        <w:rPr>
          <w:rFonts w:hint="eastAsia" w:ascii="Times New Roman" w:hAnsi="Times New Roman"/>
          <w:b/>
          <w:sz w:val="28"/>
          <w:szCs w:val="28"/>
        </w:rPr>
        <w:t>8.1.6 环境管理工作重点</w:t>
      </w:r>
      <w:bookmarkEnd w:id="136"/>
    </w:p>
    <w:p>
      <w:pPr>
        <w:ind w:firstLine="480"/>
        <w:rPr>
          <w:rFonts w:ascii="Times New Roman" w:hAnsi="Times New Roman"/>
          <w:szCs w:val="24"/>
        </w:rPr>
      </w:pPr>
      <w:r>
        <w:rPr>
          <w:rFonts w:ascii="Times New Roman" w:hAnsi="Times New Roman"/>
        </w:rPr>
        <w:t>工程投产运行后，环境管理除抓好日常井场各种环保设施的运行、维护等工作外，工作重点应针对</w:t>
      </w:r>
      <w:r>
        <w:rPr>
          <w:rFonts w:hint="eastAsia" w:ascii="Times New Roman" w:hAnsi="Times New Roman"/>
        </w:rPr>
        <w:t>气</w:t>
      </w:r>
      <w:r>
        <w:rPr>
          <w:rFonts w:ascii="Times New Roman" w:hAnsi="Times New Roman"/>
        </w:rPr>
        <w:t>田生产和管理情况、</w:t>
      </w:r>
      <w:r>
        <w:rPr>
          <w:rFonts w:hint="eastAsia" w:ascii="Times New Roman" w:hAnsi="Times New Roman"/>
        </w:rPr>
        <w:t>煤成气</w:t>
      </w:r>
      <w:r>
        <w:rPr>
          <w:rFonts w:ascii="Times New Roman" w:hAnsi="Times New Roman"/>
        </w:rPr>
        <w:t>泄漏等事故的预防和处理上。为此，必须制定相应的事故预防措施、事故应急措施以及恢复补偿措施等。正常生产过程中的检查重点为井场。主要检查现场</w:t>
      </w:r>
      <w:r>
        <w:rPr>
          <w:rFonts w:hint="eastAsia" w:ascii="Times New Roman" w:hAnsi="Times New Roman"/>
        </w:rPr>
        <w:t>煤成气</w:t>
      </w:r>
      <w:r>
        <w:rPr>
          <w:rFonts w:ascii="Times New Roman" w:hAnsi="Times New Roman"/>
        </w:rPr>
        <w:t>泄漏情况和环境维护状况。</w:t>
      </w:r>
    </w:p>
    <w:p>
      <w:pPr>
        <w:spacing w:before="156" w:beforeLines="50" w:after="156" w:afterLines="50"/>
        <w:ind w:firstLine="0" w:firstLineChars="0"/>
        <w:outlineLvl w:val="1"/>
        <w:rPr>
          <w:rFonts w:ascii="Times New Roman" w:hAnsi="Times New Roman"/>
          <w:b/>
          <w:sz w:val="30"/>
          <w:szCs w:val="30"/>
        </w:rPr>
      </w:pPr>
      <w:bookmarkStart w:id="137" w:name="_Toc524624664"/>
      <w:r>
        <w:rPr>
          <w:rFonts w:hint="eastAsia" w:ascii="Times New Roman" w:hAnsi="Times New Roman"/>
          <w:b/>
          <w:sz w:val="30"/>
          <w:szCs w:val="30"/>
        </w:rPr>
        <w:t>8.2 环境监测与监控</w:t>
      </w:r>
      <w:bookmarkEnd w:id="137"/>
    </w:p>
    <w:p>
      <w:pPr>
        <w:ind w:firstLine="0" w:firstLineChars="0"/>
        <w:outlineLvl w:val="2"/>
        <w:rPr>
          <w:rFonts w:ascii="Times New Roman" w:hAnsi="Times New Roman"/>
          <w:b/>
          <w:sz w:val="28"/>
          <w:szCs w:val="28"/>
        </w:rPr>
      </w:pPr>
      <w:bookmarkStart w:id="138" w:name="_Toc524624665"/>
      <w:r>
        <w:rPr>
          <w:rFonts w:hint="eastAsia" w:ascii="Times New Roman" w:hAnsi="Times New Roman"/>
          <w:b/>
          <w:sz w:val="28"/>
          <w:szCs w:val="28"/>
        </w:rPr>
        <w:t>8.2.1 环境监测部门</w:t>
      </w:r>
      <w:bookmarkEnd w:id="138"/>
    </w:p>
    <w:p>
      <w:pPr>
        <w:ind w:firstLine="480"/>
        <w:rPr>
          <w:rFonts w:ascii="Times New Roman" w:hAnsi="Times New Roman"/>
        </w:rPr>
      </w:pPr>
      <w:r>
        <w:rPr>
          <w:rFonts w:ascii="Times New Roman" w:hAnsi="Times New Roman"/>
        </w:rPr>
        <w:t>本项目环境监测工作主要依托当地环境主管部门的监测体系，监测结果以监测报告的形式，上报主管部门，并建立环保档案。</w:t>
      </w:r>
    </w:p>
    <w:p>
      <w:pPr>
        <w:ind w:firstLine="480"/>
        <w:rPr>
          <w:rFonts w:ascii="Times New Roman" w:hAnsi="Times New Roman"/>
        </w:rPr>
      </w:pPr>
      <w:r>
        <w:rPr>
          <w:rFonts w:ascii="Times New Roman" w:hAnsi="Times New Roman"/>
        </w:rPr>
        <w:t>根据环境监测报告可以评价各项减缓措施的有效性；对</w:t>
      </w:r>
      <w:r>
        <w:rPr>
          <w:rFonts w:hint="eastAsia" w:ascii="Times New Roman" w:hAnsi="Times New Roman"/>
        </w:rPr>
        <w:t>煤成气</w:t>
      </w:r>
      <w:r>
        <w:rPr>
          <w:rFonts w:ascii="Times New Roman" w:hAnsi="Times New Roman"/>
        </w:rPr>
        <w:t>开发实施过程中未曾预料到的环境问题及早做出反应，采取相应措施；各级主管部门可及时掌握勘探</w:t>
      </w:r>
      <w:r>
        <w:rPr>
          <w:rFonts w:hint="eastAsia" w:ascii="Times New Roman" w:hAnsi="Times New Roman"/>
        </w:rPr>
        <w:t>开发</w:t>
      </w:r>
      <w:r>
        <w:rPr>
          <w:rFonts w:ascii="Times New Roman" w:hAnsi="Times New Roman"/>
        </w:rPr>
        <w:t>区环境污染现状，为管理部门在决策时提供可靠的信息，以便于主管部门及政府管理部门的环境管理。</w:t>
      </w:r>
    </w:p>
    <w:p>
      <w:pPr>
        <w:ind w:firstLine="480"/>
        <w:rPr>
          <w:rFonts w:ascii="Times New Roman" w:hAnsi="Times New Roman"/>
        </w:rPr>
      </w:pPr>
      <w:r>
        <w:rPr>
          <w:rFonts w:ascii="Times New Roman" w:hAnsi="Times New Roman"/>
        </w:rPr>
        <w:t>HSE机构在环境管理上的主要任务包括；负责制定本</w:t>
      </w:r>
      <w:r>
        <w:rPr>
          <w:rFonts w:hint="eastAsia" w:ascii="Times New Roman" w:hAnsi="Times New Roman"/>
        </w:rPr>
        <w:t>气</w:t>
      </w:r>
      <w:r>
        <w:rPr>
          <w:rFonts w:ascii="Times New Roman" w:hAnsi="Times New Roman"/>
        </w:rPr>
        <w:t>田施工作业的环境管理方案，制定发生事故的应急计划，监督各项环保措施的落实及环保工程的检查和预验收，负责协调与地方环保、水利、土地等部门的关系以及负责有关环保文件、技术资料的收集建档等。</w:t>
      </w:r>
    </w:p>
    <w:p>
      <w:pPr>
        <w:ind w:firstLine="0" w:firstLineChars="0"/>
        <w:outlineLvl w:val="2"/>
        <w:rPr>
          <w:rFonts w:ascii="Times New Roman" w:hAnsi="Times New Roman"/>
          <w:b/>
          <w:sz w:val="28"/>
          <w:szCs w:val="28"/>
        </w:rPr>
      </w:pPr>
      <w:bookmarkStart w:id="139" w:name="_Toc524624666"/>
      <w:r>
        <w:rPr>
          <w:rFonts w:hint="eastAsia" w:ascii="Times New Roman" w:hAnsi="Times New Roman"/>
          <w:b/>
          <w:sz w:val="28"/>
          <w:szCs w:val="28"/>
        </w:rPr>
        <w:t>8.2.2 监测计划</w:t>
      </w:r>
      <w:bookmarkEnd w:id="139"/>
    </w:p>
    <w:p>
      <w:pPr>
        <w:ind w:firstLine="480"/>
        <w:rPr>
          <w:rFonts w:ascii="Times New Roman" w:hAnsi="Times New Roman"/>
        </w:rPr>
      </w:pPr>
      <w:r>
        <w:rPr>
          <w:rFonts w:ascii="Times New Roman" w:hAnsi="Times New Roman"/>
        </w:rPr>
        <w:t>根据</w:t>
      </w:r>
      <w:r>
        <w:rPr>
          <w:rFonts w:hint="eastAsia" w:ascii="Times New Roman" w:hAnsi="Times New Roman"/>
        </w:rPr>
        <w:t>煤成气</w:t>
      </w:r>
      <w:r>
        <w:rPr>
          <w:rFonts w:ascii="Times New Roman" w:hAnsi="Times New Roman"/>
        </w:rPr>
        <w:t>开发活动中对区域环境可能产生的影响，确定</w:t>
      </w:r>
      <w:r>
        <w:rPr>
          <w:rFonts w:hint="eastAsia" w:ascii="Times New Roman" w:hAnsi="Times New Roman"/>
        </w:rPr>
        <w:t>煤成气</w:t>
      </w:r>
      <w:r>
        <w:rPr>
          <w:rFonts w:ascii="Times New Roman" w:hAnsi="Times New Roman"/>
        </w:rPr>
        <w:t>开采期环境监测对象为土壤、水、气、声和固废。</w:t>
      </w:r>
    </w:p>
    <w:p>
      <w:pPr>
        <w:ind w:firstLine="480"/>
        <w:rPr>
          <w:rFonts w:ascii="Times New Roman" w:hAnsi="Times New Roman"/>
        </w:rPr>
      </w:pPr>
      <w:r>
        <w:rPr>
          <w:rFonts w:ascii="Times New Roman" w:hAnsi="Times New Roman"/>
        </w:rPr>
        <w:t>监测范围一般根据各种污染因子对环境产生的影响范围而定，具体范围可参见环境影响范围。</w:t>
      </w:r>
    </w:p>
    <w:p>
      <w:pPr>
        <w:ind w:firstLine="480"/>
        <w:rPr>
          <w:rFonts w:ascii="Times New Roman" w:hAnsi="Times New Roman"/>
        </w:rPr>
      </w:pPr>
      <w:r>
        <w:rPr>
          <w:rFonts w:hint="eastAsia" w:ascii="Times New Roman" w:hAnsi="Times New Roman"/>
        </w:rPr>
        <w:t>（1）废水、废气、噪声及生态监测计划</w:t>
      </w:r>
    </w:p>
    <w:p>
      <w:pPr>
        <w:ind w:firstLine="480"/>
        <w:rPr>
          <w:rFonts w:ascii="Times New Roman" w:hAnsi="Times New Roman"/>
        </w:rPr>
      </w:pPr>
      <w:r>
        <w:rPr>
          <w:rFonts w:hint="eastAsia" w:ascii="Times New Roman" w:hAnsi="Times New Roman"/>
        </w:rPr>
        <w:t>煤成气</w:t>
      </w:r>
      <w:r>
        <w:rPr>
          <w:rFonts w:ascii="Times New Roman" w:hAnsi="Times New Roman"/>
        </w:rPr>
        <w:t>开采期环境监测主要是对作业场所的控制监测，一般常规监测对象有土壤、废气、废水、噪声和固废等。对作业场所的控制监测可视当地具体情况以及当地环保部门要求等情况而定。本项目开采期环境监测计划见</w:t>
      </w:r>
      <w:r>
        <w:rPr>
          <w:rFonts w:hint="eastAsia" w:ascii="Times New Roman" w:hAnsi="Times New Roman"/>
        </w:rPr>
        <w:t>8.2</w:t>
      </w:r>
      <w:r>
        <w:rPr>
          <w:rFonts w:ascii="Times New Roman" w:hAnsi="Times New Roman"/>
        </w:rPr>
        <w:t>-1。</w:t>
      </w:r>
    </w:p>
    <w:p>
      <w:pPr>
        <w:adjustRightInd w:val="0"/>
        <w:snapToGrid w:val="0"/>
        <w:spacing w:line="240" w:lineRule="auto"/>
        <w:ind w:firstLine="0" w:firstLineChars="0"/>
        <w:jc w:val="center"/>
        <w:rPr>
          <w:rFonts w:ascii="Times New Roman" w:hAnsi="Times New Roman"/>
          <w:b/>
          <w:sz w:val="21"/>
        </w:rPr>
      </w:pPr>
      <w:bookmarkStart w:id="140" w:name="_Ref145295818"/>
      <w:r>
        <w:rPr>
          <w:rFonts w:hint="eastAsia" w:ascii="Times New Roman" w:hAnsi="Times New Roman"/>
          <w:b/>
          <w:sz w:val="21"/>
        </w:rPr>
        <w:t>表</w:t>
      </w:r>
      <w:r>
        <w:rPr>
          <w:rFonts w:ascii="Times New Roman" w:hAnsi="Times New Roman"/>
          <w:b/>
          <w:sz w:val="21"/>
        </w:rPr>
        <w:t xml:space="preserve"> </w:t>
      </w:r>
      <w:bookmarkEnd w:id="140"/>
      <w:r>
        <w:rPr>
          <w:rFonts w:ascii="Times New Roman" w:hAnsi="Times New Roman"/>
          <w:b/>
          <w:sz w:val="21"/>
        </w:rPr>
        <w:t xml:space="preserve">8.2-1     </w:t>
      </w:r>
      <w:r>
        <w:rPr>
          <w:rFonts w:hint="eastAsia" w:ascii="Times New Roman" w:hAnsi="Times New Roman"/>
          <w:b/>
          <w:sz w:val="21"/>
        </w:rPr>
        <w:t>开采期环境监测计划</w:t>
      </w:r>
    </w:p>
    <w:tbl>
      <w:tblPr>
        <w:tblStyle w:val="18"/>
        <w:tblW w:w="8789"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524"/>
        <w:gridCol w:w="1417"/>
        <w:gridCol w:w="1559"/>
        <w:gridCol w:w="2837"/>
        <w:gridCol w:w="1559"/>
        <w:gridCol w:w="89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类别</w:t>
            </w:r>
          </w:p>
        </w:tc>
        <w:tc>
          <w:tcPr>
            <w:tcW w:w="806"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监测对象</w:t>
            </w:r>
          </w:p>
        </w:tc>
        <w:tc>
          <w:tcPr>
            <w:tcW w:w="887"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监测点位</w:t>
            </w:r>
          </w:p>
        </w:tc>
        <w:tc>
          <w:tcPr>
            <w:tcW w:w="1614"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监测项目</w:t>
            </w:r>
          </w:p>
        </w:tc>
        <w:tc>
          <w:tcPr>
            <w:tcW w:w="887"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频  次</w:t>
            </w:r>
          </w:p>
        </w:tc>
        <w:tc>
          <w:tcPr>
            <w:tcW w:w="508"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监测单位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vMerge w:val="restar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水</w:t>
            </w: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钻井废水</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井场废水池或废水罐中采样</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石油类、pH、COD、硫化物、C1-、SS、总铁、总锰、砷、汞</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按勘探区块每年每区块2次</w:t>
            </w:r>
          </w:p>
        </w:tc>
        <w:tc>
          <w:tcPr>
            <w:tcW w:w="508" w:type="pct"/>
            <w:vMerge w:val="restar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吕梁市</w:t>
            </w:r>
            <w:r>
              <w:rPr>
                <w:rFonts w:ascii="Times New Roman" w:hAnsi="Times New Roman"/>
                <w:snapToGrid w:val="0"/>
                <w:kern w:val="0"/>
                <w:sz w:val="21"/>
              </w:rPr>
              <w:t>监测站</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hint="eastAsia" w:ascii="Times New Roman" w:hAnsi="Times New Roman"/>
                <w:snapToGrid w:val="0"/>
                <w:kern w:val="0"/>
                <w:sz w:val="21"/>
              </w:rPr>
              <w:t>压裂</w:t>
            </w:r>
            <w:r>
              <w:rPr>
                <w:rFonts w:ascii="Times New Roman" w:hAnsi="Times New Roman"/>
                <w:snapToGrid w:val="0"/>
                <w:kern w:val="0"/>
                <w:sz w:val="21"/>
              </w:rPr>
              <w:t>废水</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所有井下作业井</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石油类、pH、COD、硫化物、C1-、SS、总铁、总锰</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按开采区块每年每区块2次</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气</w:t>
            </w: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工业废气</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选择钻井现场柴油机、发电机</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总烃、氮氧化物、</w:t>
            </w:r>
          </w:p>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二氧化硫</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按开采区块每年每区块2次</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声</w:t>
            </w: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钻井场界噪声</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所有钻井现场</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等效A声级</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1次/井</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vMerge w:val="restar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生态环境</w:t>
            </w: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生态监测</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所有钻井现场</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生物量</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1次/年</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土壤</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井场附近定点</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石油类</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1次/年</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98" w:type="pct"/>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固体废物</w:t>
            </w:r>
          </w:p>
        </w:tc>
        <w:tc>
          <w:tcPr>
            <w:tcW w:w="806"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无害化处理后废弃泥浆</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所有完钻井</w:t>
            </w:r>
          </w:p>
        </w:tc>
        <w:tc>
          <w:tcPr>
            <w:tcW w:w="1614"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石油类、pH、COD、硫化物、SS、总铁、总锰、C1-</w:t>
            </w:r>
          </w:p>
        </w:tc>
        <w:tc>
          <w:tcPr>
            <w:tcW w:w="887" w:type="pct"/>
            <w:shd w:val="clear" w:color="auto" w:fill="auto"/>
            <w:tcMar>
              <w:left w:w="0" w:type="dxa"/>
              <w:right w:w="0" w:type="dxa"/>
            </w:tcMar>
            <w:vAlign w:val="center"/>
          </w:tcPr>
          <w:p>
            <w:pPr>
              <w:tabs>
                <w:tab w:val="left" w:pos="1080"/>
              </w:tabs>
              <w:snapToGrid w:val="0"/>
              <w:spacing w:line="240" w:lineRule="auto"/>
              <w:ind w:firstLine="0" w:firstLineChars="0"/>
              <w:jc w:val="center"/>
              <w:rPr>
                <w:rFonts w:ascii="Times New Roman" w:hAnsi="Times New Roman"/>
                <w:snapToGrid w:val="0"/>
                <w:kern w:val="0"/>
                <w:sz w:val="21"/>
              </w:rPr>
            </w:pPr>
            <w:r>
              <w:rPr>
                <w:rFonts w:ascii="Times New Roman" w:hAnsi="Times New Roman"/>
                <w:snapToGrid w:val="0"/>
                <w:kern w:val="0"/>
                <w:sz w:val="21"/>
              </w:rPr>
              <w:t>1次/井</w:t>
            </w:r>
          </w:p>
        </w:tc>
        <w:tc>
          <w:tcPr>
            <w:tcW w:w="508" w:type="pct"/>
            <w:vMerge w:val="continue"/>
            <w:shd w:val="clear" w:color="auto" w:fill="auto"/>
            <w:tcMar>
              <w:left w:w="0" w:type="dxa"/>
              <w:right w:w="0" w:type="dxa"/>
            </w:tcMar>
            <w:vAlign w:val="center"/>
          </w:tcPr>
          <w:p>
            <w:pPr>
              <w:snapToGrid w:val="0"/>
              <w:spacing w:line="240" w:lineRule="auto"/>
              <w:ind w:firstLine="0" w:firstLineChars="0"/>
              <w:jc w:val="center"/>
              <w:rPr>
                <w:rFonts w:ascii="Times New Roman" w:hAnsi="Times New Roman"/>
                <w:snapToGrid w:val="0"/>
                <w:kern w:val="0"/>
                <w:sz w:val="21"/>
              </w:rPr>
            </w:pPr>
          </w:p>
        </w:tc>
      </w:tr>
    </w:tbl>
    <w:p>
      <w:pPr>
        <w:adjustRightInd w:val="0"/>
        <w:snapToGrid w:val="0"/>
        <w:spacing w:line="240" w:lineRule="auto"/>
        <w:ind w:firstLine="0" w:firstLineChars="0"/>
        <w:jc w:val="center"/>
        <w:rPr>
          <w:rFonts w:ascii="Times New Roman" w:hAnsi="Times New Roman"/>
          <w:b/>
          <w:sz w:val="21"/>
        </w:rPr>
      </w:pPr>
    </w:p>
    <w:p>
      <w:pPr>
        <w:spacing w:before="156" w:beforeLines="50"/>
        <w:ind w:firstLine="480"/>
        <w:rPr>
          <w:rFonts w:ascii="Times New Roman" w:hAnsi="Times New Roman"/>
          <w:szCs w:val="24"/>
        </w:rPr>
      </w:pPr>
      <w:r>
        <w:rPr>
          <w:rFonts w:hint="eastAsia" w:ascii="Times New Roman" w:hAnsi="Times New Roman"/>
          <w:szCs w:val="24"/>
        </w:rPr>
        <w:t>（2）地下水监测计划</w:t>
      </w:r>
    </w:p>
    <w:p>
      <w:pPr>
        <w:ind w:firstLine="480"/>
        <w:rPr>
          <w:rFonts w:ascii="Times New Roman" w:hAnsi="Times New Roman"/>
          <w:szCs w:val="22"/>
        </w:rPr>
      </w:pPr>
      <w:r>
        <w:rPr>
          <w:rFonts w:hint="eastAsia" w:ascii="Times New Roman" w:hAnsi="Times New Roman"/>
          <w:szCs w:val="22"/>
        </w:rPr>
        <w:t xml:space="preserve">为保障地下水不受污染，在钻井过程和开采过程中都要加强对周边地下水的监测，以便及时发现问题，采取相应的补救措施。 </w:t>
      </w:r>
    </w:p>
    <w:p>
      <w:pPr>
        <w:ind w:firstLine="480"/>
        <w:rPr>
          <w:rFonts w:ascii="Times New Roman" w:hAnsi="Times New Roman"/>
          <w:szCs w:val="22"/>
        </w:rPr>
      </w:pPr>
      <w:r>
        <w:rPr>
          <w:rFonts w:hint="eastAsia" w:ascii="Times New Roman" w:hAnsi="Times New Roman"/>
          <w:szCs w:val="22"/>
        </w:rPr>
        <w:t>根据项目特点，在项目建设阶段设立地下水观测点，作为井场及工业场地建设期及运营期的地下水长观井。具体监测点位情况见表8.</w:t>
      </w:r>
      <w:r>
        <w:rPr>
          <w:rFonts w:ascii="Times New Roman" w:hAnsi="Times New Roman"/>
          <w:szCs w:val="22"/>
        </w:rPr>
        <w:t>2</w:t>
      </w:r>
      <w:r>
        <w:rPr>
          <w:rFonts w:hint="eastAsia" w:ascii="Times New Roman" w:hAnsi="Times New Roman"/>
          <w:szCs w:val="22"/>
        </w:rPr>
        <w:t>-</w:t>
      </w:r>
      <w:r>
        <w:rPr>
          <w:rFonts w:ascii="Times New Roman" w:hAnsi="Times New Roman"/>
          <w:szCs w:val="22"/>
        </w:rPr>
        <w:t>2</w:t>
      </w:r>
      <w:r>
        <w:rPr>
          <w:rFonts w:hint="eastAsia" w:ascii="Times New Roman" w:hAnsi="Times New Roman"/>
          <w:szCs w:val="22"/>
        </w:rPr>
        <w:t xml:space="preserve">。 </w:t>
      </w:r>
    </w:p>
    <w:p>
      <w:pPr>
        <w:spacing w:line="500" w:lineRule="exact"/>
        <w:ind w:left="397"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 xml:space="preserve">8.2-2  </w:t>
      </w:r>
      <w:r>
        <w:rPr>
          <w:rFonts w:hint="eastAsia" w:ascii="Times New Roman" w:hAnsi="Times New Roman"/>
          <w:b/>
          <w:sz w:val="21"/>
        </w:rPr>
        <w:t>已有地下水跟踪监测井点</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535"/>
        <w:gridCol w:w="1876"/>
        <w:gridCol w:w="800"/>
        <w:gridCol w:w="739"/>
        <w:gridCol w:w="790"/>
        <w:gridCol w:w="1596"/>
        <w:gridCol w:w="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点号</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相对位置关系</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坐标</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井深</w:t>
            </w:r>
          </w:p>
          <w:p>
            <w:pPr>
              <w:spacing w:line="240" w:lineRule="auto"/>
              <w:ind w:firstLine="0" w:firstLineChars="0"/>
              <w:jc w:val="center"/>
              <w:rPr>
                <w:rFonts w:ascii="Times New Roman" w:hAnsi="Times New Roman"/>
                <w:sz w:val="21"/>
              </w:rPr>
            </w:pPr>
            <w:r>
              <w:rPr>
                <w:rFonts w:ascii="Times New Roman" w:hAnsi="Times New Roman"/>
                <w:sz w:val="21"/>
              </w:rPr>
              <w:t>（m）</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井结构</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监测层位</w:t>
            </w:r>
          </w:p>
        </w:tc>
        <w:tc>
          <w:tcPr>
            <w:tcW w:w="936"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监测因子</w:t>
            </w:r>
          </w:p>
        </w:tc>
        <w:tc>
          <w:tcPr>
            <w:tcW w:w="361"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#3</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LX-101下游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N38°21′21.76″</w:t>
            </w:r>
          </w:p>
          <w:p>
            <w:pPr>
              <w:spacing w:line="240" w:lineRule="auto"/>
              <w:ind w:firstLine="0" w:firstLineChars="0"/>
              <w:jc w:val="center"/>
              <w:rPr>
                <w:rFonts w:ascii="Times New Roman" w:hAnsi="Times New Roman"/>
                <w:sz w:val="21"/>
              </w:rPr>
            </w:pPr>
            <w:r>
              <w:rPr>
                <w:rFonts w:ascii="Times New Roman" w:hAnsi="Times New Roman"/>
                <w:sz w:val="21"/>
              </w:rPr>
              <w:t>E110°51′58.61″</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6.34</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砖混</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936"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pH值、氨氮、硝酸盐、亚硝酸盐、挥发性酚类、氰化物、砷、汞、镉、铬（六价）、总硬度、铅、氟化物、铁、锰、溶解性总固体、高锰酸盐指数、硫酸盐、氯化物、碘化物、石油类、总大肠杆菌群、细菌总数</w:t>
            </w:r>
          </w:p>
        </w:tc>
        <w:tc>
          <w:tcPr>
            <w:tcW w:w="361"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每季度一次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Q9</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LX-102下游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N38°19′55″</w:t>
            </w:r>
          </w:p>
          <w:p>
            <w:pPr>
              <w:spacing w:line="240" w:lineRule="auto"/>
              <w:ind w:firstLine="0" w:firstLineChars="0"/>
              <w:jc w:val="center"/>
              <w:rPr>
                <w:rFonts w:ascii="Times New Roman" w:hAnsi="Times New Roman"/>
                <w:sz w:val="21"/>
              </w:rPr>
            </w:pPr>
            <w:r>
              <w:rPr>
                <w:rFonts w:ascii="Times New Roman" w:hAnsi="Times New Roman"/>
                <w:sz w:val="21"/>
              </w:rPr>
              <w:t>E110°53′16″</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水泥</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风化</w:t>
            </w:r>
          </w:p>
          <w:p>
            <w:pPr>
              <w:spacing w:line="240" w:lineRule="auto"/>
              <w:ind w:firstLine="0" w:firstLineChars="0"/>
              <w:jc w:val="center"/>
              <w:rPr>
                <w:rFonts w:ascii="Times New Roman" w:hAnsi="Times New Roman"/>
                <w:sz w:val="21"/>
              </w:rPr>
            </w:pPr>
            <w:r>
              <w:rPr>
                <w:rFonts w:ascii="Times New Roman" w:hAnsi="Times New Roman"/>
                <w:sz w:val="21"/>
              </w:rPr>
              <w:t>裂隙</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Q21</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LX-103上游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N38°18′37.0″</w:t>
            </w:r>
          </w:p>
          <w:p>
            <w:pPr>
              <w:spacing w:line="240" w:lineRule="auto"/>
              <w:ind w:firstLine="0" w:firstLineChars="0"/>
              <w:jc w:val="center"/>
              <w:rPr>
                <w:rFonts w:ascii="Times New Roman" w:hAnsi="Times New Roman"/>
                <w:sz w:val="21"/>
              </w:rPr>
            </w:pPr>
            <w:r>
              <w:rPr>
                <w:rFonts w:ascii="Times New Roman" w:hAnsi="Times New Roman"/>
                <w:sz w:val="21"/>
              </w:rPr>
              <w:t>E110°53′26.0″</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水泥</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风化</w:t>
            </w:r>
          </w:p>
          <w:p>
            <w:pPr>
              <w:spacing w:line="240" w:lineRule="auto"/>
              <w:ind w:firstLine="0" w:firstLineChars="0"/>
              <w:jc w:val="center"/>
              <w:rPr>
                <w:rFonts w:ascii="Times New Roman" w:hAnsi="Times New Roman"/>
                <w:sz w:val="21"/>
              </w:rPr>
            </w:pPr>
            <w:r>
              <w:rPr>
                <w:rFonts w:ascii="Times New Roman" w:hAnsi="Times New Roman"/>
                <w:sz w:val="21"/>
              </w:rPr>
              <w:t>裂隙</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#4</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LX-104上游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N38°18′14.57″</w:t>
            </w:r>
          </w:p>
          <w:p>
            <w:pPr>
              <w:spacing w:line="240" w:lineRule="auto"/>
              <w:ind w:firstLine="0" w:firstLineChars="0"/>
              <w:jc w:val="center"/>
              <w:rPr>
                <w:rFonts w:ascii="Times New Roman" w:hAnsi="Times New Roman"/>
                <w:sz w:val="21"/>
              </w:rPr>
            </w:pPr>
            <w:r>
              <w:rPr>
                <w:rFonts w:ascii="Times New Roman" w:hAnsi="Times New Roman"/>
                <w:sz w:val="21"/>
              </w:rPr>
              <w:t>E110°55′18.25″</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6.5</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砖混</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Q22</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LX-104上游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N38°17′46.17″</w:t>
            </w:r>
          </w:p>
          <w:p>
            <w:pPr>
              <w:spacing w:line="240" w:lineRule="auto"/>
              <w:ind w:firstLine="0" w:firstLineChars="0"/>
              <w:jc w:val="center"/>
              <w:rPr>
                <w:rFonts w:ascii="Times New Roman" w:hAnsi="Times New Roman"/>
                <w:sz w:val="21"/>
              </w:rPr>
            </w:pPr>
            <w:r>
              <w:rPr>
                <w:rFonts w:ascii="Times New Roman" w:hAnsi="Times New Roman"/>
                <w:sz w:val="21"/>
              </w:rPr>
              <w:t>E110°54′44.16″</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水泥</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风化</w:t>
            </w:r>
          </w:p>
          <w:p>
            <w:pPr>
              <w:spacing w:line="240" w:lineRule="auto"/>
              <w:ind w:firstLine="0" w:firstLineChars="0"/>
              <w:jc w:val="center"/>
              <w:rPr>
                <w:rFonts w:ascii="Times New Roman" w:hAnsi="Times New Roman"/>
                <w:sz w:val="21"/>
              </w:rPr>
            </w:pPr>
            <w:r>
              <w:rPr>
                <w:rFonts w:ascii="Times New Roman" w:hAnsi="Times New Roman"/>
                <w:sz w:val="21"/>
              </w:rPr>
              <w:t>裂隙</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Q19</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LX-105上游</w:t>
            </w:r>
          </w:p>
          <w:p>
            <w:pPr>
              <w:spacing w:line="240" w:lineRule="auto"/>
              <w:ind w:firstLine="0" w:firstLineChars="0"/>
              <w:jc w:val="center"/>
              <w:rPr>
                <w:rFonts w:ascii="Times New Roman" w:hAnsi="Times New Roman"/>
                <w:sz w:val="21"/>
              </w:rPr>
            </w:pPr>
            <w:r>
              <w:rPr>
                <w:rFonts w:ascii="Times New Roman" w:hAnsi="Times New Roman"/>
                <w:sz w:val="21"/>
              </w:rPr>
              <w:t>LX-4上游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N38°17′41″</w:t>
            </w:r>
          </w:p>
          <w:p>
            <w:pPr>
              <w:spacing w:line="240" w:lineRule="auto"/>
              <w:ind w:firstLine="0" w:firstLineChars="0"/>
              <w:jc w:val="center"/>
              <w:rPr>
                <w:rFonts w:ascii="Times New Roman" w:hAnsi="Times New Roman"/>
                <w:sz w:val="21"/>
              </w:rPr>
            </w:pPr>
            <w:r>
              <w:rPr>
                <w:rFonts w:ascii="Times New Roman" w:hAnsi="Times New Roman"/>
                <w:sz w:val="21"/>
              </w:rPr>
              <w:t>E110°52′57″</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水泥</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风化</w:t>
            </w:r>
          </w:p>
          <w:p>
            <w:pPr>
              <w:spacing w:line="240" w:lineRule="auto"/>
              <w:ind w:firstLine="0" w:firstLineChars="0"/>
              <w:jc w:val="center"/>
              <w:rPr>
                <w:rFonts w:ascii="Times New Roman" w:hAnsi="Times New Roman"/>
                <w:sz w:val="21"/>
              </w:rPr>
            </w:pPr>
            <w:r>
              <w:rPr>
                <w:rFonts w:ascii="Times New Roman" w:hAnsi="Times New Roman"/>
                <w:sz w:val="21"/>
              </w:rPr>
              <w:t>裂隙</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#1</w:t>
            </w:r>
          </w:p>
        </w:tc>
        <w:tc>
          <w:tcPr>
            <w:tcW w:w="9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1#集气站下游</w:t>
            </w:r>
          </w:p>
        </w:tc>
        <w:tc>
          <w:tcPr>
            <w:tcW w:w="110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N38°19′18.62″</w:t>
            </w:r>
          </w:p>
          <w:p>
            <w:pPr>
              <w:spacing w:line="240" w:lineRule="auto"/>
              <w:ind w:firstLine="0" w:firstLineChars="0"/>
              <w:jc w:val="center"/>
              <w:rPr>
                <w:rFonts w:ascii="Times New Roman" w:hAnsi="Times New Roman"/>
                <w:sz w:val="21"/>
              </w:rPr>
            </w:pPr>
            <w:r>
              <w:rPr>
                <w:rFonts w:ascii="Times New Roman" w:hAnsi="Times New Roman"/>
                <w:sz w:val="21"/>
              </w:rPr>
              <w:t>E110°53′41.88″</w:t>
            </w:r>
          </w:p>
        </w:tc>
        <w:tc>
          <w:tcPr>
            <w:tcW w:w="469"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520</w:t>
            </w:r>
          </w:p>
        </w:tc>
        <w:tc>
          <w:tcPr>
            <w:tcW w:w="43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钢管</w:t>
            </w:r>
          </w:p>
        </w:tc>
        <w:tc>
          <w:tcPr>
            <w:tcW w:w="46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T</w:t>
            </w:r>
          </w:p>
        </w:tc>
        <w:tc>
          <w:tcPr>
            <w:tcW w:w="936"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361" w:type="pct"/>
            <w:vMerge w:val="continue"/>
            <w:shd w:val="clear" w:color="auto" w:fill="auto"/>
            <w:vAlign w:val="center"/>
          </w:tcPr>
          <w:p>
            <w:pPr>
              <w:spacing w:line="240" w:lineRule="auto"/>
              <w:ind w:firstLine="0" w:firstLineChars="0"/>
              <w:jc w:val="center"/>
              <w:rPr>
                <w:rFonts w:ascii="Times New Roman" w:hAnsi="Times New Roman"/>
                <w:sz w:val="21"/>
              </w:rPr>
            </w:pPr>
          </w:p>
        </w:tc>
      </w:tr>
    </w:tbl>
    <w:p>
      <w:pPr>
        <w:ind w:firstLine="480"/>
      </w:pPr>
    </w:p>
    <w:p>
      <w:pPr>
        <w:spacing w:before="156" w:beforeLines="50"/>
        <w:ind w:firstLine="480"/>
        <w:rPr>
          <w:rFonts w:ascii="Times New Roman" w:hAnsi="Times New Roman"/>
          <w:szCs w:val="22"/>
        </w:rPr>
      </w:pPr>
      <w:r>
        <w:rPr>
          <w:rFonts w:hint="eastAsia" w:ascii="Times New Roman" w:hAnsi="Times New Roman"/>
          <w:szCs w:val="22"/>
        </w:rPr>
        <w:t>为了满足跟踪监测点的需要并且兼顾数值模拟预测结果显示各井场以及1#集气站工业场地污染超标范围会超出厂界的情况，因此，分别在各井场以及1#集气站工业场地的厂界外的沟谷中，布设8个新增跟踪监测孔，具体见表8</w:t>
      </w:r>
      <w:r>
        <w:rPr>
          <w:rFonts w:ascii="Times New Roman" w:hAnsi="Times New Roman"/>
          <w:szCs w:val="22"/>
        </w:rPr>
        <w:t>.2</w:t>
      </w:r>
      <w:r>
        <w:rPr>
          <w:rFonts w:hint="eastAsia" w:ascii="Times New Roman" w:hAnsi="Times New Roman"/>
          <w:szCs w:val="22"/>
        </w:rPr>
        <w:t>-3，图8.2-1。如发现异常或发生事故，应按照制定的应急措施开展加密监测频次，改为每周监测一次。</w:t>
      </w:r>
    </w:p>
    <w:p>
      <w:pPr>
        <w:spacing w:line="500" w:lineRule="exact"/>
        <w:ind w:left="397" w:firstLineChars="0"/>
        <w:jc w:val="center"/>
        <w:rPr>
          <w:rFonts w:ascii="Times New Roman" w:hAnsi="Times New Roman"/>
          <w:b/>
          <w:sz w:val="21"/>
        </w:rPr>
      </w:pPr>
      <w:r>
        <w:rPr>
          <w:rFonts w:hint="eastAsia" w:ascii="Times New Roman" w:hAnsi="Times New Roman"/>
          <w:b/>
          <w:sz w:val="21"/>
        </w:rPr>
        <w:t>表8</w:t>
      </w:r>
      <w:r>
        <w:rPr>
          <w:rFonts w:ascii="Times New Roman" w:hAnsi="Times New Roman"/>
          <w:b/>
          <w:sz w:val="21"/>
        </w:rPr>
        <w:t>.2</w:t>
      </w:r>
      <w:r>
        <w:rPr>
          <w:rFonts w:hint="eastAsia" w:ascii="Times New Roman" w:hAnsi="Times New Roman"/>
          <w:b/>
          <w:sz w:val="21"/>
        </w:rPr>
        <w:t>-</w:t>
      </w:r>
      <w:r>
        <w:rPr>
          <w:rFonts w:ascii="Times New Roman" w:hAnsi="Times New Roman"/>
          <w:b/>
          <w:sz w:val="21"/>
        </w:rPr>
        <w:t>3</w:t>
      </w:r>
      <w:r>
        <w:rPr>
          <w:rFonts w:hint="eastAsia" w:ascii="Times New Roman" w:hAnsi="Times New Roman"/>
          <w:b/>
          <w:sz w:val="21"/>
        </w:rPr>
        <w:t xml:space="preserve">  新增地下水跟踪监测孔点</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1808"/>
        <w:gridCol w:w="2412"/>
        <w:gridCol w:w="976"/>
        <w:gridCol w:w="1941"/>
        <w:gridCol w:w="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点号</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相对位置关系</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坐标</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w:t>
            </w:r>
          </w:p>
          <w:p>
            <w:pPr>
              <w:spacing w:line="240" w:lineRule="auto"/>
              <w:ind w:firstLine="0" w:firstLineChars="0"/>
              <w:jc w:val="center"/>
              <w:rPr>
                <w:rFonts w:ascii="Times New Roman" w:hAnsi="Times New Roman"/>
                <w:sz w:val="21"/>
              </w:rPr>
            </w:pPr>
            <w:r>
              <w:rPr>
                <w:rFonts w:ascii="Times New Roman" w:hAnsi="Times New Roman"/>
                <w:sz w:val="21"/>
              </w:rPr>
              <w:t>层位</w:t>
            </w:r>
          </w:p>
        </w:tc>
        <w:tc>
          <w:tcPr>
            <w:tcW w:w="1138"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监测因子</w:t>
            </w:r>
          </w:p>
        </w:tc>
        <w:tc>
          <w:tcPr>
            <w:tcW w:w="453"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G1</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LX-101下游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N38°20′47.73″</w:t>
            </w:r>
          </w:p>
          <w:p>
            <w:pPr>
              <w:spacing w:line="240" w:lineRule="auto"/>
              <w:ind w:firstLine="0" w:firstLineChars="0"/>
              <w:jc w:val="center"/>
              <w:rPr>
                <w:rFonts w:ascii="Times New Roman" w:hAnsi="Times New Roman"/>
                <w:sz w:val="21"/>
              </w:rPr>
            </w:pPr>
            <w:r>
              <w:rPr>
                <w:rFonts w:ascii="Times New Roman" w:hAnsi="Times New Roman"/>
                <w:sz w:val="21"/>
              </w:rPr>
              <w:t>E110°53′18.79″</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restart"/>
            <w:shd w:val="clear" w:color="auto" w:fill="auto"/>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八大离子、</w:t>
            </w:r>
            <w:r>
              <w:rPr>
                <w:rFonts w:ascii="Times New Roman" w:hAnsi="Times New Roman"/>
                <w:sz w:val="21"/>
              </w:rPr>
              <w:t>pH值、氨氮、硝酸盐、亚硝酸盐、挥发性酚类、氰化物、砷、汞、镉、铬（六价）、总硬度、铅、氟化物、铁、锰、溶解性总固体、高锰酸盐指数、硫酸盐、氯化物、碘化物、石油类、总大肠杆菌群、细菌总数</w:t>
            </w:r>
          </w:p>
        </w:tc>
        <w:tc>
          <w:tcPr>
            <w:tcW w:w="453" w:type="pct"/>
            <w:vMerge w:val="restar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每2个月监测一次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G8</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LX-101上游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N38°20′42.8″</w:t>
            </w:r>
          </w:p>
          <w:p>
            <w:pPr>
              <w:spacing w:line="240" w:lineRule="auto"/>
              <w:ind w:firstLine="0" w:firstLineChars="0"/>
              <w:jc w:val="center"/>
              <w:rPr>
                <w:rFonts w:ascii="Times New Roman" w:hAnsi="Times New Roman"/>
                <w:sz w:val="21"/>
              </w:rPr>
            </w:pPr>
            <w:r>
              <w:rPr>
                <w:rFonts w:ascii="Times New Roman" w:hAnsi="Times New Roman"/>
                <w:sz w:val="21"/>
              </w:rPr>
              <w:t>E110°53′25.23″</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G2</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LX-102下游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N38°19′38.71″</w:t>
            </w:r>
          </w:p>
          <w:p>
            <w:pPr>
              <w:spacing w:line="240" w:lineRule="auto"/>
              <w:ind w:firstLine="0" w:firstLineChars="0"/>
              <w:jc w:val="center"/>
              <w:rPr>
                <w:rFonts w:ascii="Times New Roman" w:hAnsi="Times New Roman"/>
                <w:sz w:val="21"/>
              </w:rPr>
            </w:pPr>
            <w:r>
              <w:rPr>
                <w:rFonts w:ascii="Times New Roman" w:hAnsi="Times New Roman"/>
                <w:sz w:val="21"/>
              </w:rPr>
              <w:t>E110°53′19.18″</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G3</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LX-102上游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N38°19′32.096″</w:t>
            </w:r>
          </w:p>
          <w:p>
            <w:pPr>
              <w:spacing w:line="240" w:lineRule="auto"/>
              <w:ind w:firstLine="0" w:firstLineChars="0"/>
              <w:jc w:val="center"/>
              <w:rPr>
                <w:rFonts w:ascii="Times New Roman" w:hAnsi="Times New Roman"/>
                <w:sz w:val="21"/>
              </w:rPr>
            </w:pPr>
            <w:r>
              <w:rPr>
                <w:rFonts w:ascii="Times New Roman" w:hAnsi="Times New Roman"/>
                <w:sz w:val="21"/>
              </w:rPr>
              <w:t>E110°53′25.43″</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G4</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LX-103下游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N38°19′7.85″</w:t>
            </w:r>
          </w:p>
          <w:p>
            <w:pPr>
              <w:spacing w:line="240" w:lineRule="auto"/>
              <w:ind w:firstLine="0" w:firstLineChars="0"/>
              <w:jc w:val="center"/>
              <w:rPr>
                <w:rFonts w:ascii="Times New Roman" w:hAnsi="Times New Roman"/>
                <w:sz w:val="21"/>
              </w:rPr>
            </w:pPr>
            <w:r>
              <w:rPr>
                <w:rFonts w:ascii="Times New Roman" w:hAnsi="Times New Roman"/>
                <w:sz w:val="21"/>
              </w:rPr>
              <w:t>E110°53′35.07″</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G5</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LX-104下游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N38°18′42.5″</w:t>
            </w:r>
          </w:p>
          <w:p>
            <w:pPr>
              <w:spacing w:line="240" w:lineRule="auto"/>
              <w:ind w:firstLine="0" w:firstLineChars="0"/>
              <w:jc w:val="center"/>
              <w:rPr>
                <w:rFonts w:ascii="Times New Roman" w:hAnsi="Times New Roman"/>
                <w:sz w:val="21"/>
              </w:rPr>
            </w:pPr>
            <w:r>
              <w:rPr>
                <w:rFonts w:ascii="Times New Roman" w:hAnsi="Times New Roman"/>
                <w:sz w:val="21"/>
              </w:rPr>
              <w:t>E110°54′13.56″</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G6</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LX-105下游</w:t>
            </w:r>
          </w:p>
          <w:p>
            <w:pPr>
              <w:spacing w:line="240" w:lineRule="auto"/>
              <w:ind w:firstLine="0" w:firstLineChars="0"/>
              <w:jc w:val="center"/>
              <w:rPr>
                <w:rFonts w:ascii="Times New Roman" w:hAnsi="Times New Roman"/>
                <w:sz w:val="21"/>
              </w:rPr>
            </w:pPr>
            <w:r>
              <w:rPr>
                <w:rFonts w:ascii="Times New Roman" w:hAnsi="Times New Roman"/>
                <w:sz w:val="21"/>
              </w:rPr>
              <w:t>LX-4下游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N38°18′19.58″</w:t>
            </w:r>
          </w:p>
          <w:p>
            <w:pPr>
              <w:spacing w:line="240" w:lineRule="auto"/>
              <w:ind w:firstLine="0" w:firstLineChars="0"/>
              <w:jc w:val="center"/>
              <w:rPr>
                <w:rFonts w:ascii="Times New Roman" w:hAnsi="Times New Roman"/>
                <w:sz w:val="21"/>
              </w:rPr>
            </w:pPr>
            <w:r>
              <w:rPr>
                <w:rFonts w:ascii="Times New Roman" w:hAnsi="Times New Roman"/>
                <w:sz w:val="21"/>
              </w:rPr>
              <w:t>E110°53′26.56″</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G7</w:t>
            </w:r>
          </w:p>
        </w:tc>
        <w:tc>
          <w:tcPr>
            <w:tcW w:w="1060"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集气站下游</w:t>
            </w:r>
          </w:p>
        </w:tc>
        <w:tc>
          <w:tcPr>
            <w:tcW w:w="1414"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N38°19′12.63″</w:t>
            </w:r>
          </w:p>
          <w:p>
            <w:pPr>
              <w:spacing w:line="240" w:lineRule="auto"/>
              <w:ind w:firstLine="0" w:firstLineChars="0"/>
              <w:jc w:val="center"/>
              <w:rPr>
                <w:rFonts w:ascii="Times New Roman" w:hAnsi="Times New Roman"/>
                <w:sz w:val="21"/>
              </w:rPr>
            </w:pPr>
            <w:r>
              <w:rPr>
                <w:rFonts w:ascii="Times New Roman" w:hAnsi="Times New Roman"/>
                <w:sz w:val="21"/>
              </w:rPr>
              <w:t>E110°53′36.67″</w:t>
            </w:r>
          </w:p>
        </w:tc>
        <w:tc>
          <w:tcPr>
            <w:tcW w:w="572" w:type="pct"/>
            <w:shd w:val="clear" w:color="auto" w:fill="auto"/>
            <w:vAlign w:val="center"/>
          </w:tcPr>
          <w:p>
            <w:pPr>
              <w:spacing w:line="240" w:lineRule="auto"/>
              <w:ind w:firstLine="0" w:firstLineChars="0"/>
              <w:jc w:val="center"/>
              <w:rPr>
                <w:rFonts w:ascii="Times New Roman" w:hAnsi="Times New Roman"/>
                <w:sz w:val="21"/>
              </w:rPr>
            </w:pPr>
            <w:r>
              <w:rPr>
                <w:rFonts w:ascii="Times New Roman" w:hAnsi="Times New Roman"/>
                <w:sz w:val="21"/>
              </w:rPr>
              <w:t>Q</w:t>
            </w:r>
          </w:p>
        </w:tc>
        <w:tc>
          <w:tcPr>
            <w:tcW w:w="1138" w:type="pct"/>
            <w:vMerge w:val="continue"/>
            <w:shd w:val="clear" w:color="auto" w:fill="auto"/>
            <w:vAlign w:val="center"/>
          </w:tcPr>
          <w:p>
            <w:pPr>
              <w:spacing w:line="240" w:lineRule="auto"/>
              <w:ind w:firstLine="0" w:firstLineChars="0"/>
              <w:jc w:val="center"/>
              <w:rPr>
                <w:rFonts w:ascii="Times New Roman" w:hAnsi="Times New Roman"/>
                <w:sz w:val="21"/>
              </w:rPr>
            </w:pPr>
          </w:p>
        </w:tc>
        <w:tc>
          <w:tcPr>
            <w:tcW w:w="453" w:type="pct"/>
            <w:vMerge w:val="continue"/>
            <w:shd w:val="clear" w:color="auto" w:fill="auto"/>
            <w:vAlign w:val="center"/>
          </w:tcPr>
          <w:p>
            <w:pPr>
              <w:spacing w:line="240" w:lineRule="auto"/>
              <w:ind w:firstLine="0" w:firstLineChars="0"/>
              <w:jc w:val="center"/>
              <w:rPr>
                <w:rFonts w:ascii="Times New Roman" w:hAnsi="Times New Roman"/>
                <w:sz w:val="21"/>
              </w:rPr>
            </w:pPr>
          </w:p>
        </w:tc>
      </w:tr>
    </w:tbl>
    <w:p>
      <w:pPr>
        <w:spacing w:line="500" w:lineRule="exact"/>
        <w:ind w:left="397" w:firstLineChars="0"/>
        <w:jc w:val="center"/>
        <w:rPr>
          <w:rFonts w:ascii="Times New Roman" w:hAnsi="Times New Roman"/>
          <w:b/>
          <w:sz w:val="21"/>
        </w:rPr>
      </w:pPr>
    </w:p>
    <w:p>
      <w:pPr>
        <w:ind w:firstLine="0" w:firstLineChars="0"/>
        <w:rPr>
          <w:rFonts w:ascii="Times New Roman" w:hAnsi="Times New Roman"/>
          <w:b/>
          <w:sz w:val="28"/>
          <w:szCs w:val="28"/>
        </w:rPr>
      </w:pPr>
      <w:r>
        <w:rPr>
          <w:rFonts w:hint="eastAsia"/>
        </w:rPr>
        <w:drawing>
          <wp:inline distT="0" distB="0" distL="0" distR="0">
            <wp:extent cx="5278120" cy="6784340"/>
            <wp:effectExtent l="0" t="0" r="0" b="0"/>
            <wp:docPr id="54" name="图片 54" descr="跟踪监测点布置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跟踪监测点布置图（修改）"/>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278120" cy="6784865"/>
                    </a:xfrm>
                    <a:prstGeom prst="rect">
                      <a:avLst/>
                    </a:prstGeom>
                    <a:noFill/>
                    <a:ln>
                      <a:noFill/>
                    </a:ln>
                  </pic:spPr>
                </pic:pic>
              </a:graphicData>
            </a:graphic>
          </wp:inline>
        </w:drawing>
      </w:r>
    </w:p>
    <w:p>
      <w:pPr>
        <w:spacing w:after="156" w:afterLines="50" w:line="240" w:lineRule="auto"/>
        <w:ind w:firstLine="0" w:firstLineChars="0"/>
        <w:jc w:val="center"/>
        <w:rPr>
          <w:rFonts w:ascii="Times New Roman" w:hAnsi="Times New Roman"/>
          <w:b/>
          <w:sz w:val="28"/>
          <w:szCs w:val="28"/>
        </w:rPr>
      </w:pPr>
      <w:r>
        <w:rPr>
          <w:rFonts w:hint="eastAsia" w:ascii="宋体" w:hAnsi="宋体"/>
          <w:b/>
          <w:sz w:val="21"/>
        </w:rPr>
        <w:t>图</w:t>
      </w:r>
      <w:r>
        <w:rPr>
          <w:rFonts w:ascii="Times New Roman" w:hAnsi="Times New Roman"/>
          <w:b/>
          <w:sz w:val="21"/>
        </w:rPr>
        <w:t>8.2-1</w:t>
      </w:r>
      <w:r>
        <w:rPr>
          <w:rFonts w:hint="eastAsia" w:ascii="宋体" w:hAnsi="宋体"/>
          <w:b/>
          <w:sz w:val="21"/>
        </w:rPr>
        <w:t xml:space="preserve">  地下水跟踪监测点布置图</w:t>
      </w:r>
    </w:p>
    <w:p>
      <w:pPr>
        <w:ind w:firstLine="0" w:firstLineChars="0"/>
        <w:outlineLvl w:val="2"/>
        <w:rPr>
          <w:rFonts w:ascii="Times New Roman" w:hAnsi="Times New Roman"/>
          <w:b/>
          <w:sz w:val="28"/>
          <w:szCs w:val="28"/>
        </w:rPr>
      </w:pPr>
      <w:bookmarkStart w:id="141" w:name="_Toc524624667"/>
      <w:r>
        <w:rPr>
          <w:rFonts w:hint="eastAsia" w:ascii="Times New Roman" w:hAnsi="Times New Roman"/>
          <w:b/>
          <w:sz w:val="28"/>
          <w:szCs w:val="28"/>
        </w:rPr>
        <w:t>8.2.3 应急监测</w:t>
      </w:r>
      <w:bookmarkEnd w:id="141"/>
    </w:p>
    <w:p>
      <w:pPr>
        <w:ind w:firstLine="480"/>
        <w:rPr>
          <w:rFonts w:ascii="Times New Roman" w:hAnsi="Times New Roman"/>
        </w:rPr>
      </w:pPr>
      <w:r>
        <w:rPr>
          <w:rFonts w:ascii="Times New Roman" w:hAnsi="Times New Roman"/>
        </w:rPr>
        <w:t>根据</w:t>
      </w:r>
      <w:r>
        <w:rPr>
          <w:rFonts w:hint="eastAsia" w:ascii="Times New Roman" w:hAnsi="Times New Roman"/>
        </w:rPr>
        <w:t>煤成气开采</w:t>
      </w:r>
      <w:r>
        <w:rPr>
          <w:rFonts w:ascii="Times New Roman" w:hAnsi="Times New Roman"/>
        </w:rPr>
        <w:t>运行期环境污染的特点，环境监测计划主要针对</w:t>
      </w:r>
      <w:r>
        <w:rPr>
          <w:rFonts w:hint="eastAsia" w:ascii="Times New Roman" w:hAnsi="Times New Roman"/>
        </w:rPr>
        <w:t>气田</w:t>
      </w:r>
      <w:r>
        <w:rPr>
          <w:rFonts w:ascii="Times New Roman" w:hAnsi="Times New Roman"/>
        </w:rPr>
        <w:t>污染物排放、</w:t>
      </w:r>
      <w:r>
        <w:rPr>
          <w:rFonts w:hint="eastAsia" w:ascii="Times New Roman" w:hAnsi="Times New Roman"/>
        </w:rPr>
        <w:t>气田</w:t>
      </w:r>
      <w:r>
        <w:rPr>
          <w:rFonts w:ascii="Times New Roman" w:hAnsi="Times New Roman"/>
        </w:rPr>
        <w:t>开发区生态恢复情况、事故而制定。</w:t>
      </w:r>
    </w:p>
    <w:p>
      <w:pPr>
        <w:ind w:firstLine="480"/>
        <w:rPr>
          <w:rFonts w:ascii="Times New Roman" w:hAnsi="Times New Roman"/>
        </w:rPr>
      </w:pPr>
      <w:r>
        <w:rPr>
          <w:rFonts w:ascii="Times New Roman" w:hAnsi="Times New Roman"/>
        </w:rPr>
        <w:t>施工期主要存在井喷失控（CO</w:t>
      </w:r>
      <w:r>
        <w:rPr>
          <w:rFonts w:ascii="Times New Roman" w:hAnsi="Times New Roman"/>
          <w:vertAlign w:val="subscript"/>
        </w:rPr>
        <w:t>2</w:t>
      </w:r>
      <w:r>
        <w:rPr>
          <w:rFonts w:ascii="Times New Roman" w:hAnsi="Times New Roman"/>
        </w:rPr>
        <w:t>泄漏或火灾、爆炸或重大环境污染）等重大事故。因此，在发生事故时应当进行应急监测。</w:t>
      </w:r>
    </w:p>
    <w:p>
      <w:pPr>
        <w:ind w:firstLine="480"/>
        <w:rPr>
          <w:rFonts w:ascii="Times New Roman" w:hAnsi="Times New Roman"/>
        </w:rPr>
      </w:pPr>
      <w:r>
        <w:rPr>
          <w:rFonts w:ascii="Times New Roman" w:hAnsi="Times New Roman"/>
        </w:rPr>
        <w:t>应急监测包括污染纠纷的监测和污染事故的应急监测等。工程施工单位应落实环境保护措施发生污染事故或公众举报与投诉，以及风险事故发生时应立刻通知当地环保部门赴事故现场进行监测、调查，做到及时提供事故监测分析报告，以便及时做出整改并采取补救措施，使事故造成的不良环境影响降至最低。</w:t>
      </w:r>
    </w:p>
    <w:p>
      <w:pPr>
        <w:ind w:firstLine="480"/>
        <w:rPr>
          <w:rFonts w:ascii="Times New Roman" w:hAnsi="Times New Roman"/>
        </w:rPr>
      </w:pPr>
      <w:r>
        <w:rPr>
          <w:rFonts w:ascii="Times New Roman" w:hAnsi="Times New Roman"/>
        </w:rPr>
        <w:t>对事故监测可根据事故性质、事故影响大小等具体情况监测气、土壤、水等，并以监测报告的形式上报上级部门。</w:t>
      </w:r>
    </w:p>
    <w:p>
      <w:pPr>
        <w:ind w:firstLine="480"/>
        <w:rPr>
          <w:rFonts w:ascii="Times New Roman" w:hAnsi="Times New Roman"/>
        </w:rPr>
      </w:pPr>
    </w:p>
    <w:p>
      <w:pPr>
        <w:ind w:firstLine="0" w:firstLineChars="0"/>
        <w:outlineLvl w:val="2"/>
        <w:rPr>
          <w:rFonts w:ascii="Times New Roman" w:hAnsi="Times New Roman"/>
          <w:b/>
          <w:sz w:val="28"/>
          <w:szCs w:val="28"/>
        </w:rPr>
      </w:pPr>
      <w:bookmarkStart w:id="142" w:name="_Toc524624668"/>
      <w:r>
        <w:rPr>
          <w:rFonts w:hint="eastAsia" w:ascii="Times New Roman" w:hAnsi="Times New Roman"/>
          <w:b/>
          <w:sz w:val="28"/>
          <w:szCs w:val="28"/>
        </w:rPr>
        <w:t>8.2.4 环境监控基本内容</w:t>
      </w:r>
      <w:bookmarkEnd w:id="142"/>
    </w:p>
    <w:p>
      <w:pPr>
        <w:ind w:firstLine="480"/>
        <w:rPr>
          <w:rFonts w:ascii="Times New Roman" w:hAnsi="Times New Roman"/>
        </w:rPr>
      </w:pPr>
      <w:r>
        <w:rPr>
          <w:rFonts w:hint="eastAsia" w:ascii="Times New Roman" w:hAnsi="Times New Roman"/>
        </w:rPr>
        <w:t>为了煤成气开发区域内环境的持续改进，对煤成气开发建设的各项活动进行全过程、全方位的监控。包括钻井、场站建设及相应配套设施建设，以及正常生产情况下的相应作业施工建设等过程。项目运营期的环境监控主要是井下作业和煤成气集输过程中的环境保护措施执行情况。日常监控主要由本站的环保员组织定期进行，由上级部门核查。核查采用检查现场、检查记录、与员工座谈等形式进行；检查和核查应形成记录。</w:t>
      </w:r>
    </w:p>
    <w:p>
      <w:pPr>
        <w:ind w:firstLine="0" w:firstLineChars="0"/>
        <w:outlineLvl w:val="2"/>
        <w:rPr>
          <w:rFonts w:ascii="Times New Roman" w:hAnsi="Times New Roman"/>
          <w:b/>
          <w:sz w:val="28"/>
          <w:szCs w:val="28"/>
        </w:rPr>
      </w:pPr>
      <w:bookmarkStart w:id="143" w:name="_Toc524624669"/>
      <w:r>
        <w:rPr>
          <w:rFonts w:hint="eastAsia" w:ascii="Times New Roman" w:hAnsi="Times New Roman"/>
          <w:b/>
          <w:sz w:val="28"/>
          <w:szCs w:val="28"/>
        </w:rPr>
        <w:t>8.2.5 环境监控建议</w:t>
      </w:r>
      <w:bookmarkEnd w:id="143"/>
    </w:p>
    <w:p>
      <w:pPr>
        <w:ind w:firstLine="480"/>
        <w:rPr>
          <w:rFonts w:ascii="Times New Roman" w:hAnsi="Times New Roman"/>
        </w:rPr>
      </w:pPr>
      <w:r>
        <w:rPr>
          <w:rFonts w:ascii="Times New Roman" w:hAnsi="Times New Roman"/>
        </w:rPr>
        <w:t>本评价针对该区块井场设施运行管理，周期性的作业以及非正常情况下的一些生产事故等过程中相应的环保措施执行情况，提出相应的意见及建议，同时列出不同的环境监控计划检查表。详见表</w:t>
      </w:r>
      <w:r>
        <w:rPr>
          <w:rFonts w:hint="eastAsia" w:ascii="Times New Roman" w:hAnsi="Times New Roman"/>
        </w:rPr>
        <w:t>8.2</w:t>
      </w:r>
      <w:r>
        <w:rPr>
          <w:rFonts w:ascii="Times New Roman" w:hAnsi="Times New Roman"/>
        </w:rPr>
        <w:t>-</w:t>
      </w:r>
      <w:r>
        <w:rPr>
          <w:rFonts w:hint="eastAsia" w:ascii="Times New Roman" w:hAnsi="Times New Roman"/>
        </w:rPr>
        <w:t>4</w:t>
      </w:r>
      <w:r>
        <w:rPr>
          <w:rFonts w:ascii="Times New Roman" w:hAnsi="Times New Roman"/>
        </w:rPr>
        <w:t>。</w:t>
      </w:r>
    </w:p>
    <w:p>
      <w:pPr>
        <w:adjustRightInd w:val="0"/>
        <w:snapToGrid w:val="0"/>
        <w:spacing w:line="240" w:lineRule="auto"/>
        <w:ind w:firstLine="0" w:firstLineChars="0"/>
        <w:jc w:val="center"/>
        <w:rPr>
          <w:rFonts w:ascii="Times New Roman" w:hAnsi="Times New Roman"/>
          <w:b/>
          <w:sz w:val="21"/>
        </w:rPr>
      </w:pPr>
      <w:r>
        <w:rPr>
          <w:rFonts w:hint="eastAsia" w:ascii="Times New Roman" w:hAnsi="Times New Roman"/>
          <w:b/>
          <w:sz w:val="21"/>
        </w:rPr>
        <w:t>表</w:t>
      </w:r>
      <w:r>
        <w:rPr>
          <w:rFonts w:ascii="Times New Roman" w:hAnsi="Times New Roman"/>
          <w:b/>
          <w:sz w:val="21"/>
        </w:rPr>
        <w:t xml:space="preserve">8.2-4 </w:t>
      </w:r>
      <w:r>
        <w:rPr>
          <w:rFonts w:hint="eastAsia" w:ascii="Times New Roman" w:hAnsi="Times New Roman"/>
          <w:b/>
          <w:sz w:val="21"/>
        </w:rPr>
        <w:t>生产运营期环境监控检查表</w:t>
      </w:r>
    </w:p>
    <w:tbl>
      <w:tblPr>
        <w:tblStyle w:val="18"/>
        <w:tblW w:w="8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1183"/>
        <w:gridCol w:w="7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blHeader/>
          <w:jc w:val="center"/>
        </w:trPr>
        <w:tc>
          <w:tcPr>
            <w:tcW w:w="673" w:type="pct"/>
            <w:tcMar>
              <w:top w:w="0" w:type="dxa"/>
              <w:left w:w="0" w:type="dxa"/>
              <w:bottom w:w="0" w:type="dxa"/>
              <w:right w:w="0" w:type="dxa"/>
            </w:tcMar>
            <w:vAlign w:val="center"/>
          </w:tcPr>
          <w:p>
            <w:pPr>
              <w:spacing w:line="240" w:lineRule="auto"/>
              <w:ind w:firstLine="0" w:firstLineChars="0"/>
              <w:jc w:val="center"/>
              <w:rPr>
                <w:rFonts w:ascii="Times New Roman" w:hAnsi="Times New Roman"/>
                <w:sz w:val="21"/>
              </w:rPr>
            </w:pPr>
            <w:r>
              <w:rPr>
                <w:rFonts w:ascii="Times New Roman" w:hAnsi="Times New Roman"/>
                <w:sz w:val="21"/>
              </w:rPr>
              <w:t>检查划分</w:t>
            </w:r>
          </w:p>
        </w:tc>
        <w:tc>
          <w:tcPr>
            <w:tcW w:w="4327" w:type="pct"/>
            <w:tcMar>
              <w:top w:w="0" w:type="dxa"/>
              <w:left w:w="0" w:type="dxa"/>
              <w:bottom w:w="0" w:type="dxa"/>
              <w:right w:w="0" w:type="dxa"/>
            </w:tcMar>
            <w:vAlign w:val="center"/>
          </w:tcPr>
          <w:p>
            <w:pPr>
              <w:spacing w:line="240" w:lineRule="auto"/>
              <w:ind w:firstLine="0" w:firstLineChars="0"/>
              <w:jc w:val="center"/>
              <w:rPr>
                <w:rFonts w:ascii="Times New Roman" w:hAnsi="Times New Roman"/>
                <w:sz w:val="21"/>
              </w:rPr>
            </w:pPr>
            <w:r>
              <w:rPr>
                <w:rFonts w:ascii="Times New Roman" w:hAnsi="Times New Roman"/>
                <w:sz w:val="21"/>
              </w:rPr>
              <w:t>检查内容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73" w:type="pct"/>
            <w:tcMar>
              <w:top w:w="0" w:type="dxa"/>
              <w:left w:w="0" w:type="dxa"/>
              <w:bottom w:w="0" w:type="dxa"/>
              <w:right w:w="0" w:type="dxa"/>
            </w:tcMar>
            <w:vAlign w:val="center"/>
          </w:tcPr>
          <w:p>
            <w:pPr>
              <w:spacing w:line="240" w:lineRule="auto"/>
              <w:ind w:firstLine="0" w:firstLineChars="0"/>
              <w:jc w:val="center"/>
              <w:rPr>
                <w:rFonts w:ascii="Times New Roman" w:hAnsi="Times New Roman"/>
                <w:sz w:val="21"/>
              </w:rPr>
            </w:pPr>
            <w:r>
              <w:rPr>
                <w:rFonts w:ascii="Times New Roman" w:hAnsi="Times New Roman"/>
                <w:sz w:val="21"/>
              </w:rPr>
              <w:t>井场</w:t>
            </w:r>
          </w:p>
        </w:tc>
        <w:tc>
          <w:tcPr>
            <w:tcW w:w="4327" w:type="pct"/>
            <w:tcMar>
              <w:top w:w="0" w:type="dxa"/>
              <w:left w:w="0" w:type="dxa"/>
              <w:bottom w:w="0" w:type="dxa"/>
              <w:right w:w="0" w:type="dxa"/>
            </w:tcMar>
            <w:vAlign w:val="center"/>
          </w:tcPr>
          <w:p>
            <w:pPr>
              <w:spacing w:line="240" w:lineRule="auto"/>
              <w:ind w:firstLine="420"/>
              <w:rPr>
                <w:rFonts w:ascii="Times New Roman" w:hAnsi="Times New Roman"/>
                <w:sz w:val="21"/>
              </w:rPr>
            </w:pPr>
            <w:r>
              <w:rPr>
                <w:rFonts w:ascii="Times New Roman" w:hAnsi="Times New Roman"/>
                <w:sz w:val="21"/>
              </w:rPr>
              <w:t>1、生产井有无泄漏；</w:t>
            </w:r>
          </w:p>
          <w:p>
            <w:pPr>
              <w:spacing w:line="240" w:lineRule="auto"/>
              <w:ind w:firstLine="420"/>
              <w:rPr>
                <w:rFonts w:ascii="Times New Roman" w:hAnsi="Times New Roman"/>
                <w:sz w:val="21"/>
              </w:rPr>
            </w:pPr>
            <w:r>
              <w:rPr>
                <w:rFonts w:ascii="Times New Roman" w:hAnsi="Times New Roman"/>
                <w:sz w:val="21"/>
              </w:rPr>
              <w:t>2、井场是否平整干净；</w:t>
            </w:r>
          </w:p>
          <w:p>
            <w:pPr>
              <w:spacing w:line="240" w:lineRule="auto"/>
              <w:ind w:firstLine="420"/>
              <w:rPr>
                <w:rFonts w:ascii="Times New Roman" w:hAnsi="Times New Roman"/>
                <w:sz w:val="21"/>
              </w:rPr>
            </w:pPr>
            <w:r>
              <w:rPr>
                <w:rFonts w:ascii="Times New Roman" w:hAnsi="Times New Roman"/>
                <w:sz w:val="21"/>
              </w:rPr>
              <w:t>3、井场和井场用地内的垃圾、废油或其它废料是否都清理干净，能否做到井场整洁、无杂物、地表土无污染；</w:t>
            </w:r>
          </w:p>
          <w:p>
            <w:pPr>
              <w:spacing w:line="240" w:lineRule="auto"/>
              <w:ind w:firstLine="420"/>
              <w:rPr>
                <w:rFonts w:ascii="Times New Roman" w:hAnsi="Times New Roman"/>
                <w:sz w:val="21"/>
              </w:rPr>
            </w:pPr>
            <w:r>
              <w:rPr>
                <w:rFonts w:ascii="Times New Roman" w:hAnsi="Times New Roman"/>
                <w:sz w:val="21"/>
              </w:rPr>
              <w:t>4、井场周围的植被是否严格按照规定要求进行植被恢复；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73" w:type="pct"/>
            <w:tcMar>
              <w:top w:w="0" w:type="dxa"/>
              <w:left w:w="0" w:type="dxa"/>
              <w:bottom w:w="0" w:type="dxa"/>
              <w:right w:w="0" w:type="dxa"/>
            </w:tcMar>
            <w:vAlign w:val="center"/>
          </w:tcPr>
          <w:p>
            <w:pPr>
              <w:spacing w:line="240" w:lineRule="auto"/>
              <w:ind w:firstLine="0" w:firstLineChars="0"/>
              <w:jc w:val="center"/>
              <w:rPr>
                <w:rFonts w:ascii="Times New Roman" w:hAnsi="Times New Roman"/>
                <w:sz w:val="21"/>
              </w:rPr>
            </w:pPr>
            <w:r>
              <w:rPr>
                <w:rFonts w:ascii="Times New Roman" w:hAnsi="Times New Roman"/>
                <w:sz w:val="21"/>
              </w:rPr>
              <w:t>作业</w:t>
            </w:r>
          </w:p>
        </w:tc>
        <w:tc>
          <w:tcPr>
            <w:tcW w:w="4327" w:type="pct"/>
            <w:tcMar>
              <w:top w:w="0" w:type="dxa"/>
              <w:left w:w="0" w:type="dxa"/>
              <w:bottom w:w="0" w:type="dxa"/>
              <w:right w:w="0" w:type="dxa"/>
            </w:tcMar>
            <w:vAlign w:val="center"/>
          </w:tcPr>
          <w:p>
            <w:pPr>
              <w:spacing w:line="240" w:lineRule="auto"/>
              <w:ind w:firstLine="420"/>
              <w:rPr>
                <w:rFonts w:ascii="Times New Roman" w:hAnsi="Times New Roman"/>
                <w:sz w:val="21"/>
              </w:rPr>
            </w:pPr>
            <w:r>
              <w:rPr>
                <w:rFonts w:ascii="Times New Roman" w:hAnsi="Times New Roman"/>
                <w:sz w:val="21"/>
              </w:rPr>
              <w:t>1、场地平整是否注意了减少永久性自然环境破坏；</w:t>
            </w:r>
          </w:p>
          <w:p>
            <w:pPr>
              <w:spacing w:line="240" w:lineRule="auto"/>
              <w:ind w:firstLine="420"/>
              <w:rPr>
                <w:rFonts w:ascii="Times New Roman" w:hAnsi="Times New Roman"/>
                <w:sz w:val="21"/>
              </w:rPr>
            </w:pPr>
            <w:r>
              <w:rPr>
                <w:rFonts w:ascii="Times New Roman" w:hAnsi="Times New Roman"/>
                <w:sz w:val="21"/>
              </w:rPr>
              <w:t>2、井场和井场用地内的垃圾、废油或其它废料是否都清理干净，是否做到井场整洁、无杂物、地表土无污染；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73" w:type="pct"/>
            <w:tcMar>
              <w:top w:w="0" w:type="dxa"/>
              <w:left w:w="0" w:type="dxa"/>
              <w:bottom w:w="0" w:type="dxa"/>
              <w:right w:w="0" w:type="dxa"/>
            </w:tcMar>
            <w:vAlign w:val="center"/>
          </w:tcPr>
          <w:p>
            <w:pPr>
              <w:spacing w:line="240" w:lineRule="auto"/>
              <w:ind w:firstLine="0" w:firstLineChars="0"/>
              <w:jc w:val="center"/>
              <w:rPr>
                <w:rFonts w:ascii="Times New Roman" w:hAnsi="Times New Roman"/>
                <w:sz w:val="21"/>
              </w:rPr>
            </w:pPr>
            <w:r>
              <w:rPr>
                <w:rFonts w:ascii="Times New Roman" w:hAnsi="Times New Roman"/>
                <w:sz w:val="21"/>
              </w:rPr>
              <w:t>事故控制</w:t>
            </w:r>
          </w:p>
        </w:tc>
        <w:tc>
          <w:tcPr>
            <w:tcW w:w="4327" w:type="pct"/>
            <w:tcMar>
              <w:top w:w="0" w:type="dxa"/>
              <w:left w:w="0" w:type="dxa"/>
              <w:bottom w:w="0" w:type="dxa"/>
              <w:right w:w="0" w:type="dxa"/>
            </w:tcMar>
            <w:vAlign w:val="center"/>
          </w:tcPr>
          <w:p>
            <w:pPr>
              <w:spacing w:line="240" w:lineRule="auto"/>
              <w:ind w:firstLine="420"/>
              <w:rPr>
                <w:rFonts w:ascii="Times New Roman" w:hAnsi="Times New Roman"/>
                <w:sz w:val="21"/>
              </w:rPr>
            </w:pPr>
            <w:r>
              <w:rPr>
                <w:rFonts w:ascii="Times New Roman" w:hAnsi="Times New Roman"/>
                <w:sz w:val="21"/>
              </w:rPr>
              <w:t>1、是否对井场设备进行了定期检查；</w:t>
            </w:r>
          </w:p>
          <w:p>
            <w:pPr>
              <w:spacing w:line="240" w:lineRule="auto"/>
              <w:ind w:firstLine="420"/>
              <w:rPr>
                <w:rFonts w:ascii="Times New Roman" w:hAnsi="Times New Roman"/>
                <w:sz w:val="21"/>
              </w:rPr>
            </w:pPr>
            <w:r>
              <w:rPr>
                <w:rFonts w:ascii="Times New Roman" w:hAnsi="Times New Roman"/>
                <w:sz w:val="21"/>
              </w:rPr>
              <w:t>2、是否确保应急设备完好，以便在发生泄漏事故时能够迅速有效反应。</w:t>
            </w:r>
          </w:p>
        </w:tc>
      </w:tr>
    </w:tbl>
    <w:p>
      <w:pPr>
        <w:ind w:firstLine="480"/>
      </w:pPr>
    </w:p>
    <w:p>
      <w:pPr>
        <w:ind w:firstLine="480"/>
      </w:pPr>
    </w:p>
    <w:p>
      <w:pPr>
        <w:spacing w:before="156" w:beforeLines="50" w:after="156" w:afterLines="50"/>
        <w:ind w:firstLine="0" w:firstLineChars="0"/>
        <w:outlineLvl w:val="1"/>
        <w:rPr>
          <w:rFonts w:ascii="Times New Roman" w:hAnsi="Times New Roman"/>
          <w:b/>
          <w:sz w:val="30"/>
          <w:szCs w:val="30"/>
        </w:rPr>
      </w:pPr>
      <w:bookmarkStart w:id="144" w:name="_Toc524624670"/>
      <w:r>
        <w:rPr>
          <w:rFonts w:hint="eastAsia" w:ascii="Times New Roman" w:hAnsi="Times New Roman"/>
          <w:b/>
          <w:sz w:val="30"/>
          <w:szCs w:val="30"/>
        </w:rPr>
        <w:t>8.3 竣工验收</w:t>
      </w:r>
      <w:bookmarkEnd w:id="144"/>
    </w:p>
    <w:p>
      <w:pPr>
        <w:ind w:firstLine="480"/>
        <w:rPr>
          <w:rFonts w:ascii="Times New Roman" w:hAnsi="Times New Roman"/>
        </w:rPr>
      </w:pPr>
      <w:r>
        <w:rPr>
          <w:rFonts w:ascii="Times New Roman" w:hAnsi="Times New Roman"/>
        </w:rPr>
        <w:t>工程竣工后，建设单位应委托有资质的单位对工程采取的环境保护措施和工程投入运行后造成的新的环境影响问题进行调查，并编制竣工环境保护验收调查报告。</w:t>
      </w:r>
      <w:r>
        <w:rPr>
          <w:rFonts w:hint="eastAsia" w:ascii="Times New Roman" w:hAnsi="Times New Roman"/>
        </w:rPr>
        <w:t>环境保护措施竣工验收一览表</w:t>
      </w:r>
      <w:r>
        <w:rPr>
          <w:rFonts w:ascii="Times New Roman" w:hAnsi="Times New Roman"/>
        </w:rPr>
        <w:t>见表</w:t>
      </w:r>
      <w:r>
        <w:rPr>
          <w:rFonts w:hint="eastAsia" w:ascii="Times New Roman" w:hAnsi="Times New Roman"/>
        </w:rPr>
        <w:t>8.3</w:t>
      </w:r>
      <w:r>
        <w:rPr>
          <w:rFonts w:ascii="Times New Roman" w:hAnsi="Times New Roman"/>
        </w:rPr>
        <w:t>-</w:t>
      </w:r>
      <w:r>
        <w:rPr>
          <w:rFonts w:hint="eastAsia" w:ascii="Times New Roman" w:hAnsi="Times New Roman"/>
        </w:rPr>
        <w:t>1</w:t>
      </w:r>
      <w:r>
        <w:rPr>
          <w:rFonts w:ascii="Times New Roman" w:hAnsi="Times New Roman"/>
        </w:rPr>
        <w:t>。</w:t>
      </w:r>
    </w:p>
    <w:p>
      <w:pPr>
        <w:ind w:firstLine="480"/>
        <w:rPr>
          <w:rFonts w:ascii="Times New Roman" w:hAnsi="Times New Roman"/>
        </w:rPr>
      </w:pPr>
      <w:r>
        <w:rPr>
          <w:rFonts w:ascii="Times New Roman" w:hAnsi="Times New Roman"/>
        </w:rPr>
        <w:t>验收时还必须考虑的有关内容：</w:t>
      </w:r>
    </w:p>
    <w:p>
      <w:pPr>
        <w:ind w:firstLine="480"/>
        <w:rPr>
          <w:rFonts w:ascii="Times New Roman" w:hAnsi="Times New Roman"/>
        </w:rPr>
      </w:pPr>
      <w:r>
        <w:rPr>
          <w:rFonts w:ascii="Times New Roman" w:hAnsi="Times New Roman"/>
        </w:rPr>
        <w:t>（1）建设前期环境保护审查、审批手续完备，技术资料与环境保护档案资料齐全，提交由相关资质单位编制的环境保护验收调查报告；</w:t>
      </w:r>
    </w:p>
    <w:p>
      <w:pPr>
        <w:ind w:firstLine="480"/>
        <w:rPr>
          <w:rFonts w:ascii="Times New Roman" w:hAnsi="Times New Roman"/>
        </w:rPr>
      </w:pPr>
      <w:r>
        <w:rPr>
          <w:rFonts w:ascii="Times New Roman" w:hAnsi="Times New Roman"/>
        </w:rPr>
        <w:t>（2）环境保护设施及其它措施已按照批准的环境影响报告书和设计文件的要求建成或落实，环保设施经负荷试车检测合格，其防治污染能力适应主体工程的需要；</w:t>
      </w:r>
    </w:p>
    <w:p>
      <w:pPr>
        <w:ind w:firstLine="480"/>
        <w:rPr>
          <w:rFonts w:ascii="Times New Roman" w:hAnsi="Times New Roman"/>
        </w:rPr>
      </w:pPr>
      <w:r>
        <w:rPr>
          <w:rFonts w:ascii="Times New Roman" w:hAnsi="Times New Roman"/>
        </w:rPr>
        <w:t>（3）环保设施安装质量符合国家和有关部门颁发的专业工程验收规范、规程和检验评定标准；</w:t>
      </w:r>
    </w:p>
    <w:p>
      <w:pPr>
        <w:ind w:firstLine="480"/>
        <w:rPr>
          <w:rFonts w:ascii="Times New Roman" w:hAnsi="Times New Roman"/>
        </w:rPr>
      </w:pPr>
      <w:r>
        <w:rPr>
          <w:rFonts w:ascii="Times New Roman" w:hAnsi="Times New Roman"/>
        </w:rPr>
        <w:t>（4）具备环保设施正常运转的条件，包括经培训合格的操作人员、健全的岗位操作规程及相应的规章制度，符合交付使用的其它要求；</w:t>
      </w:r>
    </w:p>
    <w:p>
      <w:pPr>
        <w:ind w:firstLine="480"/>
        <w:rPr>
          <w:rFonts w:ascii="Times New Roman" w:hAnsi="Times New Roman"/>
        </w:rPr>
      </w:pPr>
      <w:r>
        <w:rPr>
          <w:rFonts w:ascii="Times New Roman" w:hAnsi="Times New Roman"/>
        </w:rPr>
        <w:t>（5）污染物排放符合环境影响报告书规定的要求，工程建设过程中受到破坏并可恢复的环境已按规定采取了恢复措施；</w:t>
      </w:r>
    </w:p>
    <w:p>
      <w:pPr>
        <w:ind w:firstLine="480"/>
        <w:rPr>
          <w:rFonts w:ascii="Times New Roman" w:hAnsi="Times New Roman"/>
        </w:rPr>
      </w:pPr>
      <w:r>
        <w:rPr>
          <w:rFonts w:ascii="Times New Roman" w:hAnsi="Times New Roman"/>
        </w:rPr>
        <w:t>（6）环境监测项目、点位及人员配备，符合环境影响报告书和有关规定的要求；</w:t>
      </w:r>
    </w:p>
    <w:p>
      <w:pPr>
        <w:ind w:firstLine="480"/>
        <w:rPr>
          <w:rFonts w:ascii="Times New Roman" w:hAnsi="Times New Roman"/>
        </w:rPr>
      </w:pPr>
      <w:r>
        <w:rPr>
          <w:rFonts w:ascii="Times New Roman" w:hAnsi="Times New Roman"/>
        </w:rPr>
        <w:t>（7）环保投资单列台帐并得到了落实，出现的环保投诉得到了妥善解决。</w:t>
      </w:r>
    </w:p>
    <w:p>
      <w:pPr>
        <w:widowControl/>
        <w:spacing w:line="240" w:lineRule="atLeast"/>
        <w:ind w:firstLine="0" w:firstLineChars="0"/>
        <w:rPr>
          <w:rFonts w:ascii="Times New Roman" w:hAnsi="Times New Roman"/>
          <w:szCs w:val="24"/>
        </w:rPr>
      </w:pPr>
    </w:p>
    <w:p>
      <w:pPr>
        <w:widowControl/>
        <w:spacing w:line="240" w:lineRule="atLeast"/>
        <w:ind w:firstLine="0" w:firstLineChars="0"/>
        <w:rPr>
          <w:rFonts w:ascii="Times New Roman" w:hAnsi="Times New Roman"/>
          <w:szCs w:val="24"/>
        </w:rPr>
      </w:pPr>
    </w:p>
    <w:p>
      <w:pPr>
        <w:widowControl/>
        <w:spacing w:line="240" w:lineRule="atLeast"/>
        <w:ind w:firstLine="0" w:firstLineChars="0"/>
        <w:rPr>
          <w:rFonts w:ascii="Times New Roman" w:hAnsi="Times New Roman"/>
          <w:szCs w:val="24"/>
        </w:rPr>
        <w:sectPr>
          <w:pgSz w:w="11906" w:h="16838"/>
          <w:pgMar w:top="1440" w:right="1797" w:bottom="1440" w:left="1797" w:header="851" w:footer="992" w:gutter="0"/>
          <w:cols w:space="425" w:num="1"/>
          <w:docGrid w:type="lines" w:linePitch="312" w:charSpace="0"/>
        </w:sectPr>
      </w:pPr>
    </w:p>
    <w:p>
      <w:pPr>
        <w:spacing w:line="240" w:lineRule="auto"/>
        <w:ind w:firstLine="0" w:firstLineChars="0"/>
        <w:jc w:val="center"/>
        <w:textAlignment w:val="baseline"/>
        <w:rPr>
          <w:rFonts w:ascii="Times New Roman" w:hAnsi="Times New Roman"/>
          <w:b/>
          <w:sz w:val="21"/>
          <w:szCs w:val="20"/>
        </w:rPr>
      </w:pPr>
      <w:r>
        <w:rPr>
          <w:rFonts w:hint="eastAsia" w:ascii="Times New Roman" w:hAnsi="Times New Roman"/>
          <w:b/>
          <w:sz w:val="21"/>
          <w:szCs w:val="20"/>
        </w:rPr>
        <w:t>表8.3-1 环境保护措施竣工验收一览表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2174"/>
        <w:gridCol w:w="5570"/>
        <w:gridCol w:w="3804"/>
        <w:gridCol w:w="1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Align w:val="center"/>
          </w:tcPr>
          <w:p>
            <w:pPr>
              <w:spacing w:line="320" w:lineRule="exact"/>
              <w:ind w:firstLine="0" w:firstLineChars="0"/>
              <w:jc w:val="center"/>
              <w:rPr>
                <w:rFonts w:ascii="Times New Roman" w:hAnsi="Times New Roman"/>
                <w:sz w:val="21"/>
              </w:rPr>
            </w:pPr>
            <w:r>
              <w:rPr>
                <w:rFonts w:ascii="Times New Roman" w:hAnsi="Times New Roman"/>
                <w:sz w:val="21"/>
              </w:rPr>
              <w:t>序号</w:t>
            </w:r>
          </w:p>
        </w:tc>
        <w:tc>
          <w:tcPr>
            <w:tcW w:w="767" w:type="pct"/>
            <w:vAlign w:val="center"/>
          </w:tcPr>
          <w:p>
            <w:pPr>
              <w:spacing w:line="320" w:lineRule="exact"/>
              <w:ind w:firstLine="0" w:firstLineChars="0"/>
              <w:jc w:val="center"/>
              <w:rPr>
                <w:rFonts w:ascii="Times New Roman" w:hAnsi="Times New Roman"/>
                <w:sz w:val="21"/>
              </w:rPr>
            </w:pPr>
            <w:r>
              <w:rPr>
                <w:rFonts w:ascii="Times New Roman" w:hAnsi="Times New Roman"/>
                <w:sz w:val="21"/>
              </w:rPr>
              <w:t>污染物</w:t>
            </w:r>
          </w:p>
        </w:tc>
        <w:tc>
          <w:tcPr>
            <w:tcW w:w="1965" w:type="pct"/>
            <w:vAlign w:val="center"/>
          </w:tcPr>
          <w:p>
            <w:pPr>
              <w:spacing w:line="320" w:lineRule="exact"/>
              <w:ind w:firstLine="0" w:firstLineChars="0"/>
              <w:jc w:val="center"/>
              <w:rPr>
                <w:rFonts w:ascii="Times New Roman" w:hAnsi="Times New Roman"/>
                <w:sz w:val="21"/>
              </w:rPr>
            </w:pPr>
            <w:r>
              <w:rPr>
                <w:rFonts w:ascii="Times New Roman" w:hAnsi="Times New Roman"/>
                <w:sz w:val="21"/>
              </w:rPr>
              <w:t>治理措施</w:t>
            </w:r>
          </w:p>
        </w:tc>
        <w:tc>
          <w:tcPr>
            <w:tcW w:w="1342" w:type="pct"/>
            <w:vAlign w:val="center"/>
          </w:tcPr>
          <w:p>
            <w:pPr>
              <w:spacing w:line="320" w:lineRule="exact"/>
              <w:ind w:firstLine="0" w:firstLineChars="0"/>
              <w:jc w:val="center"/>
              <w:rPr>
                <w:rFonts w:ascii="Times New Roman" w:hAnsi="Times New Roman"/>
                <w:sz w:val="21"/>
              </w:rPr>
            </w:pPr>
            <w:r>
              <w:rPr>
                <w:rFonts w:ascii="Times New Roman" w:hAnsi="Times New Roman"/>
                <w:sz w:val="21"/>
              </w:rPr>
              <w:t>验收内容</w:t>
            </w:r>
          </w:p>
        </w:tc>
        <w:tc>
          <w:tcPr>
            <w:tcW w:w="698" w:type="pct"/>
            <w:vAlign w:val="center"/>
          </w:tcPr>
          <w:p>
            <w:pPr>
              <w:spacing w:line="320" w:lineRule="exact"/>
              <w:ind w:firstLine="0" w:firstLineChars="0"/>
              <w:jc w:val="center"/>
              <w:rPr>
                <w:rFonts w:ascii="Times New Roman" w:hAnsi="Times New Roman"/>
                <w:sz w:val="21"/>
              </w:rPr>
            </w:pPr>
            <w:r>
              <w:rPr>
                <w:rFonts w:ascii="Times New Roman" w:hAnsi="Times New Roman"/>
                <w:sz w:val="21"/>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tcBorders>
              <w:bottom w:val="single" w:color="auto" w:sz="4" w:space="0"/>
            </w:tcBorders>
            <w:vAlign w:val="center"/>
          </w:tcPr>
          <w:p>
            <w:pPr>
              <w:spacing w:line="320" w:lineRule="exact"/>
              <w:ind w:firstLine="0" w:firstLineChars="0"/>
              <w:jc w:val="center"/>
              <w:rPr>
                <w:rFonts w:ascii="Times New Roman" w:hAnsi="Times New Roman"/>
                <w:sz w:val="21"/>
              </w:rPr>
            </w:pPr>
            <w:r>
              <w:rPr>
                <w:rFonts w:ascii="Times New Roman" w:hAnsi="Times New Roman"/>
                <w:sz w:val="21"/>
              </w:rPr>
              <w:t>一</w:t>
            </w:r>
          </w:p>
        </w:tc>
        <w:tc>
          <w:tcPr>
            <w:tcW w:w="4772" w:type="pct"/>
            <w:gridSpan w:val="4"/>
            <w:tcBorders>
              <w:bottom w:val="single" w:color="auto" w:sz="4" w:space="0"/>
            </w:tcBorders>
            <w:vAlign w:val="center"/>
          </w:tcPr>
          <w:p>
            <w:pPr>
              <w:spacing w:line="320" w:lineRule="exact"/>
              <w:ind w:firstLine="0" w:firstLineChars="0"/>
              <w:rPr>
                <w:rFonts w:ascii="Times New Roman" w:hAnsi="Times New Roman"/>
                <w:sz w:val="21"/>
              </w:rPr>
            </w:pPr>
            <w:r>
              <w:rPr>
                <w:rFonts w:ascii="Times New Roman" w:hAnsi="Times New Roman"/>
                <w:sz w:val="21"/>
              </w:rPr>
              <w:t>废水污染治理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tcBorders>
              <w:top w:val="single" w:color="auto" w:sz="4" w:space="0"/>
              <w:bottom w:val="single" w:color="auto" w:sz="4" w:space="0"/>
            </w:tcBorders>
            <w:vAlign w:val="center"/>
          </w:tcPr>
          <w:p>
            <w:pPr>
              <w:spacing w:line="320" w:lineRule="exact"/>
              <w:ind w:firstLine="0" w:firstLineChars="0"/>
              <w:jc w:val="center"/>
              <w:rPr>
                <w:rFonts w:ascii="Times New Roman" w:hAnsi="Times New Roman"/>
                <w:sz w:val="21"/>
              </w:rPr>
            </w:pPr>
            <w:r>
              <w:rPr>
                <w:rFonts w:ascii="Times New Roman" w:hAnsi="Times New Roman"/>
                <w:sz w:val="21"/>
              </w:rPr>
              <w:t>1</w:t>
            </w:r>
          </w:p>
        </w:tc>
        <w:tc>
          <w:tcPr>
            <w:tcW w:w="767" w:type="pct"/>
            <w:tcBorders>
              <w:top w:val="single" w:color="auto" w:sz="4" w:space="0"/>
              <w:bottom w:val="single" w:color="auto" w:sz="4" w:space="0"/>
            </w:tcBorders>
            <w:vAlign w:val="center"/>
          </w:tcPr>
          <w:p>
            <w:pPr>
              <w:spacing w:line="320" w:lineRule="exact"/>
              <w:ind w:firstLine="0" w:firstLineChars="0"/>
              <w:jc w:val="center"/>
              <w:rPr>
                <w:rFonts w:ascii="Times New Roman" w:hAnsi="Times New Roman"/>
                <w:sz w:val="21"/>
              </w:rPr>
            </w:pPr>
            <w:r>
              <w:rPr>
                <w:rFonts w:ascii="Times New Roman" w:hAnsi="Times New Roman"/>
                <w:sz w:val="21"/>
              </w:rPr>
              <w:t>生活污水</w:t>
            </w:r>
          </w:p>
        </w:tc>
        <w:tc>
          <w:tcPr>
            <w:tcW w:w="1965" w:type="pct"/>
            <w:tcBorders>
              <w:top w:val="single" w:color="auto" w:sz="4" w:space="0"/>
              <w:bottom w:val="single" w:color="auto" w:sz="4" w:space="0"/>
            </w:tcBorders>
            <w:vAlign w:val="center"/>
          </w:tcPr>
          <w:p>
            <w:pPr>
              <w:spacing w:line="280" w:lineRule="exact"/>
              <w:ind w:firstLine="0" w:firstLineChars="0"/>
              <w:jc w:val="left"/>
              <w:rPr>
                <w:rFonts w:ascii="Times New Roman" w:hAnsi="宋体"/>
                <w:sz w:val="21"/>
              </w:rPr>
            </w:pPr>
            <w:r>
              <w:rPr>
                <w:rFonts w:hint="eastAsia" w:ascii="Times New Roman" w:hAnsi="宋体"/>
                <w:sz w:val="21"/>
              </w:rPr>
              <w:t>办公生活区设水冲式厕所，设置化粪池、隔油池各一座，</w:t>
            </w:r>
            <w:r>
              <w:rPr>
                <w:rFonts w:hint="eastAsia" w:ascii="Times New Roman" w:hAnsi="宋体"/>
                <w:bCs/>
                <w:sz w:val="21"/>
              </w:rPr>
              <w:t>食堂废水经隔油池处理后与办公生活区其他生活污水一同进入生活污水处理站处理。</w:t>
            </w:r>
          </w:p>
        </w:tc>
        <w:tc>
          <w:tcPr>
            <w:tcW w:w="1342" w:type="pct"/>
            <w:tcBorders>
              <w:top w:val="single" w:color="auto" w:sz="4" w:space="0"/>
              <w:bottom w:val="single" w:color="auto" w:sz="4" w:space="0"/>
            </w:tcBorders>
            <w:vAlign w:val="center"/>
          </w:tcPr>
          <w:p>
            <w:pPr>
              <w:spacing w:line="320" w:lineRule="exact"/>
              <w:ind w:firstLine="0" w:firstLineChars="0"/>
              <w:rPr>
                <w:rFonts w:ascii="Times New Roman" w:hAnsi="Times New Roman"/>
                <w:sz w:val="21"/>
              </w:rPr>
            </w:pPr>
            <w:r>
              <w:rPr>
                <w:rFonts w:ascii="Times New Roman" w:hAnsi="Times New Roman"/>
                <w:sz w:val="21"/>
                <w:shd w:val="clear" w:color="auto" w:fill="FFFFFF"/>
              </w:rPr>
              <w:t>建</w:t>
            </w:r>
            <w:r>
              <w:rPr>
                <w:rFonts w:hint="eastAsia" w:ascii="Times New Roman" w:hAnsi="Times New Roman"/>
                <w:sz w:val="21"/>
                <w:shd w:val="clear" w:color="auto" w:fill="FFFFFF"/>
              </w:rPr>
              <w:t>化粪池、隔油池、生活污水处理站</w:t>
            </w:r>
            <w:r>
              <w:rPr>
                <w:rFonts w:ascii="Times New Roman" w:hAnsi="Times New Roman"/>
                <w:sz w:val="21"/>
                <w:shd w:val="clear" w:color="auto" w:fill="FFFFFF"/>
              </w:rPr>
              <w:t>，</w:t>
            </w:r>
            <w:r>
              <w:rPr>
                <w:rFonts w:hint="eastAsia" w:ascii="Times New Roman" w:hAnsi="Times New Roman"/>
                <w:sz w:val="21"/>
                <w:shd w:val="clear" w:color="auto" w:fill="FFFFFF"/>
              </w:rPr>
              <w:t>生活污水收集、输送管道</w:t>
            </w:r>
            <w:r>
              <w:rPr>
                <w:rFonts w:ascii="Times New Roman" w:hAnsi="Times New Roman"/>
                <w:sz w:val="21"/>
                <w:shd w:val="clear" w:color="auto" w:fill="FFFFFF"/>
              </w:rPr>
              <w:t>。</w:t>
            </w:r>
          </w:p>
        </w:tc>
        <w:tc>
          <w:tcPr>
            <w:tcW w:w="698" w:type="pct"/>
            <w:tcBorders>
              <w:top w:val="single" w:color="auto" w:sz="4" w:space="0"/>
              <w:bottom w:val="single" w:color="auto" w:sz="4" w:space="0"/>
            </w:tcBorders>
            <w:vAlign w:val="center"/>
          </w:tcPr>
          <w:p>
            <w:pPr>
              <w:spacing w:line="320" w:lineRule="exact"/>
              <w:ind w:firstLine="0" w:firstLineChars="0"/>
              <w:jc w:val="center"/>
              <w:rPr>
                <w:rFonts w:ascii="Times New Roman" w:hAnsi="Times New Roman"/>
                <w:sz w:val="21"/>
              </w:rPr>
            </w:pPr>
            <w:r>
              <w:rPr>
                <w:rFonts w:hint="eastAsia" w:ascii="Times New Roman" w:hAnsi="Times New Roman"/>
                <w:sz w:val="21"/>
              </w:rPr>
              <w:t>全部回用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tcBorders>
              <w:top w:val="single" w:color="auto" w:sz="4" w:space="0"/>
              <w:bottom w:val="single" w:color="auto" w:sz="4" w:space="0"/>
            </w:tcBorders>
            <w:vAlign w:val="center"/>
          </w:tcPr>
          <w:p>
            <w:pPr>
              <w:spacing w:line="320" w:lineRule="exact"/>
              <w:ind w:firstLine="0" w:firstLineChars="0"/>
              <w:jc w:val="center"/>
              <w:rPr>
                <w:rFonts w:ascii="Times New Roman" w:hAnsi="Times New Roman"/>
                <w:sz w:val="21"/>
              </w:rPr>
            </w:pPr>
            <w:r>
              <w:rPr>
                <w:rFonts w:hint="eastAsia" w:ascii="Times New Roman" w:hAnsi="Times New Roman"/>
                <w:sz w:val="21"/>
              </w:rPr>
              <w:t>2</w:t>
            </w:r>
          </w:p>
        </w:tc>
        <w:tc>
          <w:tcPr>
            <w:tcW w:w="767" w:type="pct"/>
            <w:tcBorders>
              <w:top w:val="single" w:color="auto" w:sz="4" w:space="0"/>
              <w:bottom w:val="single" w:color="auto" w:sz="4" w:space="0"/>
            </w:tcBorders>
            <w:vAlign w:val="center"/>
          </w:tcPr>
          <w:p>
            <w:pPr>
              <w:spacing w:line="280" w:lineRule="exact"/>
              <w:ind w:firstLine="0" w:firstLineChars="0"/>
              <w:jc w:val="center"/>
              <w:rPr>
                <w:rFonts w:ascii="Times New Roman" w:hAnsi="Times New Roman"/>
                <w:sz w:val="21"/>
              </w:rPr>
            </w:pPr>
            <w:r>
              <w:rPr>
                <w:rFonts w:hint="eastAsia" w:ascii="Times New Roman" w:hAnsi="宋体"/>
                <w:sz w:val="21"/>
              </w:rPr>
              <w:t>生产</w:t>
            </w:r>
            <w:r>
              <w:rPr>
                <w:rFonts w:ascii="Times New Roman" w:hAnsi="宋体"/>
                <w:sz w:val="21"/>
              </w:rPr>
              <w:t>废水</w:t>
            </w:r>
          </w:p>
        </w:tc>
        <w:tc>
          <w:tcPr>
            <w:tcW w:w="1965" w:type="pct"/>
            <w:tcBorders>
              <w:top w:val="single" w:color="auto" w:sz="4" w:space="0"/>
              <w:bottom w:val="single" w:color="auto" w:sz="4" w:space="0"/>
            </w:tcBorders>
            <w:vAlign w:val="center"/>
          </w:tcPr>
          <w:p>
            <w:pPr>
              <w:spacing w:line="280" w:lineRule="exact"/>
              <w:ind w:firstLine="0" w:firstLineChars="0"/>
              <w:rPr>
                <w:rFonts w:ascii="Times New Roman" w:hAnsi="Times New Roman"/>
                <w:sz w:val="21"/>
              </w:rPr>
            </w:pPr>
            <w:r>
              <w:rPr>
                <w:rFonts w:hint="eastAsia" w:ascii="Times New Roman" w:hAnsi="宋体"/>
                <w:sz w:val="21"/>
              </w:rPr>
              <w:t>生产废水收集、输送管道</w:t>
            </w:r>
            <w:r>
              <w:rPr>
                <w:rFonts w:ascii="Times New Roman" w:hAnsi="宋体"/>
                <w:sz w:val="21"/>
              </w:rPr>
              <w:t>，厂区地面硬化</w:t>
            </w:r>
            <w:r>
              <w:rPr>
                <w:rFonts w:hint="eastAsia" w:ascii="Times New Roman" w:hAnsi="宋体"/>
                <w:sz w:val="21"/>
              </w:rPr>
              <w:t>；</w:t>
            </w:r>
            <w:r>
              <w:rPr>
                <w:rFonts w:ascii="Times New Roman" w:hAnsi="宋体"/>
                <w:sz w:val="21"/>
              </w:rPr>
              <w:t>净化处理站处理</w:t>
            </w:r>
            <w:r>
              <w:rPr>
                <w:rFonts w:hint="eastAsia" w:ascii="Times New Roman" w:hAnsi="宋体"/>
                <w:sz w:val="21"/>
              </w:rPr>
              <w:t>、</w:t>
            </w:r>
            <w:r>
              <w:rPr>
                <w:rFonts w:ascii="Times New Roman" w:hAnsi="宋体"/>
                <w:sz w:val="21"/>
              </w:rPr>
              <w:t>蒸发处理站</w:t>
            </w:r>
            <w:r>
              <w:rPr>
                <w:rFonts w:hint="eastAsia" w:ascii="Times New Roman" w:hAnsi="宋体"/>
                <w:sz w:val="21"/>
              </w:rPr>
              <w:t>的建设</w:t>
            </w:r>
            <w:r>
              <w:rPr>
                <w:rFonts w:ascii="Times New Roman" w:hAnsi="宋体"/>
                <w:sz w:val="21"/>
              </w:rPr>
              <w:t>。</w:t>
            </w:r>
          </w:p>
        </w:tc>
        <w:tc>
          <w:tcPr>
            <w:tcW w:w="1342" w:type="pct"/>
            <w:tcBorders>
              <w:top w:val="single" w:color="auto" w:sz="4" w:space="0"/>
              <w:bottom w:val="single" w:color="auto" w:sz="4" w:space="0"/>
            </w:tcBorders>
            <w:vAlign w:val="center"/>
          </w:tcPr>
          <w:p>
            <w:pPr>
              <w:spacing w:line="320" w:lineRule="exact"/>
              <w:ind w:firstLine="0" w:firstLineChars="0"/>
              <w:rPr>
                <w:rFonts w:ascii="Times New Roman" w:hAnsi="Times New Roman"/>
                <w:sz w:val="21"/>
                <w:shd w:val="clear" w:color="auto" w:fill="FFFFFF"/>
              </w:rPr>
            </w:pPr>
            <w:r>
              <w:rPr>
                <w:rFonts w:hint="eastAsia" w:ascii="Times New Roman" w:hAnsi="Times New Roman"/>
                <w:sz w:val="21"/>
                <w:shd w:val="clear" w:color="auto" w:fill="FFFFFF"/>
              </w:rPr>
              <w:t>建净化处理站、蒸发处理站，生产废水收集、输送管道。</w:t>
            </w:r>
          </w:p>
        </w:tc>
        <w:tc>
          <w:tcPr>
            <w:tcW w:w="698" w:type="pct"/>
            <w:tcBorders>
              <w:top w:val="single" w:color="auto" w:sz="4" w:space="0"/>
              <w:bottom w:val="single" w:color="auto" w:sz="4" w:space="0"/>
            </w:tcBorders>
            <w:vAlign w:val="center"/>
          </w:tcPr>
          <w:p>
            <w:pPr>
              <w:spacing w:line="320" w:lineRule="exact"/>
              <w:ind w:firstLine="0" w:firstLineChars="0"/>
              <w:jc w:val="center"/>
              <w:rPr>
                <w:rFonts w:ascii="Times New Roman" w:hAnsi="Times New Roman"/>
                <w:sz w:val="21"/>
              </w:rPr>
            </w:pPr>
            <w:r>
              <w:rPr>
                <w:rFonts w:hint="eastAsia" w:ascii="Times New Roman" w:hAnsi="Times New Roman"/>
                <w:sz w:val="21"/>
              </w:rPr>
              <w:t>自然蒸发，不外排。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二</w:t>
            </w:r>
          </w:p>
        </w:tc>
        <w:tc>
          <w:tcPr>
            <w:tcW w:w="4772" w:type="pct"/>
            <w:gridSpan w:val="4"/>
            <w:vAlign w:val="center"/>
          </w:tcPr>
          <w:p>
            <w:pPr>
              <w:spacing w:line="300" w:lineRule="exact"/>
              <w:ind w:firstLine="0" w:firstLineChars="0"/>
              <w:rPr>
                <w:rFonts w:ascii="Times New Roman" w:hAnsi="Times New Roman"/>
                <w:sz w:val="21"/>
              </w:rPr>
            </w:pPr>
            <w:r>
              <w:rPr>
                <w:rFonts w:hint="eastAsia" w:ascii="Times New Roman" w:hAnsi="Times New Roman"/>
                <w:sz w:val="21"/>
              </w:rPr>
              <w:t>废气</w:t>
            </w:r>
            <w:r>
              <w:rPr>
                <w:rFonts w:ascii="Times New Roman" w:hAnsi="Times New Roman"/>
                <w:sz w:val="21"/>
              </w:rPr>
              <w:t>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1</w:t>
            </w:r>
          </w:p>
        </w:tc>
        <w:tc>
          <w:tcPr>
            <w:tcW w:w="767" w:type="pct"/>
            <w:vAlign w:val="center"/>
          </w:tcPr>
          <w:p>
            <w:pPr>
              <w:spacing w:line="240" w:lineRule="auto"/>
              <w:ind w:firstLine="0" w:firstLineChars="0"/>
              <w:jc w:val="center"/>
              <w:rPr>
                <w:rFonts w:ascii="Times New Roman" w:hAnsi="Times New Roman"/>
                <w:sz w:val="21"/>
              </w:rPr>
            </w:pPr>
            <w:r>
              <w:rPr>
                <w:rFonts w:hint="eastAsia" w:ascii="Times New Roman" w:hAnsi="Times New Roman"/>
                <w:sz w:val="21"/>
              </w:rPr>
              <w:t>燃气锅炉烟气</w:t>
            </w:r>
          </w:p>
        </w:tc>
        <w:tc>
          <w:tcPr>
            <w:tcW w:w="1965" w:type="pct"/>
            <w:vAlign w:val="center"/>
          </w:tcPr>
          <w:p>
            <w:pPr>
              <w:spacing w:line="240" w:lineRule="auto"/>
              <w:ind w:firstLine="0" w:firstLineChars="0"/>
              <w:rPr>
                <w:rFonts w:ascii="Times New Roman" w:hAnsi="Times New Roman"/>
                <w:sz w:val="21"/>
              </w:rPr>
            </w:pPr>
            <w:r>
              <w:rPr>
                <w:rFonts w:hint="eastAsia" w:ascii="Times New Roman" w:hAnsi="Times New Roman"/>
                <w:sz w:val="21"/>
              </w:rPr>
              <w:t>设置高15m、内径0.2mm排气筒两根；高15m、内径0.438mm排气筒一根。</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建有三根15m高排气筒。</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2</w:t>
            </w:r>
          </w:p>
        </w:tc>
        <w:tc>
          <w:tcPr>
            <w:tcW w:w="767" w:type="pct"/>
            <w:vAlign w:val="center"/>
          </w:tcPr>
          <w:p>
            <w:pPr>
              <w:spacing w:line="240" w:lineRule="auto"/>
              <w:ind w:firstLine="0" w:firstLineChars="0"/>
              <w:jc w:val="center"/>
              <w:rPr>
                <w:rFonts w:ascii="Times New Roman" w:hAnsi="Times New Roman"/>
                <w:sz w:val="21"/>
              </w:rPr>
            </w:pPr>
            <w:r>
              <w:rPr>
                <w:rFonts w:ascii="Times New Roman" w:hAnsi="Times New Roman"/>
                <w:sz w:val="21"/>
              </w:rPr>
              <w:t>煤成气集输过程中挥发损失的烃类气体等</w:t>
            </w:r>
          </w:p>
        </w:tc>
        <w:tc>
          <w:tcPr>
            <w:tcW w:w="1965" w:type="pct"/>
            <w:vAlign w:val="center"/>
          </w:tcPr>
          <w:p>
            <w:pPr>
              <w:spacing w:line="240" w:lineRule="auto"/>
              <w:ind w:firstLine="0" w:firstLineChars="0"/>
              <w:rPr>
                <w:rFonts w:ascii="Times New Roman" w:hAnsi="Times New Roman"/>
                <w:sz w:val="21"/>
              </w:rPr>
            </w:pPr>
            <w:r>
              <w:rPr>
                <w:rFonts w:hint="eastAsia" w:ascii="Times New Roman" w:hAnsi="Times New Roman"/>
                <w:sz w:val="21"/>
              </w:rPr>
              <w:t>①输气管道及站场输送采用密闭输送，选用可靠性高的设备、密封性能好的阀门；</w:t>
            </w:r>
          </w:p>
          <w:p>
            <w:pPr>
              <w:spacing w:line="240" w:lineRule="auto"/>
              <w:ind w:firstLine="0" w:firstLineChars="0"/>
              <w:rPr>
                <w:rFonts w:ascii="Times New Roman" w:hAnsi="Times New Roman"/>
                <w:sz w:val="21"/>
              </w:rPr>
            </w:pPr>
            <w:r>
              <w:rPr>
                <w:rFonts w:hint="eastAsia" w:ascii="Times New Roman" w:hAnsi="Times New Roman"/>
                <w:sz w:val="21"/>
              </w:rPr>
              <w:t>②煤成气传输管路应设置甲烷传感器、流量传感器、压力传感器及温度传感器，对管道内甲烷浓度、流量压力、温度等参数进行监测。井场抽排装置应设甲烷传感器防止煤成气泄漏；</w:t>
            </w:r>
          </w:p>
          <w:p>
            <w:pPr>
              <w:spacing w:line="240" w:lineRule="auto"/>
              <w:ind w:firstLine="0" w:firstLineChars="0"/>
              <w:rPr>
                <w:rFonts w:ascii="Times New Roman" w:hAnsi="Times New Roman"/>
                <w:sz w:val="21"/>
              </w:rPr>
            </w:pPr>
            <w:r>
              <w:rPr>
                <w:rFonts w:hint="eastAsia" w:ascii="Times New Roman" w:hAnsi="Times New Roman"/>
                <w:sz w:val="21"/>
              </w:rPr>
              <w:t>③站场和阀室以及沿线设可燃气体浓度检测系统和ESD系统，密切监视煤成气的泄漏量。</w:t>
            </w:r>
          </w:p>
        </w:tc>
        <w:tc>
          <w:tcPr>
            <w:tcW w:w="1342" w:type="pct"/>
            <w:vAlign w:val="center"/>
          </w:tcPr>
          <w:p>
            <w:pPr>
              <w:spacing w:line="240" w:lineRule="auto"/>
              <w:ind w:firstLine="0" w:firstLineChars="0"/>
              <w:rPr>
                <w:rFonts w:ascii="Times New Roman" w:hAnsi="Times New Roman"/>
                <w:sz w:val="21"/>
              </w:rPr>
            </w:pPr>
            <w:r>
              <w:rPr>
                <w:rFonts w:hint="eastAsia" w:ascii="Times New Roman" w:hAnsi="Times New Roman"/>
                <w:sz w:val="21"/>
              </w:rPr>
              <w:t>选用可靠性高的设备、密封性能好的阀门，加强管理。</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有效控制</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三</w:t>
            </w:r>
          </w:p>
        </w:tc>
        <w:tc>
          <w:tcPr>
            <w:tcW w:w="4772" w:type="pct"/>
            <w:gridSpan w:val="4"/>
            <w:vAlign w:val="center"/>
          </w:tcPr>
          <w:p>
            <w:pPr>
              <w:spacing w:line="300" w:lineRule="exact"/>
              <w:ind w:firstLine="0" w:firstLineChars="0"/>
              <w:rPr>
                <w:rFonts w:ascii="Times New Roman" w:hAnsi="Times New Roman"/>
                <w:sz w:val="21"/>
              </w:rPr>
            </w:pPr>
            <w:r>
              <w:rPr>
                <w:rFonts w:ascii="Times New Roman" w:hAnsi="Times New Roman"/>
                <w:sz w:val="21"/>
              </w:rPr>
              <w:t>噪声控制</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w:t>
            </w:r>
          </w:p>
        </w:tc>
        <w:tc>
          <w:tcPr>
            <w:tcW w:w="767"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运输车辆及</w:t>
            </w:r>
            <w:r>
              <w:rPr>
                <w:rFonts w:hint="eastAsia" w:ascii="Times New Roman" w:hAnsi="Times New Roman"/>
                <w:sz w:val="21"/>
              </w:rPr>
              <w:t>工业场地机械设备</w:t>
            </w:r>
          </w:p>
        </w:tc>
        <w:tc>
          <w:tcPr>
            <w:tcW w:w="1965" w:type="pct"/>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①合理布置噪声源，在压缩机等强噪声源周围布置隔声板，并在外围植树绿化；</w:t>
            </w:r>
          </w:p>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②选择低噪声设备，设备设有减振基础并采用消声措施；</w:t>
            </w:r>
          </w:p>
          <w:p>
            <w:pPr>
              <w:spacing w:line="280" w:lineRule="exact"/>
              <w:ind w:firstLine="0" w:firstLineChars="0"/>
              <w:rPr>
                <w:rFonts w:ascii="Times New Roman" w:hAnsi="Times New Roman"/>
                <w:sz w:val="21"/>
              </w:rPr>
            </w:pPr>
            <w:r>
              <w:rPr>
                <w:rFonts w:hint="eastAsia" w:ascii="Times New Roman" w:hAnsi="宋体"/>
                <w:sz w:val="21"/>
                <w:shd w:val="clear" w:color="auto" w:fill="FFFFFF"/>
              </w:rPr>
              <w:t>③设备与管道之间的连接采用柔性连接，以减少噪声和振动的传递</w:t>
            </w:r>
            <w:r>
              <w:rPr>
                <w:rFonts w:hint="eastAsia" w:ascii="Times New Roman" w:hAnsi="宋体"/>
                <w:sz w:val="21"/>
              </w:rPr>
              <w:t>。</w:t>
            </w:r>
          </w:p>
        </w:tc>
        <w:tc>
          <w:tcPr>
            <w:tcW w:w="1342" w:type="pct"/>
            <w:vAlign w:val="center"/>
          </w:tcPr>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①合理布置噪声源，在压缩机等强噪声源周围布置隔声板，并在外围植树绿化；</w:t>
            </w:r>
          </w:p>
          <w:p>
            <w:pPr>
              <w:spacing w:line="280" w:lineRule="exact"/>
              <w:ind w:firstLine="0" w:firstLineChars="0"/>
              <w:rPr>
                <w:rFonts w:ascii="Times New Roman" w:hAnsi="宋体"/>
                <w:sz w:val="21"/>
                <w:shd w:val="clear" w:color="auto" w:fill="FFFFFF"/>
              </w:rPr>
            </w:pPr>
            <w:r>
              <w:rPr>
                <w:rFonts w:hint="eastAsia" w:ascii="Times New Roman" w:hAnsi="宋体"/>
                <w:sz w:val="21"/>
                <w:shd w:val="clear" w:color="auto" w:fill="FFFFFF"/>
              </w:rPr>
              <w:t>②选择低噪声设备，设备设有减振基础并采用消声措施；</w:t>
            </w:r>
          </w:p>
          <w:p>
            <w:pPr>
              <w:spacing w:line="280" w:lineRule="exact"/>
              <w:ind w:firstLine="0" w:firstLineChars="0"/>
              <w:rPr>
                <w:rFonts w:ascii="Times New Roman" w:hAnsi="Times New Roman"/>
                <w:sz w:val="21"/>
              </w:rPr>
            </w:pPr>
            <w:r>
              <w:rPr>
                <w:rFonts w:hint="eastAsia" w:ascii="Times New Roman" w:hAnsi="宋体"/>
                <w:sz w:val="21"/>
                <w:shd w:val="clear" w:color="auto" w:fill="FFFFFF"/>
              </w:rPr>
              <w:t>③设备与管道之间的连接采用柔性连接，以减少噪声和振动的传递</w:t>
            </w:r>
            <w:r>
              <w:rPr>
                <w:rFonts w:hint="eastAsia" w:ascii="Times New Roman" w:hAnsi="宋体"/>
                <w:sz w:val="21"/>
              </w:rPr>
              <w:t>。</w:t>
            </w:r>
          </w:p>
        </w:tc>
        <w:tc>
          <w:tcPr>
            <w:tcW w:w="69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厂界噪声满足《工业企业厂界环境噪声排放标准》中</w:t>
            </w:r>
            <w:r>
              <w:rPr>
                <w:rFonts w:hint="eastAsia" w:ascii="Times New Roman" w:hAnsi="Times New Roman"/>
                <w:sz w:val="21"/>
              </w:rPr>
              <w:t>2</w:t>
            </w:r>
            <w:r>
              <w:rPr>
                <w:rFonts w:ascii="Times New Roman" w:hAnsi="Times New Roman"/>
                <w:sz w:val="21"/>
              </w:rPr>
              <w:t>类标准。</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四</w:t>
            </w:r>
          </w:p>
        </w:tc>
        <w:tc>
          <w:tcPr>
            <w:tcW w:w="4772" w:type="pct"/>
            <w:gridSpan w:val="4"/>
            <w:vAlign w:val="center"/>
          </w:tcPr>
          <w:p>
            <w:pPr>
              <w:spacing w:line="300" w:lineRule="exact"/>
              <w:ind w:firstLine="0" w:firstLineChars="0"/>
              <w:rPr>
                <w:rFonts w:ascii="Times New Roman" w:hAnsi="Times New Roman"/>
                <w:sz w:val="21"/>
              </w:rPr>
            </w:pPr>
            <w:r>
              <w:rPr>
                <w:rFonts w:ascii="Times New Roman" w:hAnsi="Times New Roman"/>
                <w:sz w:val="21"/>
              </w:rPr>
              <w:t>固体废物处置</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w:t>
            </w:r>
          </w:p>
        </w:tc>
        <w:tc>
          <w:tcPr>
            <w:tcW w:w="767"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生活垃圾</w:t>
            </w:r>
          </w:p>
        </w:tc>
        <w:tc>
          <w:tcPr>
            <w:tcW w:w="1965" w:type="pct"/>
            <w:vAlign w:val="center"/>
          </w:tcPr>
          <w:p>
            <w:pPr>
              <w:spacing w:line="300" w:lineRule="exact"/>
              <w:ind w:firstLine="0" w:firstLineChars="0"/>
              <w:rPr>
                <w:rFonts w:ascii="Times New Roman" w:hAnsi="Times New Roman"/>
                <w:sz w:val="21"/>
              </w:rPr>
            </w:pPr>
            <w:r>
              <w:rPr>
                <w:rFonts w:ascii="Times New Roman" w:hAnsi="Times New Roman"/>
                <w:sz w:val="21"/>
              </w:rPr>
              <w:t>在主要建筑物及工业场所设置垃圾桶，定点堆存，分类收集</w:t>
            </w:r>
            <w:r>
              <w:rPr>
                <w:rFonts w:hint="eastAsia" w:ascii="Times New Roman" w:hAnsi="Times New Roman"/>
                <w:sz w:val="21"/>
              </w:rPr>
              <w:t>，定期由当地环卫部门统一清运。</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定点收集，定期清运。</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不外排</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2</w:t>
            </w:r>
          </w:p>
        </w:tc>
        <w:tc>
          <w:tcPr>
            <w:tcW w:w="767" w:type="pct"/>
            <w:vAlign w:val="center"/>
          </w:tcPr>
          <w:p>
            <w:pPr>
              <w:spacing w:line="240" w:lineRule="auto"/>
              <w:ind w:firstLine="0" w:firstLineChars="0"/>
              <w:jc w:val="center"/>
              <w:rPr>
                <w:rFonts w:ascii="Times New Roman" w:hAnsi="Times New Roman"/>
                <w:sz w:val="21"/>
                <w:szCs w:val="20"/>
              </w:rPr>
            </w:pPr>
            <w:r>
              <w:rPr>
                <w:rFonts w:hint="eastAsia" w:ascii="Times New Roman" w:hAnsi="宋体"/>
                <w:sz w:val="21"/>
              </w:rPr>
              <w:t>工业废水处理站废盐</w:t>
            </w:r>
          </w:p>
        </w:tc>
        <w:tc>
          <w:tcPr>
            <w:tcW w:w="1965"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属于危险废物，废盐暂存于LX-104蒸发处理池内，</w:t>
            </w:r>
            <w:r>
              <w:rPr>
                <w:rFonts w:ascii="Times New Roman" w:hAnsi="Times New Roman"/>
                <w:sz w:val="21"/>
              </w:rPr>
              <w:t>并定期</w:t>
            </w:r>
            <w:r>
              <w:rPr>
                <w:rFonts w:hint="eastAsia" w:ascii="Times New Roman" w:hAnsi="Times New Roman"/>
                <w:sz w:val="21"/>
                <w:lang w:eastAsia="zh-CN"/>
              </w:rPr>
              <w:t>交由</w:t>
            </w:r>
            <w:r>
              <w:rPr>
                <w:rFonts w:hint="eastAsia" w:ascii="Times New Roman" w:hAnsi="Times New Roman"/>
                <w:sz w:val="21"/>
              </w:rPr>
              <w:t>广灵金隅水泥有限公司收集处置</w:t>
            </w:r>
            <w:r>
              <w:rPr>
                <w:rFonts w:ascii="Times New Roman" w:hAnsi="Times New Roman"/>
                <w:sz w:val="21"/>
              </w:rPr>
              <w:t>。</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暂存于LX-104蒸发处理池内，</w:t>
            </w:r>
            <w:r>
              <w:rPr>
                <w:rFonts w:ascii="Times New Roman" w:hAnsi="Times New Roman"/>
                <w:sz w:val="21"/>
              </w:rPr>
              <w:t>定期</w:t>
            </w:r>
            <w:r>
              <w:rPr>
                <w:rFonts w:hint="eastAsia" w:ascii="Times New Roman" w:hAnsi="Times New Roman"/>
                <w:sz w:val="21"/>
                <w:lang w:eastAsia="zh-CN"/>
              </w:rPr>
              <w:t>交由</w:t>
            </w:r>
            <w:r>
              <w:rPr>
                <w:rFonts w:hint="eastAsia" w:ascii="Times New Roman" w:hAnsi="Times New Roman"/>
                <w:sz w:val="21"/>
              </w:rPr>
              <w:t>广灵金隅水泥有限公司收集处置</w:t>
            </w:r>
            <w:r>
              <w:rPr>
                <w:rFonts w:ascii="Times New Roman" w:hAnsi="Times New Roman"/>
                <w:sz w:val="21"/>
              </w:rPr>
              <w:t>。</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不外排</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3</w:t>
            </w:r>
          </w:p>
        </w:tc>
        <w:tc>
          <w:tcPr>
            <w:tcW w:w="767" w:type="pct"/>
            <w:vAlign w:val="center"/>
          </w:tcPr>
          <w:p>
            <w:pPr>
              <w:spacing w:line="240" w:lineRule="auto"/>
              <w:ind w:firstLine="0" w:firstLineChars="0"/>
              <w:jc w:val="center"/>
              <w:rPr>
                <w:rFonts w:ascii="Times New Roman" w:hAnsi="Times New Roman"/>
                <w:sz w:val="21"/>
                <w:szCs w:val="20"/>
              </w:rPr>
            </w:pPr>
            <w:r>
              <w:rPr>
                <w:rFonts w:hint="eastAsia" w:ascii="Times New Roman" w:hAnsi="宋体"/>
                <w:sz w:val="21"/>
              </w:rPr>
              <w:t>凝析油</w:t>
            </w:r>
          </w:p>
        </w:tc>
        <w:tc>
          <w:tcPr>
            <w:tcW w:w="1965"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属于危险废物，在集气站内设专门烃储罐，地面作防渗处理，并定期交由广灵金隅水泥有限公司处置。</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站内设专门烃储罐，地面作防渗处理，并定期交由广灵金隅水泥有限公司处置。</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不外排</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4</w:t>
            </w:r>
          </w:p>
        </w:tc>
        <w:tc>
          <w:tcPr>
            <w:tcW w:w="767"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废弃分子筛</w:t>
            </w:r>
          </w:p>
        </w:tc>
        <w:tc>
          <w:tcPr>
            <w:tcW w:w="1965" w:type="pct"/>
            <w:vAlign w:val="center"/>
          </w:tcPr>
          <w:p>
            <w:pPr>
              <w:spacing w:line="300" w:lineRule="exact"/>
              <w:ind w:firstLine="0" w:firstLineChars="0"/>
              <w:rPr>
                <w:rFonts w:ascii="Times New Roman" w:hAnsi="Times New Roman"/>
                <w:sz w:val="21"/>
              </w:rPr>
            </w:pPr>
            <w:r>
              <w:rPr>
                <w:rFonts w:ascii="Times New Roman" w:hAnsi="Times New Roman"/>
                <w:sz w:val="21"/>
              </w:rPr>
              <w:t>分子筛定期更换，更换下来的分子筛由厂家回收处理后重复利用</w:t>
            </w:r>
            <w:r>
              <w:rPr>
                <w:rFonts w:hint="eastAsia" w:ascii="Times New Roman" w:hAnsi="Times New Roman"/>
                <w:sz w:val="21"/>
              </w:rPr>
              <w:t>。</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定期更换，废弃分子筛由厂家回收。</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再利用</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5</w:t>
            </w:r>
          </w:p>
        </w:tc>
        <w:tc>
          <w:tcPr>
            <w:tcW w:w="767"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生活污水处理站污泥</w:t>
            </w:r>
          </w:p>
        </w:tc>
        <w:tc>
          <w:tcPr>
            <w:tcW w:w="1965"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经收集后作为一般固废，定期送填埋场处理。</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定期送填埋场处理。</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不外排</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6</w:t>
            </w:r>
          </w:p>
        </w:tc>
        <w:tc>
          <w:tcPr>
            <w:tcW w:w="767" w:type="pct"/>
            <w:vAlign w:val="center"/>
          </w:tcPr>
          <w:p>
            <w:pPr>
              <w:spacing w:line="240" w:lineRule="auto"/>
              <w:ind w:firstLine="0" w:firstLineChars="0"/>
              <w:jc w:val="center"/>
              <w:rPr>
                <w:rFonts w:ascii="Times New Roman" w:hAnsi="Times New Roman"/>
                <w:sz w:val="21"/>
                <w:szCs w:val="20"/>
              </w:rPr>
            </w:pPr>
            <w:r>
              <w:rPr>
                <w:rFonts w:hint="eastAsia" w:ascii="Times New Roman" w:hAnsi="Times New Roman"/>
                <w:sz w:val="21"/>
                <w:szCs w:val="20"/>
              </w:rPr>
              <w:t>干化池污泥</w:t>
            </w:r>
          </w:p>
        </w:tc>
        <w:tc>
          <w:tcPr>
            <w:tcW w:w="1965"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属于危险废物，废盐暂存于LX-103井场干化池内，</w:t>
            </w:r>
            <w:r>
              <w:rPr>
                <w:rFonts w:ascii="Times New Roman" w:hAnsi="Times New Roman"/>
                <w:sz w:val="21"/>
              </w:rPr>
              <w:t>并定期</w:t>
            </w:r>
            <w:r>
              <w:rPr>
                <w:rFonts w:hint="eastAsia" w:ascii="Times New Roman" w:hAnsi="Times New Roman"/>
                <w:sz w:val="21"/>
                <w:lang w:eastAsia="zh-CN"/>
              </w:rPr>
              <w:t>交由</w:t>
            </w:r>
            <w:r>
              <w:rPr>
                <w:rFonts w:hint="eastAsia" w:ascii="Times New Roman" w:hAnsi="Times New Roman"/>
                <w:sz w:val="21"/>
              </w:rPr>
              <w:t>广灵金隅水泥有限公司收集处置</w:t>
            </w:r>
            <w:r>
              <w:rPr>
                <w:rFonts w:ascii="Times New Roman" w:hAnsi="Times New Roman"/>
                <w:sz w:val="21"/>
              </w:rPr>
              <w:t>。</w:t>
            </w:r>
          </w:p>
        </w:tc>
        <w:tc>
          <w:tcPr>
            <w:tcW w:w="1342" w:type="pct"/>
            <w:vAlign w:val="center"/>
          </w:tcPr>
          <w:p>
            <w:pPr>
              <w:spacing w:line="300" w:lineRule="exact"/>
              <w:ind w:firstLine="0" w:firstLineChars="0"/>
              <w:rPr>
                <w:rFonts w:ascii="Times New Roman" w:hAnsi="Times New Roman"/>
                <w:sz w:val="21"/>
              </w:rPr>
            </w:pPr>
            <w:r>
              <w:rPr>
                <w:rFonts w:hint="eastAsia" w:ascii="Times New Roman" w:hAnsi="Times New Roman"/>
                <w:sz w:val="21"/>
              </w:rPr>
              <w:t>暂存于LX-103井干化池内，</w:t>
            </w:r>
            <w:r>
              <w:rPr>
                <w:rFonts w:ascii="Times New Roman" w:hAnsi="Times New Roman"/>
                <w:sz w:val="21"/>
              </w:rPr>
              <w:t>定期</w:t>
            </w:r>
            <w:r>
              <w:rPr>
                <w:rFonts w:hint="eastAsia" w:ascii="Times New Roman" w:hAnsi="Times New Roman"/>
                <w:sz w:val="21"/>
                <w:lang w:eastAsia="zh-CN"/>
              </w:rPr>
              <w:t>交由</w:t>
            </w:r>
            <w:r>
              <w:rPr>
                <w:rFonts w:hint="eastAsia" w:ascii="Times New Roman" w:hAnsi="Times New Roman"/>
                <w:sz w:val="21"/>
              </w:rPr>
              <w:t>广灵金隅水泥有限公司收集处置</w:t>
            </w:r>
            <w:r>
              <w:rPr>
                <w:rFonts w:ascii="Times New Roman" w:hAnsi="Times New Roman"/>
                <w:sz w:val="21"/>
              </w:rPr>
              <w:t>。</w:t>
            </w:r>
          </w:p>
        </w:tc>
        <w:tc>
          <w:tcPr>
            <w:tcW w:w="698" w:type="pct"/>
            <w:vAlign w:val="center"/>
          </w:tcPr>
          <w:p>
            <w:pPr>
              <w:spacing w:line="300" w:lineRule="exact"/>
              <w:ind w:firstLine="0" w:firstLineChars="0"/>
              <w:jc w:val="center"/>
              <w:rPr>
                <w:rFonts w:ascii="Times New Roman" w:hAnsi="Times New Roman"/>
                <w:sz w:val="21"/>
              </w:rPr>
            </w:pPr>
            <w:r>
              <w:rPr>
                <w:rFonts w:hint="eastAsia" w:ascii="Times New Roman" w:hAnsi="Times New Roman"/>
                <w:sz w:val="21"/>
              </w:rPr>
              <w:t>不外排</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五</w:t>
            </w:r>
          </w:p>
        </w:tc>
        <w:tc>
          <w:tcPr>
            <w:tcW w:w="4772" w:type="pct"/>
            <w:gridSpan w:val="4"/>
            <w:vAlign w:val="center"/>
          </w:tcPr>
          <w:p>
            <w:pPr>
              <w:spacing w:line="300" w:lineRule="exact"/>
              <w:ind w:firstLine="0" w:firstLineChars="0"/>
              <w:rPr>
                <w:rFonts w:ascii="Times New Roman" w:hAnsi="Times New Roman"/>
                <w:sz w:val="21"/>
              </w:rPr>
            </w:pPr>
            <w:r>
              <w:rPr>
                <w:rFonts w:ascii="Times New Roman" w:hAnsi="Times New Roman"/>
                <w:sz w:val="21"/>
              </w:rPr>
              <w:t>生态保护</w:t>
            </w:r>
          </w:p>
        </w:tc>
      </w:tr>
      <w:tr>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2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1</w:t>
            </w:r>
          </w:p>
        </w:tc>
        <w:tc>
          <w:tcPr>
            <w:tcW w:w="767"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场地周围绿化</w:t>
            </w:r>
          </w:p>
        </w:tc>
        <w:tc>
          <w:tcPr>
            <w:tcW w:w="1965" w:type="pct"/>
            <w:vAlign w:val="center"/>
          </w:tcPr>
          <w:p>
            <w:pPr>
              <w:spacing w:line="300" w:lineRule="exact"/>
              <w:ind w:firstLine="0" w:firstLineChars="0"/>
              <w:rPr>
                <w:rFonts w:ascii="Times New Roman" w:hAnsi="Times New Roman"/>
                <w:sz w:val="21"/>
              </w:rPr>
            </w:pPr>
            <w:r>
              <w:rPr>
                <w:rFonts w:ascii="Times New Roman" w:hAnsi="Times New Roman"/>
                <w:sz w:val="21"/>
              </w:rPr>
              <w:t>工业场地绿化，绿化率达到1</w:t>
            </w:r>
            <w:r>
              <w:rPr>
                <w:rFonts w:hint="eastAsia" w:ascii="Times New Roman" w:hAnsi="Times New Roman"/>
                <w:sz w:val="21"/>
              </w:rPr>
              <w:t>0</w:t>
            </w:r>
            <w:r>
              <w:rPr>
                <w:rFonts w:ascii="Times New Roman" w:hAnsi="Times New Roman"/>
                <w:sz w:val="21"/>
              </w:rPr>
              <w:t>%。</w:t>
            </w:r>
          </w:p>
        </w:tc>
        <w:tc>
          <w:tcPr>
            <w:tcW w:w="1342" w:type="pct"/>
            <w:vAlign w:val="center"/>
          </w:tcPr>
          <w:p>
            <w:pPr>
              <w:spacing w:line="300" w:lineRule="exact"/>
              <w:ind w:firstLine="0" w:firstLineChars="0"/>
              <w:rPr>
                <w:rFonts w:ascii="Times New Roman" w:hAnsi="Times New Roman"/>
                <w:sz w:val="21"/>
              </w:rPr>
            </w:pPr>
            <w:r>
              <w:rPr>
                <w:rFonts w:ascii="Times New Roman" w:hAnsi="Times New Roman"/>
                <w:sz w:val="21"/>
              </w:rPr>
              <w:t>工业场地绿化和进场道路绿化。</w:t>
            </w:r>
          </w:p>
        </w:tc>
        <w:tc>
          <w:tcPr>
            <w:tcW w:w="698" w:type="pct"/>
            <w:vAlign w:val="center"/>
          </w:tcPr>
          <w:p>
            <w:pPr>
              <w:spacing w:line="300" w:lineRule="exact"/>
              <w:ind w:firstLine="0" w:firstLineChars="0"/>
              <w:jc w:val="center"/>
              <w:rPr>
                <w:rFonts w:ascii="Times New Roman" w:hAnsi="Times New Roman"/>
                <w:sz w:val="21"/>
              </w:rPr>
            </w:pPr>
            <w:r>
              <w:rPr>
                <w:rFonts w:ascii="Times New Roman" w:hAnsi="Times New Roman"/>
                <w:sz w:val="21"/>
              </w:rPr>
              <w:t>绿化率1</w:t>
            </w:r>
            <w:r>
              <w:rPr>
                <w:rFonts w:hint="eastAsia" w:ascii="Times New Roman" w:hAnsi="Times New Roman"/>
                <w:sz w:val="21"/>
              </w:rPr>
              <w:t>0</w:t>
            </w:r>
            <w:r>
              <w:rPr>
                <w:rFonts w:ascii="Times New Roman" w:hAnsi="Times New Roman"/>
                <w:sz w:val="21"/>
              </w:rPr>
              <w:t>%</w:t>
            </w:r>
          </w:p>
        </w:tc>
      </w:tr>
    </w:tbl>
    <w:p>
      <w:pPr>
        <w:ind w:firstLine="480"/>
      </w:pPr>
    </w:p>
    <w:p>
      <w:pPr>
        <w:widowControl/>
        <w:spacing w:line="240" w:lineRule="atLeast"/>
        <w:ind w:firstLine="0" w:firstLineChars="0"/>
        <w:jc w:val="center"/>
        <w:rPr>
          <w:rFonts w:ascii="Times New Roman" w:hAnsi="Times New Roman"/>
          <w:szCs w:val="24"/>
        </w:rPr>
      </w:pPr>
    </w:p>
    <w:p>
      <w:pPr>
        <w:spacing w:before="156" w:beforeLines="50" w:after="156" w:afterLines="50"/>
        <w:ind w:firstLine="0" w:firstLineChars="0"/>
        <w:outlineLvl w:val="0"/>
        <w:rPr>
          <w:rFonts w:ascii="Times New Roman" w:hAnsi="Times New Roman"/>
          <w:b/>
          <w:sz w:val="32"/>
          <w:szCs w:val="32"/>
        </w:rPr>
        <w:sectPr>
          <w:pgSz w:w="16838" w:h="11906" w:orient="landscape"/>
          <w:pgMar w:top="1797" w:right="1440" w:bottom="1797" w:left="1440" w:header="851" w:footer="992" w:gutter="0"/>
          <w:cols w:space="425" w:num="1"/>
          <w:docGrid w:type="linesAndChars" w:linePitch="312" w:charSpace="0"/>
        </w:sectPr>
      </w:pPr>
    </w:p>
    <w:p>
      <w:pPr>
        <w:spacing w:before="156" w:beforeLines="50" w:after="156" w:afterLines="50"/>
        <w:ind w:firstLine="0" w:firstLineChars="0"/>
        <w:outlineLvl w:val="0"/>
        <w:rPr>
          <w:rFonts w:ascii="Times New Roman" w:hAnsi="Times New Roman"/>
          <w:b/>
          <w:sz w:val="32"/>
          <w:szCs w:val="32"/>
        </w:rPr>
      </w:pPr>
      <w:bookmarkStart w:id="145" w:name="_Toc524624671"/>
      <w:r>
        <w:rPr>
          <w:rFonts w:hint="eastAsia" w:ascii="Times New Roman" w:hAnsi="Times New Roman"/>
          <w:b/>
          <w:sz w:val="32"/>
          <w:szCs w:val="32"/>
        </w:rPr>
        <w:t>9 项目可行性分析</w:t>
      </w:r>
      <w:bookmarkEnd w:id="145"/>
    </w:p>
    <w:p>
      <w:pPr>
        <w:spacing w:before="156" w:beforeLines="50" w:after="156" w:afterLines="50"/>
        <w:ind w:firstLine="0" w:firstLineChars="0"/>
        <w:outlineLvl w:val="1"/>
        <w:rPr>
          <w:b/>
          <w:sz w:val="28"/>
          <w:szCs w:val="28"/>
          <w:lang w:val="zh-CN"/>
        </w:rPr>
      </w:pPr>
      <w:bookmarkStart w:id="146" w:name="_Toc524624672"/>
      <w:r>
        <w:rPr>
          <w:rFonts w:hint="eastAsia" w:ascii="Times New Roman" w:hAnsi="Times New Roman"/>
          <w:b/>
          <w:sz w:val="30"/>
          <w:szCs w:val="30"/>
        </w:rPr>
        <w:t xml:space="preserve">9.1 </w:t>
      </w:r>
      <w:r>
        <w:rPr>
          <w:rFonts w:ascii="Times New Roman" w:hAnsi="Times New Roman"/>
          <w:b/>
          <w:sz w:val="30"/>
          <w:szCs w:val="30"/>
        </w:rPr>
        <w:t>产业政策符合性分析</w:t>
      </w:r>
      <w:bookmarkEnd w:id="146"/>
    </w:p>
    <w:p>
      <w:pPr>
        <w:ind w:firstLine="480"/>
        <w:rPr>
          <w:rFonts w:asciiTheme="minorEastAsia" w:hAnsiTheme="minorEastAsia" w:eastAsiaTheme="minorEastAsia"/>
          <w:szCs w:val="24"/>
        </w:rPr>
      </w:pPr>
      <w:r>
        <w:rPr>
          <w:rFonts w:asciiTheme="minorEastAsia" w:hAnsiTheme="minorEastAsia" w:eastAsiaTheme="minorEastAsia"/>
          <w:szCs w:val="24"/>
        </w:rPr>
        <w:t>本项目为</w:t>
      </w:r>
      <w:r>
        <w:rPr>
          <w:rFonts w:hint="eastAsia" w:asciiTheme="minorEastAsia" w:hAnsiTheme="minorEastAsia" w:eastAsiaTheme="minorEastAsia"/>
          <w:szCs w:val="24"/>
        </w:rPr>
        <w:t>煤成气</w:t>
      </w:r>
      <w:r>
        <w:rPr>
          <w:rFonts w:asciiTheme="minorEastAsia" w:hAnsiTheme="minorEastAsia" w:eastAsiaTheme="minorEastAsia"/>
          <w:szCs w:val="24"/>
        </w:rPr>
        <w:t>勘探，根据《产业结构调整指导目录（</w:t>
      </w:r>
      <w:r>
        <w:rPr>
          <w:rFonts w:ascii="Times New Roman" w:hAnsi="Times New Roman" w:eastAsiaTheme="minorEastAsia"/>
          <w:szCs w:val="24"/>
        </w:rPr>
        <w:t>2011</w:t>
      </w:r>
      <w:r>
        <w:rPr>
          <w:rFonts w:asciiTheme="minorEastAsia" w:hAnsiTheme="minorEastAsia" w:eastAsiaTheme="minorEastAsia"/>
          <w:szCs w:val="24"/>
        </w:rPr>
        <w:t>年本）》（</w:t>
      </w:r>
      <w:r>
        <w:rPr>
          <w:rFonts w:ascii="Times New Roman" w:hAnsi="Times New Roman" w:eastAsiaTheme="minorEastAsia"/>
          <w:szCs w:val="24"/>
        </w:rPr>
        <w:t>2013</w:t>
      </w:r>
      <w:r>
        <w:rPr>
          <w:rFonts w:asciiTheme="minorEastAsia" w:hAnsiTheme="minorEastAsia" w:eastAsiaTheme="minorEastAsia"/>
          <w:szCs w:val="24"/>
        </w:rPr>
        <w:t>年修正），本项目符合鼓励类“</w:t>
      </w:r>
      <w:r>
        <w:rPr>
          <w:rFonts w:hint="eastAsia" w:asciiTheme="minorEastAsia" w:hAnsiTheme="minorEastAsia" w:eastAsiaTheme="minorEastAsia"/>
          <w:szCs w:val="24"/>
        </w:rPr>
        <w:t>七、石油、天然气</w:t>
      </w:r>
      <w:r>
        <w:rPr>
          <w:rFonts w:ascii="Times New Roman" w:hAnsi="Times New Roman" w:eastAsiaTheme="minorEastAsia"/>
          <w:szCs w:val="24"/>
        </w:rPr>
        <w:t>2.</w:t>
      </w:r>
      <w:r>
        <w:rPr>
          <w:rFonts w:hint="eastAsia" w:asciiTheme="minorEastAsia" w:hAnsiTheme="minorEastAsia" w:eastAsiaTheme="minorEastAsia"/>
          <w:szCs w:val="24"/>
        </w:rPr>
        <w:t>页岩气、油页岩、油砂、天然气水合物等非常规资源勘探开发</w:t>
      </w:r>
      <w:r>
        <w:rPr>
          <w:rFonts w:asciiTheme="minorEastAsia" w:hAnsiTheme="minorEastAsia" w:eastAsiaTheme="minorEastAsia"/>
          <w:szCs w:val="24"/>
        </w:rPr>
        <w:t>”中的有关规定，本项目为鼓励类项目，符合国家产业政策要求。</w:t>
      </w:r>
    </w:p>
    <w:p>
      <w:pPr>
        <w:spacing w:before="156" w:beforeLines="50" w:after="156" w:afterLines="50"/>
        <w:ind w:firstLine="0" w:firstLineChars="0"/>
        <w:outlineLvl w:val="1"/>
        <w:rPr>
          <w:rFonts w:ascii="Times New Roman" w:hAnsi="Times New Roman"/>
          <w:b/>
          <w:sz w:val="30"/>
          <w:szCs w:val="30"/>
        </w:rPr>
      </w:pPr>
      <w:bookmarkStart w:id="147" w:name="_Toc524624673"/>
      <w:r>
        <w:rPr>
          <w:rFonts w:hint="eastAsia" w:ascii="Times New Roman" w:hAnsi="Times New Roman"/>
          <w:b/>
          <w:sz w:val="30"/>
          <w:szCs w:val="30"/>
        </w:rPr>
        <w:t xml:space="preserve">9.2 </w:t>
      </w:r>
      <w:r>
        <w:rPr>
          <w:rFonts w:ascii="Times New Roman" w:hAnsi="Times New Roman"/>
          <w:b/>
          <w:sz w:val="30"/>
          <w:szCs w:val="30"/>
        </w:rPr>
        <w:t>厂址合理性分析</w:t>
      </w:r>
      <w:bookmarkEnd w:id="147"/>
    </w:p>
    <w:p>
      <w:pPr>
        <w:ind w:firstLine="480"/>
      </w:pPr>
      <w:r>
        <w:t>根据《建设项目环境影响评价分类管理名录》中关于环境敏感因素的界定原则，本项目评价范围内没有依法设立的自然保护区、风景名胜区、森林公园、地质公园、湿地公园、泉域等保护地。距离先导试验区边界最近的水源地为赵家坪乡集中供水水源地，</w:t>
      </w:r>
      <w:r>
        <w:rPr>
          <w:bCs/>
          <w:szCs w:val="24"/>
        </w:rPr>
        <w:t>赵家坪乡集中供水水源</w:t>
      </w:r>
      <w:r>
        <w:t>地二级保护区</w:t>
      </w:r>
      <w:r>
        <w:rPr>
          <w:bCs/>
          <w:szCs w:val="24"/>
        </w:rPr>
        <w:t>距先导试验区边界为784m，</w:t>
      </w:r>
      <w:r>
        <w:t>距开发井井场最近距离为1279m，对乡镇水源地无影响。因此本项目井场和集气站选址合理，不需要调整井场和集气站位置。</w:t>
      </w:r>
    </w:p>
    <w:p>
      <w:pPr>
        <w:spacing w:before="156" w:beforeLines="50" w:after="156" w:afterLines="50"/>
        <w:ind w:firstLine="0" w:firstLineChars="0"/>
        <w:outlineLvl w:val="1"/>
        <w:rPr>
          <w:rFonts w:ascii="Times New Roman" w:hAnsi="Times New Roman"/>
          <w:b/>
          <w:sz w:val="30"/>
          <w:szCs w:val="30"/>
        </w:rPr>
      </w:pPr>
      <w:bookmarkStart w:id="148" w:name="_Toc524624674"/>
      <w:r>
        <w:rPr>
          <w:rFonts w:hint="eastAsia" w:ascii="Times New Roman" w:hAnsi="Times New Roman"/>
          <w:b/>
          <w:sz w:val="30"/>
          <w:szCs w:val="30"/>
        </w:rPr>
        <w:t>9.3 污染物排放达标可行性和环境影响的可接受性分析</w:t>
      </w:r>
      <w:bookmarkEnd w:id="148"/>
    </w:p>
    <w:p>
      <w:pPr>
        <w:ind w:firstLine="480"/>
        <w:rPr>
          <w:szCs w:val="24"/>
        </w:rPr>
      </w:pPr>
      <w:r>
        <w:rPr>
          <w:rFonts w:hint="eastAsia"/>
          <w:szCs w:val="24"/>
        </w:rPr>
        <w:t>本项目燃气锅炉均燃用煤成气，烟气中各污染物的浓度及排放速率均能满足达标排放的要求。生产废水全部处理后自然蒸发，不外排；保证施工质量，对废弃钻井液及时进行无害化处理并做好泥浆池的防渗措施；采用声幅曲线检测技术全程监控固井质量，保证事故能够及时发现、及时控制；钻井时表层套管应下到地下水层以下，固井时水泥套管应上返至地表井口，并保证固井质量，防止套外返水，可有效避免对本区地下水的影响。项目施工期和运行期噪声对周围村屯的影响较小。项目建设过程中将对区内的农业生态系统及自然生态系统造成一定不利影响，但在严格采取有效的生态减缓措施后，对生态环境的影响是可逆的。</w:t>
      </w:r>
    </w:p>
    <w:p>
      <w:pPr>
        <w:ind w:firstLine="480"/>
        <w:rPr>
          <w:szCs w:val="24"/>
        </w:rPr>
      </w:pPr>
      <w:r>
        <w:rPr>
          <w:rFonts w:hint="eastAsia"/>
          <w:szCs w:val="24"/>
        </w:rPr>
        <w:t>由此可见，项目建设在采取有效的污染防治措施和生态减缓措施后，其影响可为环境所接受。</w:t>
      </w:r>
    </w:p>
    <w:p>
      <w:pPr>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br w:type="page"/>
      </w:r>
    </w:p>
    <w:p>
      <w:pPr>
        <w:spacing w:before="156" w:beforeLines="50" w:after="156" w:afterLines="50"/>
        <w:ind w:firstLine="0" w:firstLineChars="0"/>
        <w:outlineLvl w:val="0"/>
        <w:rPr>
          <w:rFonts w:ascii="Times New Roman" w:hAnsi="Times New Roman"/>
          <w:b/>
          <w:sz w:val="32"/>
          <w:szCs w:val="32"/>
        </w:rPr>
      </w:pPr>
      <w:bookmarkStart w:id="149" w:name="_Toc524624675"/>
      <w:r>
        <w:rPr>
          <w:rFonts w:hint="eastAsia" w:ascii="Times New Roman" w:hAnsi="Times New Roman"/>
          <w:b/>
          <w:sz w:val="32"/>
          <w:szCs w:val="32"/>
        </w:rPr>
        <w:t>10 结论与建议</w:t>
      </w:r>
      <w:bookmarkEnd w:id="149"/>
    </w:p>
    <w:p>
      <w:pPr>
        <w:spacing w:before="156" w:beforeLines="50" w:after="156" w:afterLines="50"/>
        <w:ind w:firstLine="0" w:firstLineChars="0"/>
        <w:outlineLvl w:val="1"/>
        <w:rPr>
          <w:rFonts w:ascii="Times New Roman" w:hAnsi="Times New Roman"/>
          <w:b/>
          <w:sz w:val="30"/>
          <w:szCs w:val="30"/>
        </w:rPr>
      </w:pPr>
      <w:bookmarkStart w:id="150" w:name="_Toc237229722"/>
      <w:bookmarkStart w:id="151" w:name="_Toc264578815"/>
      <w:bookmarkStart w:id="152" w:name="_Toc271297844"/>
      <w:bookmarkStart w:id="153" w:name="_Toc273131247"/>
      <w:bookmarkStart w:id="154" w:name="_Toc271744214"/>
      <w:bookmarkStart w:id="155" w:name="_Toc273171773"/>
      <w:bookmarkStart w:id="156" w:name="_Toc275694794"/>
      <w:bookmarkStart w:id="157" w:name="_Toc275695042"/>
      <w:bookmarkStart w:id="158" w:name="_Toc295323258"/>
      <w:bookmarkStart w:id="159" w:name="_Toc271620141"/>
      <w:bookmarkStart w:id="160" w:name="_Toc273131436"/>
      <w:bookmarkStart w:id="161" w:name="_Toc304538014"/>
      <w:bookmarkStart w:id="162" w:name="_Toc303002948"/>
      <w:bookmarkStart w:id="163" w:name="_Toc304736526"/>
      <w:bookmarkStart w:id="164" w:name="_Toc305308537"/>
      <w:bookmarkStart w:id="165" w:name="_Toc305323745"/>
      <w:bookmarkStart w:id="166" w:name="_Toc307561441"/>
      <w:bookmarkStart w:id="167" w:name="_Toc307566560"/>
      <w:bookmarkStart w:id="168" w:name="_Toc347090116"/>
      <w:bookmarkStart w:id="169" w:name="_Toc478472471"/>
      <w:bookmarkStart w:id="170" w:name="_Toc396904039"/>
      <w:bookmarkStart w:id="171" w:name="_Toc524624676"/>
      <w:r>
        <w:rPr>
          <w:rFonts w:hint="eastAsia" w:ascii="Times New Roman" w:hAnsi="Times New Roman"/>
          <w:b/>
          <w:sz w:val="30"/>
          <w:szCs w:val="30"/>
        </w:rPr>
        <w:t xml:space="preserve">10.1 </w:t>
      </w:r>
      <w:r>
        <w:rPr>
          <w:rFonts w:ascii="Times New Roman" w:hAnsi="Times New Roman"/>
          <w:b/>
          <w:sz w:val="30"/>
          <w:szCs w:val="30"/>
        </w:rPr>
        <w:t>项目概况</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pPr>
        <w:snapToGrid w:val="0"/>
        <w:ind w:firstLine="480"/>
        <w:rPr>
          <w:rFonts w:ascii="Times New Roman" w:hAnsi="Times New Roman"/>
          <w:szCs w:val="24"/>
        </w:rPr>
      </w:pPr>
      <w:bookmarkStart w:id="172" w:name="_Toc347090117"/>
      <w:r>
        <w:rPr>
          <w:rFonts w:hint="eastAsia" w:ascii="Times New Roman" w:hAnsi="Times New Roman"/>
          <w:szCs w:val="24"/>
        </w:rPr>
        <w:t>临兴区块先导试验项目扩建工程</w:t>
      </w:r>
      <w:r>
        <w:rPr>
          <w:rFonts w:ascii="Times New Roman" w:hAnsi="Times New Roman"/>
          <w:snapToGrid w:val="0"/>
          <w:kern w:val="0"/>
          <w:szCs w:val="24"/>
        </w:rPr>
        <w:t>位于</w:t>
      </w:r>
      <w:r>
        <w:rPr>
          <w:rFonts w:hint="eastAsia" w:ascii="Times New Roman" w:hAnsi="Times New Roman"/>
          <w:snapToGrid w:val="0"/>
          <w:kern w:val="0"/>
          <w:szCs w:val="24"/>
        </w:rPr>
        <w:t>山西省吕梁市兴县赵家坪乡</w:t>
      </w:r>
      <w:r>
        <w:rPr>
          <w:rFonts w:ascii="Times New Roman" w:hAnsi="Times New Roman"/>
          <w:bCs/>
          <w:snapToGrid w:val="0"/>
          <w:kern w:val="0"/>
          <w:szCs w:val="24"/>
        </w:rPr>
        <w:t>，</w:t>
      </w:r>
      <w:r>
        <w:rPr>
          <w:rFonts w:hint="eastAsia" w:ascii="Times New Roman" w:hAnsi="Times New Roman"/>
          <w:szCs w:val="24"/>
        </w:rPr>
        <w:t>本项目</w:t>
      </w:r>
      <w:r>
        <w:rPr>
          <w:rFonts w:ascii="Times New Roman" w:hAnsi="Times New Roman"/>
          <w:szCs w:val="24"/>
        </w:rPr>
        <w:t>共建井场7座，开发井31口，其中6座井场和25口开发井为原有，1座井场和6口开发井为新建，年产</w:t>
      </w:r>
      <w:r>
        <w:rPr>
          <w:rFonts w:hint="eastAsia" w:ascii="Times New Roman" w:hAnsi="Times New Roman"/>
          <w:szCs w:val="24"/>
        </w:rPr>
        <w:t>煤成气</w:t>
      </w:r>
      <w:r>
        <w:rPr>
          <w:rFonts w:ascii="Times New Roman" w:hAnsi="Times New Roman"/>
          <w:szCs w:val="24"/>
        </w:rPr>
        <w:t>气能力1.6亿m</w:t>
      </w:r>
      <w:r>
        <w:rPr>
          <w:rFonts w:ascii="Times New Roman" w:hAnsi="Times New Roman"/>
          <w:szCs w:val="24"/>
          <w:vertAlign w:val="superscript"/>
        </w:rPr>
        <w:t>3</w:t>
      </w:r>
      <w:r>
        <w:rPr>
          <w:rFonts w:ascii="Times New Roman" w:hAnsi="Times New Roman"/>
          <w:szCs w:val="24"/>
        </w:rPr>
        <w:t>。新建集气站1座，设计年处理规模为3亿m</w:t>
      </w:r>
      <w:r>
        <w:rPr>
          <w:rFonts w:ascii="Times New Roman" w:hAnsi="Times New Roman"/>
          <w:szCs w:val="24"/>
          <w:vertAlign w:val="superscript"/>
        </w:rPr>
        <w:t>3</w:t>
      </w:r>
      <w:r>
        <w:rPr>
          <w:rFonts w:ascii="Times New Roman" w:hAnsi="Times New Roman"/>
          <w:szCs w:val="24"/>
        </w:rPr>
        <w:t>。新建采气管线总长度约</w:t>
      </w:r>
      <w:r>
        <w:rPr>
          <w:rFonts w:hint="eastAsia" w:ascii="Times New Roman" w:hAnsi="Times New Roman"/>
          <w:szCs w:val="24"/>
        </w:rPr>
        <w:t>1.8</w:t>
      </w:r>
      <w:r>
        <w:rPr>
          <w:rFonts w:ascii="Times New Roman" w:hAnsi="Times New Roman"/>
          <w:szCs w:val="24"/>
        </w:rPr>
        <w:t>km，集输干线总长度约</w:t>
      </w:r>
      <w:r>
        <w:rPr>
          <w:rFonts w:hint="eastAsia" w:ascii="Times New Roman" w:hAnsi="Times New Roman"/>
          <w:szCs w:val="24"/>
        </w:rPr>
        <w:t>0.2</w:t>
      </w:r>
      <w:r>
        <w:rPr>
          <w:rFonts w:ascii="Times New Roman" w:hAnsi="Times New Roman"/>
          <w:szCs w:val="24"/>
        </w:rPr>
        <w:t>km。总投资</w:t>
      </w:r>
      <w:r>
        <w:rPr>
          <w:rFonts w:hint="eastAsia" w:ascii="Times New Roman" w:hAnsi="Times New Roman"/>
          <w:szCs w:val="24"/>
        </w:rPr>
        <w:t>2988</w:t>
      </w:r>
      <w:r>
        <w:rPr>
          <w:rFonts w:ascii="Times New Roman" w:hAnsi="Times New Roman"/>
          <w:szCs w:val="24"/>
        </w:rPr>
        <w:t>万元。</w:t>
      </w:r>
    </w:p>
    <w:p>
      <w:pPr>
        <w:spacing w:before="156" w:beforeLines="50" w:after="156" w:afterLines="50"/>
        <w:ind w:firstLine="0" w:firstLineChars="0"/>
        <w:outlineLvl w:val="1"/>
        <w:rPr>
          <w:rFonts w:ascii="Times New Roman" w:hAnsi="Times New Roman"/>
          <w:b/>
          <w:sz w:val="30"/>
          <w:szCs w:val="30"/>
        </w:rPr>
      </w:pPr>
      <w:bookmarkStart w:id="173" w:name="_Toc396904040"/>
      <w:bookmarkStart w:id="174" w:name="_Toc478472472"/>
      <w:bookmarkStart w:id="175" w:name="_Toc524624677"/>
      <w:r>
        <w:rPr>
          <w:rFonts w:hint="eastAsia" w:ascii="Times New Roman" w:hAnsi="Times New Roman"/>
          <w:b/>
          <w:sz w:val="30"/>
          <w:szCs w:val="30"/>
        </w:rPr>
        <w:t xml:space="preserve">10.2 </w:t>
      </w:r>
      <w:r>
        <w:rPr>
          <w:rFonts w:ascii="Times New Roman" w:hAnsi="Times New Roman"/>
          <w:b/>
          <w:sz w:val="30"/>
          <w:szCs w:val="30"/>
        </w:rPr>
        <w:t>区域环境质量现状</w:t>
      </w:r>
      <w:bookmarkEnd w:id="172"/>
      <w:bookmarkEnd w:id="173"/>
      <w:bookmarkEnd w:id="174"/>
      <w:bookmarkEnd w:id="175"/>
    </w:p>
    <w:p>
      <w:pPr>
        <w:ind w:firstLine="482"/>
        <w:rPr>
          <w:rFonts w:ascii="Times New Roman" w:hAnsi="Times New Roman"/>
        </w:rPr>
      </w:pPr>
      <w:bookmarkStart w:id="176" w:name="_Toc237229724"/>
      <w:bookmarkStart w:id="177" w:name="_Toc264578817"/>
      <w:bookmarkStart w:id="178" w:name="_Toc273171775"/>
      <w:bookmarkStart w:id="179" w:name="_Toc275694796"/>
      <w:bookmarkStart w:id="180" w:name="_Toc273131249"/>
      <w:bookmarkStart w:id="181" w:name="_Toc275695044"/>
      <w:bookmarkStart w:id="182" w:name="_Toc271620143"/>
      <w:bookmarkStart w:id="183" w:name="_Toc271297846"/>
      <w:bookmarkStart w:id="184" w:name="_Toc273131438"/>
      <w:bookmarkStart w:id="185" w:name="_Toc271744216"/>
      <w:r>
        <w:rPr>
          <w:rFonts w:hint="eastAsia" w:ascii="宋体" w:hAnsi="宋体" w:cs="宋体"/>
          <w:b/>
        </w:rPr>
        <w:t>（1）</w:t>
      </w:r>
      <w:r>
        <w:rPr>
          <w:rFonts w:ascii="Times New Roman" w:hAnsi="Times New Roman"/>
          <w:b/>
        </w:rPr>
        <w:t>大气环境质量现状</w:t>
      </w:r>
    </w:p>
    <w:p>
      <w:pPr>
        <w:ind w:firstLine="480"/>
        <w:rPr>
          <w:rFonts w:ascii="Times New Roman" w:hAnsi="Times New Roman"/>
          <w:szCs w:val="28"/>
        </w:rPr>
      </w:pPr>
      <w:r>
        <w:rPr>
          <w:rFonts w:hint="eastAsia" w:ascii="宋体" w:hAnsi="宋体" w:cs="宋体"/>
          <w:szCs w:val="28"/>
        </w:rPr>
        <w:t>①</w:t>
      </w:r>
      <w:r>
        <w:rPr>
          <w:rFonts w:ascii="Times New Roman" w:hAnsi="Times New Roman"/>
          <w:szCs w:val="28"/>
        </w:rPr>
        <w:t>二氧化硫（SO</w:t>
      </w:r>
      <w:r>
        <w:rPr>
          <w:rFonts w:ascii="Times New Roman" w:hAnsi="Times New Roman"/>
          <w:szCs w:val="28"/>
          <w:vertAlign w:val="subscript"/>
        </w:rPr>
        <w:t>2</w:t>
      </w:r>
      <w:r>
        <w:rPr>
          <w:rFonts w:ascii="Times New Roman" w:hAnsi="Times New Roman"/>
          <w:szCs w:val="28"/>
        </w:rPr>
        <w:t>）</w:t>
      </w:r>
    </w:p>
    <w:p>
      <w:pPr>
        <w:ind w:firstLine="480"/>
        <w:rPr>
          <w:rFonts w:ascii="Times New Roman" w:hAnsi="Times New Roman"/>
          <w:szCs w:val="28"/>
        </w:rPr>
      </w:pPr>
      <w:r>
        <w:rPr>
          <w:rFonts w:ascii="Times New Roman" w:hAnsi="Times New Roman"/>
          <w:szCs w:val="28"/>
        </w:rPr>
        <w:t>监测期各监测点SO</w:t>
      </w:r>
      <w:r>
        <w:rPr>
          <w:rFonts w:ascii="Times New Roman" w:hAnsi="Times New Roman"/>
          <w:szCs w:val="28"/>
          <w:vertAlign w:val="subscript"/>
        </w:rPr>
        <w:t>2</w:t>
      </w:r>
      <w:r>
        <w:rPr>
          <w:rFonts w:ascii="Times New Roman" w:hAnsi="Times New Roman"/>
          <w:szCs w:val="28"/>
        </w:rPr>
        <w:t>小时浓度范围为0.011~0.033</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，最大单因子指数为0.066；日均值浓度范围为0.021~0.028</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，最大单因子指数为0.056，各监测点都未出现超标现象，说明该地区不存在SO</w:t>
      </w:r>
      <w:r>
        <w:rPr>
          <w:rFonts w:ascii="Times New Roman" w:hAnsi="Times New Roman"/>
          <w:szCs w:val="28"/>
          <w:vertAlign w:val="subscript"/>
        </w:rPr>
        <w:t>2</w:t>
      </w:r>
      <w:r>
        <w:rPr>
          <w:rFonts w:ascii="Times New Roman" w:hAnsi="Times New Roman"/>
          <w:szCs w:val="28"/>
        </w:rPr>
        <w:t>污染，尚有一定的容量。</w:t>
      </w:r>
    </w:p>
    <w:p>
      <w:pPr>
        <w:ind w:firstLine="480"/>
        <w:rPr>
          <w:rFonts w:ascii="Times New Roman" w:hAnsi="Times New Roman"/>
          <w:szCs w:val="28"/>
        </w:rPr>
      </w:pPr>
      <w:r>
        <w:rPr>
          <w:rFonts w:hint="eastAsia" w:ascii="宋体" w:hAnsi="宋体" w:cs="宋体"/>
          <w:szCs w:val="28"/>
        </w:rPr>
        <w:t>②</w:t>
      </w:r>
      <w:r>
        <w:rPr>
          <w:rFonts w:ascii="Times New Roman" w:hAnsi="Times New Roman"/>
          <w:szCs w:val="28"/>
        </w:rPr>
        <w:t>二氧化氮（NO</w:t>
      </w:r>
      <w:r>
        <w:rPr>
          <w:rFonts w:ascii="Times New Roman" w:hAnsi="Times New Roman"/>
          <w:szCs w:val="28"/>
          <w:vertAlign w:val="subscript"/>
        </w:rPr>
        <w:t>2</w:t>
      </w:r>
      <w:r>
        <w:rPr>
          <w:rFonts w:ascii="Times New Roman" w:hAnsi="Times New Roman"/>
          <w:szCs w:val="28"/>
        </w:rPr>
        <w:t>）</w:t>
      </w:r>
    </w:p>
    <w:p>
      <w:pPr>
        <w:ind w:firstLine="480"/>
        <w:rPr>
          <w:rFonts w:ascii="Times New Roman" w:hAnsi="Times New Roman"/>
          <w:szCs w:val="28"/>
        </w:rPr>
      </w:pPr>
      <w:r>
        <w:rPr>
          <w:rFonts w:ascii="Times New Roman" w:hAnsi="Times New Roman"/>
          <w:szCs w:val="28"/>
        </w:rPr>
        <w:t>监测期间监测点NO</w:t>
      </w:r>
      <w:r>
        <w:rPr>
          <w:rFonts w:ascii="Times New Roman" w:hAnsi="Times New Roman"/>
          <w:szCs w:val="28"/>
          <w:vertAlign w:val="subscript"/>
        </w:rPr>
        <w:t>2</w:t>
      </w:r>
      <w:r>
        <w:rPr>
          <w:rFonts w:ascii="Times New Roman" w:hAnsi="Times New Roman"/>
          <w:szCs w:val="28"/>
        </w:rPr>
        <w:t>小时浓度范围为0.014~0.037</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 最大单因子指数为0.19；日均值浓度范围为0.027~0.031</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，最大单因子指数为0.39，各点位都未出现超标现象，说明该地区不存在NO</w:t>
      </w:r>
      <w:r>
        <w:rPr>
          <w:rFonts w:ascii="Times New Roman" w:hAnsi="Times New Roman"/>
          <w:szCs w:val="28"/>
          <w:vertAlign w:val="subscript"/>
        </w:rPr>
        <w:t>2</w:t>
      </w:r>
      <w:r>
        <w:rPr>
          <w:rFonts w:ascii="Times New Roman" w:hAnsi="Times New Roman"/>
          <w:szCs w:val="28"/>
        </w:rPr>
        <w:t>污染，尚有一定的容量。</w:t>
      </w:r>
    </w:p>
    <w:p>
      <w:pPr>
        <w:ind w:firstLine="480"/>
        <w:rPr>
          <w:rFonts w:ascii="Times New Roman" w:hAnsi="Times New Roman"/>
          <w:szCs w:val="28"/>
        </w:rPr>
      </w:pPr>
      <w:r>
        <w:rPr>
          <w:rFonts w:hint="eastAsia" w:ascii="宋体" w:hAnsi="宋体" w:cs="宋体"/>
          <w:szCs w:val="28"/>
        </w:rPr>
        <w:t>③</w:t>
      </w:r>
      <w:r>
        <w:rPr>
          <w:rFonts w:ascii="Times New Roman" w:hAnsi="Times New Roman"/>
          <w:szCs w:val="28"/>
        </w:rPr>
        <w:t>总悬浮颗粒物（TSP）</w:t>
      </w:r>
    </w:p>
    <w:p>
      <w:pPr>
        <w:ind w:firstLine="480"/>
        <w:rPr>
          <w:rFonts w:ascii="Times New Roman" w:hAnsi="Times New Roman"/>
          <w:szCs w:val="28"/>
        </w:rPr>
      </w:pPr>
      <w:r>
        <w:rPr>
          <w:rFonts w:ascii="Times New Roman" w:hAnsi="Times New Roman"/>
          <w:szCs w:val="28"/>
        </w:rPr>
        <w:t>监测期各监测点日均值浓度范围为</w:t>
      </w:r>
      <w:r>
        <w:rPr>
          <w:rFonts w:hint="eastAsia" w:ascii="Times New Roman" w:hAnsi="Times New Roman"/>
          <w:szCs w:val="28"/>
        </w:rPr>
        <w:t>0.0</w:t>
      </w:r>
      <w:r>
        <w:rPr>
          <w:rFonts w:ascii="Times New Roman" w:hAnsi="Times New Roman"/>
          <w:szCs w:val="28"/>
        </w:rPr>
        <w:t>82～</w:t>
      </w:r>
      <w:r>
        <w:rPr>
          <w:rFonts w:hint="eastAsia" w:ascii="Times New Roman" w:hAnsi="Times New Roman"/>
          <w:szCs w:val="28"/>
        </w:rPr>
        <w:t>0.</w:t>
      </w:r>
      <w:r>
        <w:rPr>
          <w:rFonts w:ascii="Times New Roman" w:hAnsi="Times New Roman"/>
          <w:szCs w:val="28"/>
        </w:rPr>
        <w:t>129</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w:t>
      </w:r>
      <w:r>
        <w:rPr>
          <w:rFonts w:hint="eastAsia" w:ascii="Times New Roman" w:hAnsi="Times New Roman"/>
          <w:szCs w:val="28"/>
        </w:rPr>
        <w:t>0.</w:t>
      </w:r>
      <w:r>
        <w:rPr>
          <w:rFonts w:ascii="Times New Roman" w:hAnsi="Times New Roman"/>
          <w:szCs w:val="28"/>
        </w:rPr>
        <w:t>43，各点位都未出现超标现象，说明该地区不存在</w:t>
      </w:r>
      <w:r>
        <w:rPr>
          <w:rFonts w:hint="eastAsia" w:ascii="Times New Roman" w:hAnsi="Times New Roman"/>
          <w:szCs w:val="28"/>
        </w:rPr>
        <w:t>TSP</w:t>
      </w:r>
      <w:r>
        <w:rPr>
          <w:rFonts w:ascii="Times New Roman" w:hAnsi="Times New Roman"/>
          <w:szCs w:val="28"/>
        </w:rPr>
        <w:t>污染，尚有一定的容量。</w:t>
      </w:r>
    </w:p>
    <w:p>
      <w:pPr>
        <w:ind w:firstLine="480"/>
        <w:rPr>
          <w:rFonts w:ascii="Times New Roman" w:hAnsi="Times New Roman"/>
          <w:szCs w:val="28"/>
        </w:rPr>
      </w:pPr>
      <w:r>
        <w:rPr>
          <w:rFonts w:hint="eastAsia" w:ascii="宋体" w:hAnsi="宋体" w:cs="宋体"/>
          <w:szCs w:val="28"/>
        </w:rPr>
        <w:t>④</w:t>
      </w:r>
      <w:r>
        <w:rPr>
          <w:rFonts w:ascii="Times New Roman" w:hAnsi="Times New Roman"/>
          <w:szCs w:val="28"/>
        </w:rPr>
        <w:t>可吸入颗粒物（PM</w:t>
      </w:r>
      <w:r>
        <w:rPr>
          <w:rFonts w:ascii="Times New Roman" w:hAnsi="Times New Roman"/>
          <w:szCs w:val="28"/>
          <w:vertAlign w:val="subscript"/>
        </w:rPr>
        <w:t>10</w:t>
      </w:r>
      <w:r>
        <w:rPr>
          <w:rFonts w:ascii="Times New Roman" w:hAnsi="Times New Roman"/>
          <w:szCs w:val="28"/>
        </w:rPr>
        <w:t>）</w:t>
      </w:r>
    </w:p>
    <w:p>
      <w:pPr>
        <w:ind w:firstLine="480"/>
        <w:rPr>
          <w:rFonts w:ascii="Times New Roman" w:hAnsi="Times New Roman"/>
          <w:szCs w:val="28"/>
        </w:rPr>
      </w:pPr>
      <w:r>
        <w:rPr>
          <w:rFonts w:ascii="Times New Roman" w:hAnsi="Times New Roman"/>
          <w:szCs w:val="28"/>
        </w:rPr>
        <w:t>监测期各监测点日均值浓度范围为</w:t>
      </w:r>
      <w:r>
        <w:rPr>
          <w:rFonts w:hint="eastAsia" w:ascii="Times New Roman" w:hAnsi="Times New Roman"/>
          <w:szCs w:val="28"/>
        </w:rPr>
        <w:t>0.</w:t>
      </w:r>
      <w:r>
        <w:rPr>
          <w:rFonts w:ascii="Times New Roman" w:hAnsi="Times New Roman"/>
          <w:szCs w:val="28"/>
        </w:rPr>
        <w:t>053～</w:t>
      </w:r>
      <w:r>
        <w:rPr>
          <w:rFonts w:hint="eastAsia" w:ascii="Times New Roman" w:hAnsi="Times New Roman"/>
          <w:szCs w:val="28"/>
        </w:rPr>
        <w:t>0.086m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，最大单因子指数为0.57，各点位都未出现超标现象，说明该地区不存在PM</w:t>
      </w:r>
      <w:r>
        <w:rPr>
          <w:rFonts w:ascii="Times New Roman" w:hAnsi="Times New Roman"/>
          <w:szCs w:val="28"/>
          <w:vertAlign w:val="subscript"/>
        </w:rPr>
        <w:t>10</w:t>
      </w:r>
      <w:r>
        <w:rPr>
          <w:rFonts w:ascii="Times New Roman" w:hAnsi="Times New Roman"/>
          <w:szCs w:val="28"/>
        </w:rPr>
        <w:t>污染，尚有一定的容量。</w:t>
      </w:r>
    </w:p>
    <w:p>
      <w:pPr>
        <w:ind w:firstLine="480"/>
        <w:rPr>
          <w:rFonts w:ascii="Times New Roman" w:hAnsi="Times New Roman"/>
          <w:szCs w:val="28"/>
        </w:rPr>
      </w:pPr>
      <w:r>
        <w:rPr>
          <w:rFonts w:hint="eastAsia" w:ascii="宋体" w:hAnsi="宋体" w:cs="宋体"/>
          <w:szCs w:val="28"/>
        </w:rPr>
        <w:t>⑤</w:t>
      </w:r>
      <w:r>
        <w:rPr>
          <w:rFonts w:ascii="Times New Roman" w:hAnsi="Times New Roman"/>
          <w:szCs w:val="28"/>
        </w:rPr>
        <w:t>非甲烷总烃</w:t>
      </w:r>
    </w:p>
    <w:p>
      <w:pPr>
        <w:ind w:firstLine="480"/>
        <w:rPr>
          <w:rFonts w:ascii="Times New Roman" w:hAnsi="Times New Roman"/>
          <w:szCs w:val="28"/>
        </w:rPr>
      </w:pPr>
      <w:r>
        <w:rPr>
          <w:rFonts w:ascii="Times New Roman" w:hAnsi="Times New Roman"/>
          <w:szCs w:val="28"/>
        </w:rPr>
        <w:t>监测期各监测点日均值浓度范围为</w:t>
      </w:r>
      <w:r>
        <w:rPr>
          <w:rFonts w:hint="eastAsia" w:ascii="Times New Roman" w:hAnsi="Times New Roman"/>
          <w:szCs w:val="28"/>
        </w:rPr>
        <w:t>0.</w:t>
      </w:r>
      <w:r>
        <w:rPr>
          <w:rFonts w:ascii="Times New Roman" w:hAnsi="Times New Roman"/>
          <w:szCs w:val="28"/>
        </w:rPr>
        <w:t>20～</w:t>
      </w:r>
      <w:r>
        <w:rPr>
          <w:rFonts w:hint="eastAsia" w:ascii="Times New Roman" w:hAnsi="Times New Roman"/>
          <w:szCs w:val="28"/>
        </w:rPr>
        <w:t>0.3</w:t>
      </w:r>
      <w:r>
        <w:rPr>
          <w:rFonts w:ascii="Times New Roman" w:hAnsi="Times New Roman"/>
          <w:szCs w:val="28"/>
        </w:rPr>
        <w:t>6</w:t>
      </w:r>
      <w:r>
        <w:rPr>
          <w:rFonts w:hint="eastAsia" w:ascii="Times New Roman" w:hAnsi="Times New Roman"/>
          <w:szCs w:val="28"/>
        </w:rPr>
        <w:t>m</w:t>
      </w:r>
      <w:r>
        <w:rPr>
          <w:rFonts w:ascii="Times New Roman" w:hAnsi="Times New Roman"/>
          <w:szCs w:val="28"/>
        </w:rPr>
        <w:t>g/m</w:t>
      </w:r>
      <w:r>
        <w:rPr>
          <w:rFonts w:ascii="Times New Roman" w:hAnsi="Times New Roman"/>
          <w:szCs w:val="28"/>
          <w:vertAlign w:val="superscript"/>
        </w:rPr>
        <w:t>3</w:t>
      </w:r>
      <w:r>
        <w:rPr>
          <w:rFonts w:ascii="Times New Roman" w:hAnsi="Times New Roman"/>
          <w:szCs w:val="28"/>
        </w:rPr>
        <w:t>，最大单因子指数为</w:t>
      </w:r>
      <w:r>
        <w:rPr>
          <w:rFonts w:hint="eastAsia" w:ascii="Times New Roman" w:hAnsi="Times New Roman"/>
          <w:szCs w:val="28"/>
        </w:rPr>
        <w:t>0.1</w:t>
      </w:r>
      <w:r>
        <w:rPr>
          <w:rFonts w:ascii="Times New Roman" w:hAnsi="Times New Roman"/>
          <w:szCs w:val="28"/>
        </w:rPr>
        <w:t>8，各点位都未出现超标现象，说明该地区不存在</w:t>
      </w:r>
      <w:r>
        <w:rPr>
          <w:rFonts w:hint="eastAsia" w:ascii="Times New Roman" w:hAnsi="Times New Roman"/>
          <w:szCs w:val="28"/>
        </w:rPr>
        <w:t>非甲烷总烃</w:t>
      </w:r>
      <w:r>
        <w:rPr>
          <w:rFonts w:ascii="Times New Roman" w:hAnsi="Times New Roman"/>
          <w:szCs w:val="28"/>
        </w:rPr>
        <w:t>污染，尚有一定的容量。</w:t>
      </w:r>
    </w:p>
    <w:p>
      <w:pPr>
        <w:ind w:firstLine="482"/>
        <w:rPr>
          <w:rFonts w:ascii="宋体" w:hAnsi="宋体" w:cs="宋体"/>
          <w:b/>
        </w:rPr>
      </w:pPr>
      <w:bookmarkStart w:id="186" w:name="_Toc368090773"/>
      <w:r>
        <w:rPr>
          <w:rFonts w:hint="eastAsia" w:ascii="宋体" w:hAnsi="宋体" w:cs="宋体"/>
          <w:b/>
        </w:rPr>
        <w:t>（2）地表水环境质量现状</w:t>
      </w:r>
    </w:p>
    <w:p>
      <w:pPr>
        <w:ind w:firstLine="480"/>
        <w:rPr>
          <w:rFonts w:ascii="宋体" w:hAnsi="宋体" w:cs="宋体"/>
          <w:szCs w:val="28"/>
        </w:rPr>
      </w:pPr>
      <w:r>
        <w:rPr>
          <w:rFonts w:hint="eastAsia" w:ascii="宋体" w:hAnsi="宋体" w:cs="宋体"/>
          <w:szCs w:val="28"/>
        </w:rPr>
        <w:t>赵家坪沟和曲峪沟水质监测项目中均未出现超标，能满足《地表水环境质量标准》（GB3838-2002）Ⅳ类标准，水质达标。</w:t>
      </w:r>
    </w:p>
    <w:bookmarkEnd w:id="186"/>
    <w:p>
      <w:pPr>
        <w:ind w:firstLine="482"/>
        <w:rPr>
          <w:rFonts w:ascii="宋体" w:hAnsi="宋体" w:cs="宋体"/>
          <w:b/>
        </w:rPr>
      </w:pPr>
      <w:r>
        <w:rPr>
          <w:rFonts w:hint="eastAsia" w:ascii="宋体" w:hAnsi="宋体" w:cs="宋体"/>
          <w:b/>
        </w:rPr>
        <w:t>（3）</w:t>
      </w:r>
      <w:r>
        <w:rPr>
          <w:rFonts w:ascii="宋体" w:hAnsi="宋体" w:cs="宋体"/>
          <w:b/>
        </w:rPr>
        <w:t>地下水环境</w:t>
      </w:r>
    </w:p>
    <w:p>
      <w:pPr>
        <w:ind w:firstLine="480"/>
        <w:rPr>
          <w:rFonts w:ascii="Times New Roman" w:hAnsi="Times New Roman"/>
          <w:szCs w:val="24"/>
        </w:rPr>
      </w:pPr>
      <w:r>
        <w:rPr>
          <w:rFonts w:hint="eastAsia" w:ascii="Times New Roman" w:hAnsi="Times New Roman"/>
          <w:szCs w:val="24"/>
        </w:rPr>
        <w:t>佐子坪村1#水井位于佐子坪村下游，井深520m。该井在丰水期的高锰酸盐指数超标（超标2倍），而亚硝酸盐指标正常；再根据2016年8月对该井水样的检测，其中COD指标正常，说明该地区最近有有机污染物污染地下水。这可能由于上游佐子坪村居民生活垃圾等有机废物污染所致。</w:t>
      </w:r>
    </w:p>
    <w:p>
      <w:pPr>
        <w:ind w:firstLine="480"/>
        <w:rPr>
          <w:rFonts w:ascii="Times New Roman" w:hAnsi="Times New Roman"/>
          <w:szCs w:val="24"/>
        </w:rPr>
      </w:pPr>
      <w:r>
        <w:rPr>
          <w:rFonts w:hint="eastAsia" w:ascii="Times New Roman" w:hAnsi="Times New Roman"/>
          <w:szCs w:val="24"/>
        </w:rPr>
        <w:t>佐子坪村1#水井氟化物超标（超标3.7倍），这是在整个研究区氟化物本底值浓度普遍较高这个大的背景条件下出现的。据2016年8月对该井水样的检测报告，氟化物超标倍数为4.02倍，从而可以说明该地氟化物超标并非最近时期污染也并非人为因素起主导作用。因此，可以判断1#水井氟化物超标主要是由于砂岩裂隙水中氟化物浓度高而引起的。</w:t>
      </w:r>
    </w:p>
    <w:p>
      <w:pPr>
        <w:ind w:firstLine="480"/>
        <w:rPr>
          <w:rFonts w:ascii="Times New Roman" w:hAnsi="Times New Roman"/>
          <w:szCs w:val="24"/>
        </w:rPr>
      </w:pPr>
      <w:r>
        <w:rPr>
          <w:rFonts w:hint="eastAsia" w:ascii="Times New Roman" w:hAnsi="Times New Roman"/>
          <w:szCs w:val="24"/>
        </w:rPr>
        <w:t>佐子坪村1#水井硫酸盐超标（超标1.41倍）、溶解性总固体超标（超标1.22倍）。硫酸盐超标将会导致溶解性总固体超标，二者存在关联性。据2016年8月对该井水样的检测报告，硫酸盐超标1.9倍。硫酸盐超标也是由于砂岩裂隙水中硫酸盐浓度高而引起的。</w:t>
      </w:r>
    </w:p>
    <w:p>
      <w:pPr>
        <w:ind w:firstLine="480"/>
        <w:rPr>
          <w:rFonts w:ascii="Times New Roman" w:hAnsi="Times New Roman"/>
          <w:szCs w:val="24"/>
        </w:rPr>
      </w:pPr>
      <w:r>
        <w:rPr>
          <w:rFonts w:hint="eastAsia" w:ascii="Times New Roman" w:hAnsi="Times New Roman"/>
          <w:szCs w:val="24"/>
        </w:rPr>
        <w:t>后赵家坪村3#水井高锰酸盐指数超标（超标2.19倍），亚硝酸盐指标也临近超标，说明该地区一段时间内存在有机污染。据现场调查，该水井为大口径潜水井，井口无覆盖物又紧邻后赵家坪村，因此在地理位置及井结构上极易受附近居民生产生活影响，加之该水井不远处的沟谷中存在垃圾乱弃乱丢现象，更加重了该水井地下水污染的风险。</w:t>
      </w:r>
      <w:r>
        <w:rPr>
          <w:rFonts w:ascii="Times New Roman"/>
        </w:rPr>
        <w:t>。</w:t>
      </w:r>
    </w:p>
    <w:p>
      <w:pPr>
        <w:ind w:firstLine="482"/>
        <w:rPr>
          <w:rFonts w:ascii="宋体" w:hAnsi="宋体" w:cs="宋体"/>
          <w:b/>
        </w:rPr>
      </w:pPr>
      <w:r>
        <w:rPr>
          <w:rFonts w:hint="eastAsia" w:ascii="宋体" w:hAnsi="宋体" w:cs="宋体"/>
          <w:b/>
        </w:rPr>
        <w:t>（4）</w:t>
      </w:r>
      <w:r>
        <w:rPr>
          <w:rFonts w:ascii="宋体" w:hAnsi="宋体" w:cs="宋体"/>
          <w:b/>
        </w:rPr>
        <w:t>声环境质量现状</w:t>
      </w:r>
    </w:p>
    <w:p>
      <w:pPr>
        <w:ind w:firstLine="480"/>
        <w:rPr>
          <w:rFonts w:ascii="Times New Roman" w:hAnsi="Times New Roman"/>
        </w:rPr>
      </w:pPr>
      <w:r>
        <w:rPr>
          <w:rFonts w:hint="eastAsia" w:ascii="Times" w:hAnsi="Times"/>
          <w:szCs w:val="24"/>
        </w:rPr>
        <w:t>小湾则村和张家庄</w:t>
      </w:r>
      <w:r>
        <w:rPr>
          <w:rFonts w:ascii="Times New Roman" w:hAnsi="Times New Roman"/>
          <w:szCs w:val="24"/>
        </w:rPr>
        <w:t>昼间噪声等效声级在</w:t>
      </w:r>
      <w:r>
        <w:rPr>
          <w:rFonts w:hint="eastAsia" w:ascii="Times New Roman" w:hAnsi="Times New Roman"/>
          <w:szCs w:val="24"/>
        </w:rPr>
        <w:t>45.8</w:t>
      </w:r>
      <w:r>
        <w:rPr>
          <w:rFonts w:ascii="Times New Roman" w:hAnsi="Times New Roman"/>
          <w:szCs w:val="24"/>
        </w:rPr>
        <w:t>-</w:t>
      </w:r>
      <w:r>
        <w:rPr>
          <w:rFonts w:hint="eastAsia" w:ascii="Times New Roman" w:hAnsi="Times New Roman"/>
          <w:szCs w:val="24"/>
        </w:rPr>
        <w:t>49.1</w:t>
      </w:r>
      <w:r>
        <w:rPr>
          <w:rFonts w:ascii="Times New Roman" w:hAnsi="Times New Roman"/>
          <w:szCs w:val="24"/>
        </w:rPr>
        <w:t>dB(A)之间，夜间分别在</w:t>
      </w:r>
      <w:r>
        <w:rPr>
          <w:rFonts w:hint="eastAsia" w:ascii="Times New Roman" w:hAnsi="Times New Roman"/>
          <w:szCs w:val="24"/>
        </w:rPr>
        <w:t>41.9</w:t>
      </w:r>
      <w:r>
        <w:rPr>
          <w:rFonts w:ascii="Times New Roman" w:hAnsi="Times New Roman"/>
          <w:szCs w:val="24"/>
        </w:rPr>
        <w:t>-</w:t>
      </w:r>
      <w:r>
        <w:rPr>
          <w:rFonts w:hint="eastAsia" w:ascii="Times New Roman" w:hAnsi="Times New Roman"/>
          <w:szCs w:val="24"/>
        </w:rPr>
        <w:t>43.6</w:t>
      </w:r>
      <w:r>
        <w:rPr>
          <w:rFonts w:ascii="Times New Roman" w:hAnsi="Times New Roman"/>
          <w:szCs w:val="24"/>
        </w:rPr>
        <w:t>dB(A)之间，噪声监测结果昼间值均符合《声环境质量标准》（GB3096-2008）2类标准值。</w:t>
      </w:r>
    </w:p>
    <w:bookmarkEnd w:id="176"/>
    <w:bookmarkEnd w:id="177"/>
    <w:bookmarkEnd w:id="178"/>
    <w:bookmarkEnd w:id="179"/>
    <w:bookmarkEnd w:id="180"/>
    <w:bookmarkEnd w:id="181"/>
    <w:bookmarkEnd w:id="182"/>
    <w:bookmarkEnd w:id="183"/>
    <w:bookmarkEnd w:id="184"/>
    <w:bookmarkEnd w:id="185"/>
    <w:p>
      <w:pPr>
        <w:spacing w:before="156" w:beforeLines="50" w:after="156" w:afterLines="50"/>
        <w:ind w:firstLine="0" w:firstLineChars="0"/>
        <w:outlineLvl w:val="1"/>
        <w:rPr>
          <w:rFonts w:ascii="Times New Roman" w:hAnsi="Times New Roman"/>
          <w:b/>
          <w:sz w:val="30"/>
          <w:szCs w:val="30"/>
        </w:rPr>
      </w:pPr>
      <w:bookmarkStart w:id="187" w:name="_Toc237229725"/>
      <w:bookmarkStart w:id="188" w:name="_Toc264578818"/>
      <w:bookmarkStart w:id="189" w:name="_Toc271297847"/>
      <w:bookmarkStart w:id="190" w:name="_Toc271744217"/>
      <w:bookmarkStart w:id="191" w:name="_Toc271620144"/>
      <w:bookmarkStart w:id="192" w:name="_Toc273131250"/>
      <w:bookmarkStart w:id="193" w:name="_Toc273131439"/>
      <w:bookmarkStart w:id="194" w:name="_Toc273171776"/>
      <w:bookmarkStart w:id="195" w:name="_Toc275694797"/>
      <w:bookmarkStart w:id="196" w:name="_Toc275695045"/>
      <w:bookmarkStart w:id="197" w:name="_Toc303002951"/>
      <w:bookmarkStart w:id="198" w:name="_Toc295323261"/>
      <w:bookmarkStart w:id="199" w:name="_Toc304736529"/>
      <w:bookmarkStart w:id="200" w:name="_Toc304538017"/>
      <w:bookmarkStart w:id="201" w:name="_Toc305308540"/>
      <w:bookmarkStart w:id="202" w:name="_Toc305323748"/>
      <w:bookmarkStart w:id="203" w:name="_Toc307566563"/>
      <w:bookmarkStart w:id="204" w:name="_Toc307561444"/>
      <w:bookmarkStart w:id="205" w:name="_Toc347090121"/>
      <w:bookmarkStart w:id="206" w:name="_Toc396904041"/>
      <w:bookmarkStart w:id="207" w:name="_Toc478472473"/>
      <w:bookmarkStart w:id="208" w:name="_Toc524624678"/>
      <w:r>
        <w:rPr>
          <w:rFonts w:hint="eastAsia" w:ascii="Times New Roman" w:hAnsi="Times New Roman"/>
          <w:b/>
          <w:sz w:val="30"/>
          <w:szCs w:val="30"/>
        </w:rPr>
        <w:t xml:space="preserve">10.3 </w:t>
      </w:r>
      <w:r>
        <w:rPr>
          <w:rFonts w:ascii="Times New Roman" w:hAnsi="Times New Roman"/>
          <w:b/>
          <w:sz w:val="30"/>
          <w:szCs w:val="30"/>
        </w:rPr>
        <w:t>环境影响预测结论</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pPr>
        <w:ind w:firstLine="0" w:firstLineChars="0"/>
        <w:outlineLvl w:val="2"/>
        <w:rPr>
          <w:rFonts w:ascii="Times New Roman" w:hAnsi="Times New Roman"/>
          <w:b/>
          <w:sz w:val="28"/>
          <w:szCs w:val="28"/>
        </w:rPr>
      </w:pPr>
      <w:bookmarkStart w:id="209" w:name="_Toc237229726"/>
      <w:bookmarkStart w:id="210" w:name="_Toc264578819"/>
      <w:bookmarkStart w:id="211" w:name="_Toc271297848"/>
      <w:bookmarkStart w:id="212" w:name="_Toc271620145"/>
      <w:bookmarkStart w:id="213" w:name="_Toc273131251"/>
      <w:bookmarkStart w:id="214" w:name="_Toc273131440"/>
      <w:bookmarkStart w:id="215" w:name="_Toc271744218"/>
      <w:bookmarkStart w:id="216" w:name="_Toc273171777"/>
      <w:bookmarkStart w:id="217" w:name="_Toc275694798"/>
      <w:bookmarkStart w:id="218" w:name="_Toc275695046"/>
      <w:bookmarkStart w:id="219" w:name="_Toc295323262"/>
      <w:bookmarkStart w:id="220" w:name="_Toc303002952"/>
      <w:bookmarkStart w:id="221" w:name="_Toc304538018"/>
      <w:bookmarkStart w:id="222" w:name="_Toc304736530"/>
      <w:bookmarkStart w:id="223" w:name="_Toc305308541"/>
      <w:bookmarkStart w:id="224" w:name="_Toc305323749"/>
      <w:bookmarkStart w:id="225" w:name="_Toc307566564"/>
      <w:bookmarkStart w:id="226" w:name="_Toc307561445"/>
      <w:bookmarkStart w:id="227" w:name="_Toc478472474"/>
      <w:bookmarkStart w:id="228" w:name="_Toc524624679"/>
      <w:bookmarkStart w:id="229" w:name="_Toc396904042"/>
      <w:bookmarkStart w:id="230" w:name="_Toc347090122"/>
      <w:r>
        <w:rPr>
          <w:rFonts w:hint="eastAsia" w:ascii="Times New Roman" w:hAnsi="Times New Roman"/>
          <w:b/>
          <w:sz w:val="28"/>
          <w:szCs w:val="28"/>
        </w:rPr>
        <w:t xml:space="preserve">10.3.1 </w:t>
      </w:r>
      <w:r>
        <w:rPr>
          <w:rFonts w:ascii="Times New Roman" w:hAnsi="Times New Roman"/>
          <w:b/>
          <w:sz w:val="28"/>
          <w:szCs w:val="28"/>
        </w:rPr>
        <w:t>大气环境影响分析</w:t>
      </w:r>
      <w:bookmarkEnd w:id="209"/>
      <w:bookmarkEnd w:id="210"/>
      <w:r>
        <w:rPr>
          <w:rFonts w:ascii="Times New Roman" w:hAnsi="Times New Roman"/>
          <w:b/>
          <w:sz w:val="28"/>
          <w:szCs w:val="28"/>
        </w:rPr>
        <w:t>结论</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p>
      <w:pPr>
        <w:adjustRightInd w:val="0"/>
        <w:snapToGrid w:val="0"/>
        <w:spacing w:line="336" w:lineRule="auto"/>
        <w:ind w:firstLine="480"/>
        <w:rPr>
          <w:rFonts w:ascii="Times New Roman" w:hAnsi="Times New Roman"/>
          <w:szCs w:val="24"/>
        </w:rPr>
      </w:pPr>
      <w:bookmarkStart w:id="231" w:name="_Toc264578820"/>
      <w:bookmarkStart w:id="232" w:name="_Toc237229727"/>
      <w:r>
        <w:rPr>
          <w:rFonts w:hint="eastAsia" w:ascii="宋体" w:hAnsi="宋体" w:cs="宋体"/>
          <w:szCs w:val="24"/>
        </w:rPr>
        <w:t>（1）</w:t>
      </w:r>
      <w:r>
        <w:rPr>
          <w:rFonts w:ascii="Times New Roman" w:hAnsi="Times New Roman"/>
          <w:szCs w:val="24"/>
        </w:rPr>
        <w:t>燃气锅炉排放的烟气对环境空气的影响</w:t>
      </w:r>
    </w:p>
    <w:p>
      <w:pPr>
        <w:ind w:firstLine="480"/>
        <w:rPr>
          <w:rFonts w:ascii="Times New Roman" w:hAnsi="Times New Roman"/>
          <w:szCs w:val="24"/>
        </w:rPr>
      </w:pPr>
      <w:r>
        <w:rPr>
          <w:rFonts w:ascii="Times New Roman" w:hAnsi="Times New Roman"/>
          <w:szCs w:val="24"/>
        </w:rPr>
        <w:t>根据预测结果，在</w:t>
      </w:r>
      <w:r>
        <w:rPr>
          <w:rFonts w:hint="eastAsia" w:ascii="Times New Roman" w:hAnsi="Times New Roman"/>
          <w:szCs w:val="24"/>
        </w:rPr>
        <w:t>LX-103井场净化处理站燃气锅炉</w:t>
      </w:r>
      <w:r>
        <w:rPr>
          <w:rFonts w:ascii="Times New Roman" w:hAnsi="Times New Roman"/>
          <w:szCs w:val="24"/>
        </w:rPr>
        <w:t>烟囱出口的下风向距离为</w:t>
      </w:r>
      <w:r>
        <w:rPr>
          <w:rFonts w:hint="eastAsia" w:ascii="Times New Roman" w:hAnsi="Times New Roman"/>
          <w:szCs w:val="24"/>
        </w:rPr>
        <w:t>178</w:t>
      </w:r>
      <w:r>
        <w:rPr>
          <w:rFonts w:ascii="Times New Roman" w:hAnsi="Times New Roman"/>
          <w:szCs w:val="24"/>
        </w:rPr>
        <w:t>m处</w:t>
      </w:r>
      <w:r>
        <w:rPr>
          <w:rFonts w:hint="eastAsia" w:ascii="Times New Roman" w:hAnsi="Times New Roman"/>
          <w:szCs w:val="24"/>
        </w:rPr>
        <w:t>NOx</w:t>
      </w:r>
      <w:r>
        <w:rPr>
          <w:rFonts w:ascii="Times New Roman" w:hAnsi="Times New Roman"/>
          <w:szCs w:val="24"/>
        </w:rPr>
        <w:t>浓度达到最大值0.0</w:t>
      </w:r>
      <w:r>
        <w:rPr>
          <w:rFonts w:hint="eastAsia" w:ascii="Times New Roman" w:hAnsi="Times New Roman"/>
          <w:szCs w:val="24"/>
        </w:rPr>
        <w:t>1086</w:t>
      </w:r>
      <w:r>
        <w:rPr>
          <w:rFonts w:ascii="Times New Roman" w:hAnsi="Times New Roman"/>
          <w:szCs w:val="24"/>
        </w:rPr>
        <w:t>mg/m</w:t>
      </w:r>
      <w:r>
        <w:rPr>
          <w:rFonts w:ascii="Times New Roman" w:hAnsi="Times New Roman"/>
          <w:szCs w:val="24"/>
          <w:vertAlign w:val="superscript"/>
        </w:rPr>
        <w:t>3</w:t>
      </w:r>
      <w:r>
        <w:rPr>
          <w:rFonts w:ascii="Times New Roman" w:hAnsi="Times New Roman"/>
          <w:szCs w:val="24"/>
        </w:rPr>
        <w:t>，为标准值的</w:t>
      </w:r>
      <w:r>
        <w:rPr>
          <w:rFonts w:hint="eastAsia" w:ascii="Times New Roman" w:hAnsi="Times New Roman"/>
          <w:szCs w:val="24"/>
        </w:rPr>
        <w:t>4.525</w:t>
      </w:r>
      <w:r>
        <w:rPr>
          <w:rFonts w:ascii="Times New Roman" w:hAnsi="Times New Roman"/>
          <w:szCs w:val="24"/>
        </w:rPr>
        <w:t>%；在</w:t>
      </w:r>
      <w:r>
        <w:rPr>
          <w:rFonts w:hint="eastAsia" w:ascii="Times New Roman" w:hAnsi="Times New Roman"/>
          <w:szCs w:val="24"/>
        </w:rPr>
        <w:t>LX104井场蒸发处理站燃气锅炉</w:t>
      </w:r>
      <w:r>
        <w:rPr>
          <w:rFonts w:ascii="Times New Roman" w:hAnsi="Times New Roman"/>
          <w:szCs w:val="24"/>
        </w:rPr>
        <w:t>烟囱出口的下风向距离为</w:t>
      </w:r>
      <w:r>
        <w:rPr>
          <w:rFonts w:hint="eastAsia" w:ascii="Times New Roman" w:hAnsi="Times New Roman"/>
          <w:szCs w:val="24"/>
        </w:rPr>
        <w:t>178</w:t>
      </w:r>
      <w:r>
        <w:rPr>
          <w:rFonts w:ascii="Times New Roman" w:hAnsi="Times New Roman"/>
          <w:szCs w:val="24"/>
        </w:rPr>
        <w:t>m处</w:t>
      </w:r>
      <w:r>
        <w:rPr>
          <w:rFonts w:hint="eastAsia" w:ascii="Times New Roman" w:hAnsi="Times New Roman"/>
          <w:szCs w:val="24"/>
        </w:rPr>
        <w:t>NOx</w:t>
      </w:r>
      <w:r>
        <w:rPr>
          <w:rFonts w:ascii="Times New Roman" w:hAnsi="Times New Roman"/>
          <w:szCs w:val="24"/>
        </w:rPr>
        <w:t>浓度达到最大值0.0</w:t>
      </w:r>
      <w:r>
        <w:rPr>
          <w:rFonts w:hint="eastAsia" w:ascii="Times New Roman" w:hAnsi="Times New Roman"/>
          <w:szCs w:val="24"/>
        </w:rPr>
        <w:t>1086</w:t>
      </w:r>
      <w:r>
        <w:rPr>
          <w:rFonts w:ascii="Times New Roman" w:hAnsi="Times New Roman"/>
          <w:szCs w:val="24"/>
        </w:rPr>
        <w:t>mg/m</w:t>
      </w:r>
      <w:r>
        <w:rPr>
          <w:rFonts w:ascii="Times New Roman" w:hAnsi="Times New Roman"/>
          <w:szCs w:val="24"/>
          <w:vertAlign w:val="superscript"/>
        </w:rPr>
        <w:t>3</w:t>
      </w:r>
      <w:r>
        <w:rPr>
          <w:rFonts w:ascii="Times New Roman" w:hAnsi="Times New Roman"/>
          <w:szCs w:val="24"/>
        </w:rPr>
        <w:t>，为标准值的</w:t>
      </w:r>
      <w:r>
        <w:rPr>
          <w:rFonts w:hint="eastAsia" w:ascii="Times New Roman" w:hAnsi="Times New Roman"/>
          <w:szCs w:val="24"/>
        </w:rPr>
        <w:t>4.525</w:t>
      </w:r>
      <w:r>
        <w:rPr>
          <w:rFonts w:ascii="Times New Roman" w:hAnsi="Times New Roman"/>
          <w:szCs w:val="24"/>
        </w:rPr>
        <w:t>%；在</w:t>
      </w:r>
      <w:r>
        <w:rPr>
          <w:rFonts w:hint="eastAsia" w:ascii="Times New Roman" w:hAnsi="Times New Roman"/>
          <w:szCs w:val="24"/>
        </w:rPr>
        <w:t>办公生活区供暖燃气锅炉</w:t>
      </w:r>
      <w:r>
        <w:rPr>
          <w:rFonts w:ascii="Times New Roman" w:hAnsi="Times New Roman"/>
          <w:szCs w:val="24"/>
        </w:rPr>
        <w:t>烟囱出口的下风向距离为</w:t>
      </w:r>
      <w:r>
        <w:rPr>
          <w:rFonts w:hint="eastAsia" w:ascii="Times New Roman" w:hAnsi="Times New Roman"/>
          <w:szCs w:val="24"/>
        </w:rPr>
        <w:t>162</w:t>
      </w:r>
      <w:r>
        <w:rPr>
          <w:rFonts w:ascii="Times New Roman" w:hAnsi="Times New Roman"/>
          <w:szCs w:val="24"/>
        </w:rPr>
        <w:t>m处</w:t>
      </w:r>
      <w:r>
        <w:rPr>
          <w:rFonts w:hint="eastAsia" w:ascii="Times New Roman" w:hAnsi="Times New Roman"/>
          <w:szCs w:val="24"/>
        </w:rPr>
        <w:t>NOx</w:t>
      </w:r>
      <w:r>
        <w:rPr>
          <w:rFonts w:ascii="Times New Roman" w:hAnsi="Times New Roman"/>
          <w:szCs w:val="24"/>
        </w:rPr>
        <w:t>浓度达到最大值0.0</w:t>
      </w:r>
      <w:r>
        <w:rPr>
          <w:rFonts w:hint="eastAsia" w:ascii="Times New Roman" w:hAnsi="Times New Roman"/>
          <w:szCs w:val="24"/>
        </w:rPr>
        <w:t>09558</w:t>
      </w:r>
      <w:r>
        <w:rPr>
          <w:rFonts w:ascii="Times New Roman" w:hAnsi="Times New Roman"/>
          <w:szCs w:val="24"/>
        </w:rPr>
        <w:t>mg/m</w:t>
      </w:r>
      <w:r>
        <w:rPr>
          <w:rFonts w:ascii="Times New Roman" w:hAnsi="Times New Roman"/>
          <w:szCs w:val="24"/>
          <w:vertAlign w:val="superscript"/>
        </w:rPr>
        <w:t>3</w:t>
      </w:r>
      <w:r>
        <w:rPr>
          <w:rFonts w:ascii="Times New Roman" w:hAnsi="Times New Roman"/>
          <w:szCs w:val="24"/>
        </w:rPr>
        <w:t>，为标准值的</w:t>
      </w:r>
      <w:r>
        <w:rPr>
          <w:rFonts w:hint="eastAsia" w:ascii="Times New Roman" w:hAnsi="Times New Roman"/>
          <w:szCs w:val="24"/>
        </w:rPr>
        <w:t>3.9825</w:t>
      </w:r>
      <w:r>
        <w:rPr>
          <w:rFonts w:ascii="Times New Roman" w:hAnsi="Times New Roman"/>
          <w:szCs w:val="24"/>
        </w:rPr>
        <w:t>%。可以看出，</w:t>
      </w:r>
      <w:r>
        <w:rPr>
          <w:rFonts w:hint="eastAsia" w:ascii="Times New Roman" w:hAnsi="Times New Roman"/>
          <w:szCs w:val="24"/>
        </w:rPr>
        <w:t>项目燃气</w:t>
      </w:r>
      <w:r>
        <w:rPr>
          <w:rFonts w:ascii="Times New Roman" w:hAnsi="Times New Roman"/>
          <w:szCs w:val="24"/>
        </w:rPr>
        <w:t>锅炉烟气对环境空气质量影响较小。</w:t>
      </w:r>
    </w:p>
    <w:p>
      <w:pPr>
        <w:ind w:firstLine="480"/>
        <w:rPr>
          <w:rFonts w:ascii="Times New Roman" w:hAnsi="Times New Roman"/>
          <w:szCs w:val="24"/>
        </w:rPr>
      </w:pPr>
      <w:r>
        <w:rPr>
          <w:rFonts w:hint="eastAsia" w:ascii="宋体" w:hAnsi="宋体" w:cs="宋体"/>
          <w:szCs w:val="24"/>
        </w:rPr>
        <w:t>（2）</w:t>
      </w:r>
      <w:r>
        <w:rPr>
          <w:rFonts w:ascii="Times New Roman" w:hAnsi="Times New Roman"/>
          <w:szCs w:val="24"/>
        </w:rPr>
        <w:t>油气集输过程中挥发损失的烃类气体对环境空气的影响</w:t>
      </w:r>
    </w:p>
    <w:p>
      <w:pPr>
        <w:ind w:firstLine="480"/>
        <w:rPr>
          <w:rFonts w:ascii="Times New Roman" w:hAnsi="Times New Roman"/>
          <w:szCs w:val="24"/>
        </w:rPr>
      </w:pPr>
      <w:r>
        <w:rPr>
          <w:rFonts w:ascii="Times New Roman" w:hAnsi="Times New Roman"/>
          <w:szCs w:val="24"/>
        </w:rPr>
        <w:t>本项目各</w:t>
      </w:r>
      <w:r>
        <w:rPr>
          <w:rFonts w:hint="eastAsia" w:ascii="Times New Roman" w:hAnsi="Times New Roman"/>
          <w:szCs w:val="24"/>
        </w:rPr>
        <w:t>气井</w:t>
      </w:r>
      <w:r>
        <w:rPr>
          <w:rFonts w:ascii="Times New Roman" w:hAnsi="Times New Roman"/>
          <w:szCs w:val="24"/>
        </w:rPr>
        <w:t>均带入现有密闭集输流程，因此</w:t>
      </w:r>
      <w:r>
        <w:rPr>
          <w:rFonts w:hint="eastAsia" w:ascii="Times New Roman" w:hAnsi="Times New Roman"/>
          <w:szCs w:val="24"/>
        </w:rPr>
        <w:t>煤成气</w:t>
      </w:r>
      <w:r>
        <w:rPr>
          <w:rFonts w:ascii="Times New Roman" w:hAnsi="Times New Roman"/>
          <w:szCs w:val="24"/>
        </w:rPr>
        <w:t>集输过程中的烃类挥发量较小。由于烃类气体挥发点位较少，在整个开发范围内均有发生，因此烃类气体将对区内产生一定的影响，但影响程度和范围不大。</w:t>
      </w:r>
    </w:p>
    <w:p>
      <w:pPr>
        <w:ind w:firstLine="0" w:firstLineChars="0"/>
        <w:outlineLvl w:val="2"/>
        <w:rPr>
          <w:rFonts w:ascii="Times New Roman" w:hAnsi="Times New Roman"/>
          <w:b/>
          <w:sz w:val="28"/>
          <w:szCs w:val="28"/>
        </w:rPr>
      </w:pPr>
      <w:bookmarkStart w:id="233" w:name="_Toc271744219"/>
      <w:bookmarkStart w:id="234" w:name="_Toc273131252"/>
      <w:bookmarkStart w:id="235" w:name="_Toc275694799"/>
      <w:bookmarkStart w:id="236" w:name="_Toc273171778"/>
      <w:bookmarkStart w:id="237" w:name="_Toc273131441"/>
      <w:bookmarkStart w:id="238" w:name="_Toc275695047"/>
      <w:bookmarkStart w:id="239" w:name="_Toc303002953"/>
      <w:bookmarkStart w:id="240" w:name="_Toc295323263"/>
      <w:bookmarkStart w:id="241" w:name="_Toc304538019"/>
      <w:bookmarkStart w:id="242" w:name="_Toc304736531"/>
      <w:bookmarkStart w:id="243" w:name="_Toc307566565"/>
      <w:bookmarkStart w:id="244" w:name="_Toc396904043"/>
      <w:bookmarkStart w:id="245" w:name="_Toc307561446"/>
      <w:bookmarkStart w:id="246" w:name="_Toc305323750"/>
      <w:bookmarkStart w:id="247" w:name="_Toc305308542"/>
      <w:bookmarkStart w:id="248" w:name="_Toc347090123"/>
      <w:bookmarkStart w:id="249" w:name="_Toc524624680"/>
      <w:bookmarkStart w:id="250" w:name="_Toc478472475"/>
      <w:bookmarkStart w:id="251" w:name="_Toc271620146"/>
      <w:bookmarkStart w:id="252" w:name="_Toc271297849"/>
      <w:r>
        <w:rPr>
          <w:rFonts w:hint="eastAsia" w:ascii="Times New Roman" w:hAnsi="Times New Roman"/>
          <w:b/>
          <w:sz w:val="28"/>
          <w:szCs w:val="28"/>
        </w:rPr>
        <w:t xml:space="preserve">10.3.2 </w:t>
      </w:r>
      <w:r>
        <w:rPr>
          <w:rFonts w:ascii="Times New Roman" w:hAnsi="Times New Roman"/>
          <w:b/>
          <w:sz w:val="28"/>
          <w:szCs w:val="28"/>
        </w:rPr>
        <w:t>水环境影响分析结论</w:t>
      </w:r>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pPr>
        <w:adjustRightInd w:val="0"/>
        <w:snapToGrid w:val="0"/>
        <w:spacing w:line="336" w:lineRule="auto"/>
        <w:ind w:firstLine="480"/>
        <w:rPr>
          <w:rFonts w:ascii="Times New Roman" w:hAnsi="Times New Roman"/>
          <w:szCs w:val="24"/>
        </w:rPr>
      </w:pPr>
      <w:bookmarkStart w:id="253" w:name="_Toc264578821"/>
      <w:bookmarkStart w:id="254" w:name="_Toc237229728"/>
      <w:r>
        <w:rPr>
          <w:rFonts w:ascii="Times New Roman" w:hAnsi="Times New Roman"/>
          <w:szCs w:val="24"/>
        </w:rPr>
        <w:t>本项目运营期的废水主要包括</w:t>
      </w:r>
      <w:r>
        <w:rPr>
          <w:rFonts w:hint="eastAsia" w:ascii="Times New Roman" w:hAnsi="Times New Roman"/>
          <w:szCs w:val="24"/>
        </w:rPr>
        <w:t>集气站生产废水</w:t>
      </w:r>
      <w:r>
        <w:rPr>
          <w:rFonts w:ascii="Times New Roman" w:hAnsi="Times New Roman"/>
          <w:szCs w:val="24"/>
        </w:rPr>
        <w:t>和</w:t>
      </w:r>
      <w:r>
        <w:rPr>
          <w:rFonts w:hint="eastAsia" w:ascii="Times New Roman" w:hAnsi="Times New Roman"/>
          <w:szCs w:val="24"/>
        </w:rPr>
        <w:t>办公生活区生活废水</w:t>
      </w:r>
      <w:r>
        <w:rPr>
          <w:rFonts w:ascii="Times New Roman" w:hAnsi="Times New Roman"/>
          <w:szCs w:val="24"/>
        </w:rPr>
        <w:t>。</w:t>
      </w:r>
    </w:p>
    <w:p>
      <w:pPr>
        <w:adjustRightInd w:val="0"/>
        <w:snapToGrid w:val="0"/>
        <w:spacing w:line="336" w:lineRule="auto"/>
        <w:ind w:firstLine="480"/>
        <w:rPr>
          <w:rFonts w:ascii="Times New Roman" w:hAnsi="Times New Roman"/>
          <w:szCs w:val="24"/>
        </w:rPr>
      </w:pPr>
      <w:r>
        <w:rPr>
          <w:rFonts w:hint="eastAsia" w:ascii="宋体" w:hAnsi="宋体" w:cs="宋体"/>
          <w:szCs w:val="24"/>
        </w:rPr>
        <w:t>（1）</w:t>
      </w:r>
      <w:r>
        <w:rPr>
          <w:rFonts w:hint="eastAsia" w:ascii="Times New Roman" w:hAnsi="Times New Roman"/>
          <w:szCs w:val="24"/>
        </w:rPr>
        <w:t>生产废水</w:t>
      </w:r>
    </w:p>
    <w:p>
      <w:pPr>
        <w:adjustRightInd w:val="0"/>
        <w:snapToGrid w:val="0"/>
        <w:spacing w:line="336" w:lineRule="auto"/>
        <w:ind w:firstLine="480"/>
        <w:rPr>
          <w:rFonts w:ascii="Times New Roman" w:hAnsi="Times New Roman"/>
          <w:szCs w:val="24"/>
        </w:rPr>
      </w:pPr>
      <w:r>
        <w:rPr>
          <w:rFonts w:ascii="Times New Roman" w:hAnsi="Times New Roman"/>
          <w:szCs w:val="24"/>
          <w:lang w:val="zh-CN"/>
        </w:rPr>
        <w:t>从集气站</w:t>
      </w:r>
      <w:r>
        <w:rPr>
          <w:rFonts w:ascii="Times New Roman" w:hAnsi="Times New Roman"/>
          <w:szCs w:val="24"/>
        </w:rPr>
        <w:t>生产分离撬分离出来的</w:t>
      </w:r>
      <w:r>
        <w:rPr>
          <w:rFonts w:ascii="Times New Roman" w:hAnsi="Times New Roman"/>
          <w:szCs w:val="24"/>
          <w:lang w:val="zh-CN"/>
        </w:rPr>
        <w:t>采出水经</w:t>
      </w:r>
      <w:r>
        <w:rPr>
          <w:rFonts w:hint="eastAsia" w:ascii="Times New Roman" w:hAnsi="Times New Roman"/>
          <w:szCs w:val="24"/>
          <w:lang w:val="zh-CN"/>
        </w:rPr>
        <w:t>废水管线</w:t>
      </w:r>
      <w:r>
        <w:rPr>
          <w:rFonts w:ascii="Times New Roman" w:hAnsi="Times New Roman"/>
          <w:szCs w:val="24"/>
          <w:lang w:val="zh-CN"/>
        </w:rPr>
        <w:t>输送至LX-103井场的</w:t>
      </w:r>
      <w:r>
        <w:rPr>
          <w:rFonts w:ascii="Times New Roman" w:hAnsi="Times New Roman"/>
          <w:szCs w:val="24"/>
        </w:rPr>
        <w:t>采出水净化处理站</w:t>
      </w:r>
      <w:r>
        <w:rPr>
          <w:rFonts w:hint="eastAsia" w:ascii="Times New Roman" w:hAnsi="Times New Roman"/>
          <w:szCs w:val="24"/>
        </w:rPr>
        <w:t>，净化处理站处理后的废水经原注醇管线至</w:t>
      </w:r>
      <w:r>
        <w:rPr>
          <w:rFonts w:ascii="Times New Roman" w:hAnsi="Times New Roman"/>
          <w:szCs w:val="24"/>
        </w:rPr>
        <w:t>LX-104井场的蒸发处理站处理，</w:t>
      </w:r>
      <w:r>
        <w:rPr>
          <w:rFonts w:hint="eastAsia" w:ascii="Times New Roman" w:hAnsi="Times New Roman"/>
          <w:szCs w:val="24"/>
        </w:rPr>
        <w:t>废水</w:t>
      </w:r>
      <w:r>
        <w:rPr>
          <w:rFonts w:ascii="Times New Roman" w:hAnsi="Times New Roman"/>
          <w:szCs w:val="24"/>
        </w:rPr>
        <w:t>自然蒸发，Z-6环保型抑制剂</w:t>
      </w:r>
      <w:r>
        <w:rPr>
          <w:rFonts w:hint="eastAsia" w:ascii="Times New Roman" w:hAnsi="Times New Roman"/>
          <w:szCs w:val="24"/>
        </w:rPr>
        <w:t>存于蒸发池内，定期由罐车输送至各井场</w:t>
      </w:r>
      <w:r>
        <w:rPr>
          <w:rFonts w:ascii="Times New Roman" w:hAnsi="Times New Roman"/>
          <w:szCs w:val="24"/>
        </w:rPr>
        <w:t>。本项目生产废水不外排，对周边水体环境影响较小。</w:t>
      </w:r>
    </w:p>
    <w:p>
      <w:pPr>
        <w:adjustRightInd w:val="0"/>
        <w:snapToGrid w:val="0"/>
        <w:spacing w:line="336" w:lineRule="auto"/>
        <w:ind w:firstLine="480"/>
        <w:rPr>
          <w:rFonts w:ascii="Times New Roman" w:hAnsi="Times New Roman"/>
          <w:szCs w:val="24"/>
        </w:rPr>
      </w:pPr>
      <w:r>
        <w:rPr>
          <w:rFonts w:hint="eastAsia" w:ascii="宋体" w:hAnsi="宋体" w:cs="宋体"/>
          <w:szCs w:val="24"/>
        </w:rPr>
        <w:t>（2）</w:t>
      </w:r>
      <w:r>
        <w:rPr>
          <w:rFonts w:hint="eastAsia" w:ascii="Times New Roman" w:hAnsi="Times New Roman"/>
          <w:szCs w:val="24"/>
        </w:rPr>
        <w:t>生活废水</w:t>
      </w:r>
    </w:p>
    <w:p>
      <w:pPr>
        <w:snapToGrid w:val="0"/>
        <w:ind w:firstLine="480"/>
        <w:rPr>
          <w:rFonts w:ascii="Times New Roman" w:hAnsi="Times New Roman"/>
          <w:szCs w:val="24"/>
          <w:lang w:val="zh-CN"/>
        </w:rPr>
      </w:pPr>
      <w:r>
        <w:rPr>
          <w:rFonts w:ascii="Times New Roman" w:hAnsi="Times New Roman"/>
          <w:szCs w:val="24"/>
          <w:lang w:val="zh-CN"/>
        </w:rPr>
        <w:t>办公生活区建设水冲厕，生活废水产生量为</w:t>
      </w:r>
      <w:r>
        <w:rPr>
          <w:rFonts w:hint="eastAsia" w:ascii="Times New Roman" w:hAnsi="Times New Roman"/>
          <w:szCs w:val="24"/>
          <w:lang w:val="zh-CN"/>
        </w:rPr>
        <w:t>20</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/d，主要污染物为COD、SS、NH</w:t>
      </w:r>
      <w:r>
        <w:rPr>
          <w:rFonts w:ascii="Times New Roman" w:hAnsi="Times New Roman"/>
          <w:szCs w:val="24"/>
          <w:vertAlign w:val="subscript"/>
          <w:lang w:val="zh-CN"/>
        </w:rPr>
        <w:t>3</w:t>
      </w:r>
      <w:r>
        <w:rPr>
          <w:rFonts w:ascii="Times New Roman" w:hAnsi="Times New Roman"/>
          <w:szCs w:val="24"/>
          <w:lang w:val="zh-CN"/>
        </w:rPr>
        <w:t>-N和动植物油。食堂废水经隔油池处理后与其他生活废水经管线排入办公生活区生活废水处理站。处理后的达标废水</w:t>
      </w:r>
      <w:r>
        <w:rPr>
          <w:rFonts w:hint="eastAsia" w:ascii="Times New Roman" w:hAnsi="Times New Roman"/>
          <w:szCs w:val="24"/>
          <w:lang w:val="zh-CN"/>
        </w:rPr>
        <w:t>全部</w:t>
      </w:r>
      <w:r>
        <w:rPr>
          <w:rFonts w:ascii="Times New Roman" w:hAnsi="Times New Roman"/>
          <w:szCs w:val="24"/>
          <w:lang w:val="zh-CN"/>
        </w:rPr>
        <w:t>用于</w:t>
      </w:r>
      <w:r>
        <w:rPr>
          <w:rFonts w:hint="eastAsia" w:ascii="Times New Roman" w:hAnsi="Times New Roman"/>
          <w:szCs w:val="24"/>
          <w:lang w:val="zh-CN"/>
        </w:rPr>
        <w:t>办公生活区</w:t>
      </w:r>
      <w:r>
        <w:rPr>
          <w:rFonts w:ascii="Times New Roman" w:hAnsi="Times New Roman"/>
          <w:szCs w:val="24"/>
          <w:lang w:val="zh-CN"/>
        </w:rPr>
        <w:t>绿化和降尘用水。</w:t>
      </w:r>
    </w:p>
    <w:p>
      <w:pPr>
        <w:adjustRightInd w:val="0"/>
        <w:snapToGrid w:val="0"/>
        <w:spacing w:line="336" w:lineRule="auto"/>
        <w:ind w:firstLine="480"/>
        <w:rPr>
          <w:rFonts w:ascii="Times New Roman" w:hAnsi="Times New Roman"/>
          <w:szCs w:val="24"/>
        </w:rPr>
      </w:pPr>
      <w:r>
        <w:rPr>
          <w:rFonts w:ascii="Times New Roman" w:hAnsi="Times New Roman"/>
          <w:szCs w:val="24"/>
        </w:rPr>
        <w:t>集气站生活废水主要为盥洗废水，产生量为0.32m</w:t>
      </w:r>
      <w:r>
        <w:rPr>
          <w:rFonts w:ascii="Times New Roman" w:hAnsi="Times New Roman"/>
          <w:szCs w:val="24"/>
          <w:vertAlign w:val="superscript"/>
        </w:rPr>
        <w:t>3</w:t>
      </w:r>
      <w:r>
        <w:rPr>
          <w:rFonts w:ascii="Times New Roman" w:hAnsi="Times New Roman"/>
          <w:szCs w:val="24"/>
        </w:rPr>
        <w:t>/d，盥洗废水作为降尘废水，不外排。</w:t>
      </w:r>
    </w:p>
    <w:p>
      <w:pPr>
        <w:ind w:firstLine="0" w:firstLineChars="0"/>
        <w:outlineLvl w:val="2"/>
        <w:rPr>
          <w:rFonts w:ascii="Times New Roman" w:hAnsi="Times New Roman"/>
          <w:b/>
          <w:sz w:val="28"/>
          <w:szCs w:val="28"/>
        </w:rPr>
      </w:pPr>
      <w:bookmarkStart w:id="255" w:name="_Toc271297850"/>
      <w:bookmarkStart w:id="256" w:name="_Toc271620147"/>
      <w:bookmarkStart w:id="257" w:name="_Toc271744220"/>
      <w:bookmarkStart w:id="258" w:name="_Toc273131253"/>
      <w:bookmarkStart w:id="259" w:name="_Toc273171779"/>
      <w:bookmarkStart w:id="260" w:name="_Toc273131442"/>
      <w:bookmarkStart w:id="261" w:name="_Toc275695048"/>
      <w:bookmarkStart w:id="262" w:name="_Toc275694800"/>
      <w:bookmarkStart w:id="263" w:name="_Toc295323264"/>
      <w:bookmarkStart w:id="264" w:name="_Toc303002954"/>
      <w:bookmarkStart w:id="265" w:name="_Toc304538020"/>
      <w:bookmarkStart w:id="266" w:name="_Toc305323751"/>
      <w:bookmarkStart w:id="267" w:name="_Toc307561447"/>
      <w:bookmarkStart w:id="268" w:name="_Toc307566566"/>
      <w:bookmarkStart w:id="269" w:name="_Toc304736532"/>
      <w:bookmarkStart w:id="270" w:name="_Toc305308543"/>
      <w:bookmarkStart w:id="271" w:name="_Toc396904044"/>
      <w:bookmarkStart w:id="272" w:name="_Toc347090124"/>
      <w:bookmarkStart w:id="273" w:name="_Toc524624681"/>
      <w:bookmarkStart w:id="274" w:name="_Toc478472476"/>
      <w:r>
        <w:rPr>
          <w:rFonts w:hint="eastAsia" w:ascii="Times New Roman" w:hAnsi="Times New Roman"/>
          <w:b/>
          <w:sz w:val="28"/>
          <w:szCs w:val="28"/>
        </w:rPr>
        <w:t>10.3.4 地下水</w:t>
      </w:r>
      <w:r>
        <w:rPr>
          <w:rFonts w:ascii="Times New Roman" w:hAnsi="Times New Roman"/>
          <w:b/>
          <w:sz w:val="28"/>
          <w:szCs w:val="28"/>
        </w:rPr>
        <w:t>环境影响分析结论</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pPr>
        <w:ind w:firstLine="480"/>
        <w:rPr>
          <w:rFonts w:ascii="Times New Roman" w:hAnsi="Times New Roman"/>
          <w:szCs w:val="22"/>
        </w:rPr>
      </w:pPr>
      <w:r>
        <w:rPr>
          <w:rFonts w:hint="eastAsia" w:ascii="Times New Roman" w:hAnsi="Times New Roman"/>
          <w:szCs w:val="22"/>
        </w:rPr>
        <w:t>本评价中提出的保护对策措施，是以本区的水文地质条件为基础，同时考虑了对策措施的可行性，地下水环境污染防治工作是项目的重点工作之一。</w:t>
      </w:r>
    </w:p>
    <w:p>
      <w:pPr>
        <w:adjustRightInd w:val="0"/>
        <w:snapToGrid w:val="0"/>
        <w:spacing w:line="336" w:lineRule="auto"/>
        <w:ind w:firstLine="480"/>
        <w:rPr>
          <w:rFonts w:ascii="宋体" w:hAnsi="宋体" w:cs="宋体"/>
        </w:rPr>
      </w:pPr>
      <w:r>
        <w:rPr>
          <w:rFonts w:hint="eastAsia" w:ascii="Times New Roman" w:hAnsi="Times New Roman"/>
          <w:szCs w:val="22"/>
        </w:rPr>
        <w:t>本次评价提出的地下水保护措施技术上是可行的，经济上是合理的，只要项目建成后，业主认真履行其承担的环保责任，遵循“源头控制、分区防控、污染监控、应急响应”的原则去落实相关的环保防治污染措施，本项目在技术经济上是完全可行的。</w:t>
      </w:r>
    </w:p>
    <w:p>
      <w:pPr>
        <w:ind w:firstLine="0" w:firstLineChars="0"/>
        <w:outlineLvl w:val="2"/>
        <w:rPr>
          <w:rFonts w:ascii="Times New Roman" w:hAnsi="Times New Roman"/>
          <w:b/>
          <w:sz w:val="28"/>
          <w:szCs w:val="28"/>
        </w:rPr>
      </w:pPr>
      <w:bookmarkStart w:id="275" w:name="_Toc524624682"/>
      <w:r>
        <w:rPr>
          <w:rFonts w:hint="eastAsia" w:ascii="Times New Roman" w:hAnsi="Times New Roman"/>
          <w:b/>
          <w:sz w:val="28"/>
          <w:szCs w:val="28"/>
        </w:rPr>
        <w:t>10.3.5 声</w:t>
      </w:r>
      <w:r>
        <w:rPr>
          <w:rFonts w:ascii="Times New Roman" w:hAnsi="Times New Roman"/>
          <w:b/>
          <w:sz w:val="28"/>
          <w:szCs w:val="28"/>
        </w:rPr>
        <w:t>环境影响分析结论</w:t>
      </w:r>
      <w:bookmarkEnd w:id="275"/>
    </w:p>
    <w:p>
      <w:pPr>
        <w:adjustRightInd w:val="0"/>
        <w:snapToGrid w:val="0"/>
        <w:ind w:firstLine="480"/>
        <w:rPr>
          <w:rFonts w:ascii="Times New Roman" w:hAnsi="Times New Roman"/>
        </w:rPr>
      </w:pPr>
      <w:r>
        <w:rPr>
          <w:rFonts w:hint="eastAsia" w:ascii="宋体" w:hAnsi="宋体" w:cs="宋体"/>
        </w:rPr>
        <w:t>在采取切实的噪声防治措施的前提下，营运期井场、集气站正常生产时噪声场界达标。站场事故放空时，放空火炬排放口将产生较大的噪声，由于放空时间较短且频率不高，站场放空噪声对井场周围居民的影响较小。由于项目主要噪声源距村庄较远，项目投产后对周边村民的声环境影响不明显。</w:t>
      </w:r>
    </w:p>
    <w:p>
      <w:pPr>
        <w:ind w:firstLine="0" w:firstLineChars="0"/>
        <w:outlineLvl w:val="2"/>
        <w:rPr>
          <w:rFonts w:ascii="Times New Roman" w:hAnsi="Times New Roman"/>
          <w:b/>
          <w:sz w:val="28"/>
          <w:szCs w:val="28"/>
        </w:rPr>
      </w:pPr>
      <w:bookmarkStart w:id="276" w:name="_Toc273131254"/>
      <w:bookmarkStart w:id="277" w:name="_Toc271620148"/>
      <w:bookmarkStart w:id="278" w:name="_Toc271744221"/>
      <w:bookmarkStart w:id="279" w:name="_Toc264578822"/>
      <w:bookmarkStart w:id="280" w:name="_Toc271297851"/>
      <w:bookmarkStart w:id="281" w:name="_Toc273131443"/>
      <w:bookmarkStart w:id="282" w:name="_Toc273171780"/>
      <w:bookmarkStart w:id="283" w:name="_Toc275695049"/>
      <w:bookmarkStart w:id="284" w:name="_Toc275694801"/>
      <w:bookmarkStart w:id="285" w:name="_Toc304538021"/>
      <w:bookmarkStart w:id="286" w:name="_Toc295323265"/>
      <w:bookmarkStart w:id="287" w:name="_Toc303002955"/>
      <w:bookmarkStart w:id="288" w:name="_Toc305308544"/>
      <w:bookmarkStart w:id="289" w:name="_Toc307561448"/>
      <w:bookmarkStart w:id="290" w:name="_Toc304736533"/>
      <w:bookmarkStart w:id="291" w:name="_Toc307566567"/>
      <w:bookmarkStart w:id="292" w:name="_Toc305323752"/>
      <w:bookmarkStart w:id="293" w:name="_Toc347090125"/>
      <w:bookmarkStart w:id="294" w:name="_Toc237229729"/>
      <w:bookmarkStart w:id="295" w:name="_Toc396904045"/>
      <w:bookmarkStart w:id="296" w:name="_Toc478472477"/>
      <w:bookmarkStart w:id="297" w:name="_Toc524624683"/>
      <w:r>
        <w:rPr>
          <w:rFonts w:hint="eastAsia" w:ascii="Times New Roman" w:hAnsi="Times New Roman"/>
          <w:b/>
          <w:sz w:val="28"/>
          <w:szCs w:val="28"/>
        </w:rPr>
        <w:t xml:space="preserve">10.3.6 </w:t>
      </w:r>
      <w:r>
        <w:rPr>
          <w:rFonts w:ascii="Times New Roman" w:hAnsi="Times New Roman"/>
          <w:b/>
          <w:sz w:val="28"/>
          <w:szCs w:val="28"/>
        </w:rPr>
        <w:t>固体废物影响分析结论</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pPr>
        <w:ind w:firstLine="480"/>
        <w:rPr>
          <w:szCs w:val="24"/>
        </w:rPr>
      </w:pPr>
      <w:bookmarkStart w:id="298" w:name="_Toc237229735"/>
      <w:bookmarkStart w:id="299" w:name="_Toc264578823"/>
      <w:bookmarkStart w:id="300" w:name="_Toc271297852"/>
      <w:bookmarkStart w:id="301" w:name="_Toc295323266"/>
      <w:bookmarkStart w:id="302" w:name="_Toc303002956"/>
      <w:bookmarkStart w:id="303" w:name="_Toc304538022"/>
      <w:bookmarkStart w:id="304" w:name="_Toc304736534"/>
      <w:bookmarkStart w:id="305" w:name="_Toc305308545"/>
      <w:bookmarkStart w:id="306" w:name="_Toc305323753"/>
      <w:bookmarkStart w:id="307" w:name="_Toc307566568"/>
      <w:bookmarkStart w:id="308" w:name="_Toc307561449"/>
      <w:bookmarkStart w:id="309" w:name="_Toc347090126"/>
      <w:bookmarkStart w:id="310" w:name="_Toc271620149"/>
      <w:bookmarkStart w:id="311" w:name="_Toc273171781"/>
      <w:bookmarkStart w:id="312" w:name="_Toc271744222"/>
      <w:bookmarkStart w:id="313" w:name="_Toc273131255"/>
      <w:bookmarkStart w:id="314" w:name="_Toc273131444"/>
      <w:bookmarkStart w:id="315" w:name="_Toc275694802"/>
      <w:bookmarkStart w:id="316" w:name="_Toc275695050"/>
      <w:r>
        <w:rPr>
          <w:szCs w:val="24"/>
        </w:rPr>
        <w:t>本项目运营期固体废物主要为</w:t>
      </w:r>
      <w:r>
        <w:rPr>
          <w:rFonts w:hint="eastAsia"/>
          <w:szCs w:val="24"/>
        </w:rPr>
        <w:t>集气站分离撬</w:t>
      </w:r>
      <w:r>
        <w:rPr>
          <w:szCs w:val="24"/>
        </w:rPr>
        <w:t>分离出的</w:t>
      </w:r>
      <w:r>
        <w:rPr>
          <w:rFonts w:hint="eastAsia"/>
          <w:szCs w:val="24"/>
        </w:rPr>
        <w:t>凝析油和</w:t>
      </w:r>
      <w:r>
        <w:rPr>
          <w:szCs w:val="24"/>
        </w:rPr>
        <w:t>废弃分子筛</w:t>
      </w:r>
      <w:r>
        <w:rPr>
          <w:rFonts w:hint="eastAsia"/>
          <w:szCs w:val="24"/>
        </w:rPr>
        <w:t>，采出</w:t>
      </w:r>
      <w:r>
        <w:rPr>
          <w:szCs w:val="24"/>
        </w:rPr>
        <w:t>废水处理站</w:t>
      </w:r>
      <w:r>
        <w:rPr>
          <w:rFonts w:hint="eastAsia"/>
          <w:szCs w:val="24"/>
        </w:rPr>
        <w:t>产生的干化污泥和废盐，办公生活区生活污水处理站污泥和</w:t>
      </w:r>
      <w:r>
        <w:rPr>
          <w:szCs w:val="24"/>
        </w:rPr>
        <w:t>职工生活垃圾。</w:t>
      </w:r>
    </w:p>
    <w:p>
      <w:pPr>
        <w:adjustRightInd w:val="0"/>
        <w:snapToGrid w:val="0"/>
        <w:ind w:firstLine="480"/>
        <w:rPr>
          <w:szCs w:val="24"/>
        </w:rPr>
      </w:pPr>
      <w:r>
        <w:rPr>
          <w:rFonts w:hint="eastAsia"/>
          <w:szCs w:val="24"/>
        </w:rPr>
        <w:t>凝析油、采出废水处理站干化污泥和废盐为含油危险废物，</w:t>
      </w:r>
      <w:r>
        <w:rPr>
          <w:szCs w:val="24"/>
        </w:rPr>
        <w:t>交由</w:t>
      </w:r>
      <w:r>
        <w:rPr>
          <w:rFonts w:hint="eastAsia"/>
          <w:snapToGrid w:val="0"/>
        </w:rPr>
        <w:t>广灵金隅水泥有限公司</w:t>
      </w:r>
      <w:r>
        <w:rPr>
          <w:snapToGrid w:val="0"/>
        </w:rPr>
        <w:t>按照危废转运要求将危险废物送至该公司处置。</w:t>
      </w:r>
      <w:r>
        <w:rPr>
          <w:rFonts w:hint="eastAsia"/>
          <w:szCs w:val="24"/>
        </w:rPr>
        <w:t>危废</w:t>
      </w:r>
      <w:r>
        <w:rPr>
          <w:szCs w:val="24"/>
        </w:rPr>
        <w:t>暂存应严格按照《危险废物贮存污染控制标准》（GB18597-2001）和《危险废物收集、贮存、运输技术规范》（HJ2025-2012）中的有关规定进行处置。生活垃圾定期由封闭式车辆运至当地政府指定的垃圾场统一处理，废弃分子筛由厂家回收处理后再利用。</w:t>
      </w:r>
      <w:r>
        <w:rPr>
          <w:rFonts w:hint="eastAsia"/>
          <w:szCs w:val="24"/>
        </w:rPr>
        <w:t>生活污水处理站污泥收集后作为一般固废，定期送填埋场处理。</w:t>
      </w:r>
      <w:r>
        <w:rPr>
          <w:szCs w:val="24"/>
        </w:rPr>
        <w:t>本项目产生的固体废物均得到了合理处置，对周边环境影响较小。</w:t>
      </w:r>
    </w:p>
    <w:p>
      <w:pPr>
        <w:ind w:firstLine="0" w:firstLineChars="0"/>
        <w:outlineLvl w:val="2"/>
        <w:rPr>
          <w:rFonts w:ascii="Times New Roman" w:hAnsi="Times New Roman"/>
          <w:b/>
          <w:sz w:val="28"/>
          <w:szCs w:val="28"/>
        </w:rPr>
      </w:pPr>
      <w:bookmarkStart w:id="317" w:name="_Toc478472478"/>
      <w:bookmarkStart w:id="318" w:name="_Toc396904046"/>
      <w:bookmarkStart w:id="319" w:name="_Toc524624684"/>
      <w:r>
        <w:rPr>
          <w:rFonts w:hint="eastAsia" w:ascii="Times New Roman" w:hAnsi="Times New Roman"/>
          <w:b/>
          <w:sz w:val="28"/>
          <w:szCs w:val="28"/>
        </w:rPr>
        <w:t xml:space="preserve">10.3.7 </w:t>
      </w:r>
      <w:r>
        <w:rPr>
          <w:rFonts w:ascii="Times New Roman" w:hAnsi="Times New Roman"/>
          <w:b/>
          <w:sz w:val="28"/>
          <w:szCs w:val="28"/>
        </w:rPr>
        <w:t>生态环境影响分析结论</w:t>
      </w:r>
      <w:bookmarkEnd w:id="317"/>
      <w:bookmarkEnd w:id="318"/>
      <w:bookmarkEnd w:id="319"/>
    </w:p>
    <w:p>
      <w:pPr>
        <w:adjustRightInd w:val="0"/>
        <w:snapToGrid w:val="0"/>
        <w:spacing w:line="336" w:lineRule="auto"/>
        <w:ind w:firstLine="480"/>
        <w:rPr>
          <w:rFonts w:ascii="Times New Roman" w:hAnsi="Times New Roman"/>
        </w:rPr>
      </w:pPr>
      <w:r>
        <w:rPr>
          <w:rFonts w:hint="eastAsia" w:ascii="Times New Roman" w:hAnsi="Times New Roman"/>
        </w:rPr>
        <w:t>工程建设将影响评价区内局部生态环境，主要表现在井场、站场和管线周围，通过采取相应的生态保护对策，建设工程对生态环境的影响是可以减缓的，对区域生态系统完整性、稳定性及生物多样性影响较小，对当地生态系统造成影响较小</w:t>
      </w:r>
      <w:r>
        <w:rPr>
          <w:rFonts w:ascii="Times New Roman" w:hAnsi="Times New Roman"/>
        </w:rPr>
        <w:t>。</w:t>
      </w:r>
    </w:p>
    <w:p>
      <w:pPr>
        <w:ind w:firstLine="0" w:firstLineChars="0"/>
        <w:outlineLvl w:val="2"/>
        <w:rPr>
          <w:rFonts w:ascii="Times New Roman" w:hAnsi="Times New Roman"/>
          <w:b/>
          <w:sz w:val="28"/>
          <w:szCs w:val="28"/>
        </w:rPr>
      </w:pPr>
      <w:bookmarkStart w:id="320" w:name="_Toc396904047"/>
      <w:bookmarkStart w:id="321" w:name="_Toc478472479"/>
      <w:bookmarkStart w:id="322" w:name="_Toc524624685"/>
      <w:r>
        <w:rPr>
          <w:rFonts w:hint="eastAsia" w:ascii="Times New Roman" w:hAnsi="Times New Roman"/>
          <w:b/>
          <w:sz w:val="28"/>
          <w:szCs w:val="28"/>
        </w:rPr>
        <w:t xml:space="preserve">10.3.8 </w:t>
      </w:r>
      <w:r>
        <w:rPr>
          <w:rFonts w:ascii="Times New Roman" w:hAnsi="Times New Roman"/>
          <w:b/>
          <w:sz w:val="28"/>
          <w:szCs w:val="28"/>
        </w:rPr>
        <w:t>环境风险结论</w:t>
      </w:r>
      <w:bookmarkEnd w:id="320"/>
      <w:bookmarkEnd w:id="321"/>
      <w:bookmarkEnd w:id="322"/>
    </w:p>
    <w:p>
      <w:pPr>
        <w:adjustRightInd w:val="0"/>
        <w:snapToGrid w:val="0"/>
        <w:spacing w:line="336" w:lineRule="auto"/>
        <w:ind w:firstLine="480"/>
        <w:rPr>
          <w:rFonts w:ascii="Times New Roman" w:hAnsi="Times New Roman"/>
          <w:szCs w:val="24"/>
        </w:rPr>
      </w:pPr>
      <w:r>
        <w:rPr>
          <w:rFonts w:ascii="Times New Roman" w:hAnsi="Times New Roman"/>
          <w:snapToGrid w:val="0"/>
          <w:kern w:val="0"/>
          <w:szCs w:val="24"/>
        </w:rPr>
        <w:t>通过环境风险分析，认为本工程的主要风险有</w:t>
      </w:r>
      <w:r>
        <w:rPr>
          <w:rFonts w:ascii="Times New Roman" w:hAnsi="Times New Roman"/>
          <w:szCs w:val="24"/>
        </w:rPr>
        <w:t>钻井过程中发生的</w:t>
      </w:r>
      <w:r>
        <w:rPr>
          <w:rFonts w:ascii="Times New Roman" w:hAnsi="Times New Roman"/>
          <w:snapToGrid w:val="0"/>
          <w:kern w:val="0"/>
          <w:szCs w:val="24"/>
        </w:rPr>
        <w:t>井喷事故；</w:t>
      </w:r>
      <w:r>
        <w:rPr>
          <w:rFonts w:ascii="Times New Roman" w:hAnsi="Times New Roman"/>
          <w:szCs w:val="24"/>
        </w:rPr>
        <w:t>井下作业包括</w:t>
      </w:r>
      <w:r>
        <w:rPr>
          <w:rFonts w:hint="eastAsia" w:ascii="Times New Roman" w:hAnsi="Times New Roman"/>
          <w:szCs w:val="24"/>
        </w:rPr>
        <w:t>钻井</w:t>
      </w:r>
      <w:r>
        <w:rPr>
          <w:rFonts w:ascii="Times New Roman" w:hAnsi="Times New Roman"/>
          <w:szCs w:val="24"/>
        </w:rPr>
        <w:t>、压裂、修井等工艺过程发生的泄露事故</w:t>
      </w:r>
      <w:r>
        <w:rPr>
          <w:rFonts w:ascii="Times New Roman" w:hAnsi="Times New Roman"/>
          <w:snapToGrid w:val="0"/>
          <w:kern w:val="0"/>
          <w:szCs w:val="24"/>
        </w:rPr>
        <w:t>；</w:t>
      </w:r>
      <w:r>
        <w:rPr>
          <w:rFonts w:hint="eastAsia" w:ascii="Times New Roman" w:hAnsi="Times New Roman"/>
          <w:szCs w:val="24"/>
        </w:rPr>
        <w:t>煤成气</w:t>
      </w:r>
      <w:r>
        <w:rPr>
          <w:rFonts w:ascii="Times New Roman" w:hAnsi="Times New Roman"/>
          <w:szCs w:val="24"/>
        </w:rPr>
        <w:t>集输过程发生的泄露事故。只要在设计、施工和生产过程中加强事故防范措施和事故应急措施的建设和管理，提高全体职工的安全意识，加强油区周边居民的法律意识，可使风险事故的发生率降至最低，亦可使一旦发生的事故危害降至最小。</w:t>
      </w:r>
    </w:p>
    <w:p>
      <w:pPr>
        <w:spacing w:before="156" w:beforeLines="50" w:after="156" w:afterLines="50"/>
        <w:ind w:firstLine="0" w:firstLineChars="0"/>
        <w:outlineLvl w:val="1"/>
        <w:rPr>
          <w:rFonts w:ascii="Times New Roman" w:hAnsi="Times New Roman"/>
          <w:b/>
          <w:sz w:val="30"/>
          <w:szCs w:val="30"/>
        </w:rPr>
      </w:pPr>
      <w:bookmarkStart w:id="323" w:name="_Toc524624686"/>
      <w:r>
        <w:rPr>
          <w:rFonts w:hint="eastAsia" w:ascii="Times New Roman" w:hAnsi="Times New Roman"/>
          <w:b/>
          <w:sz w:val="30"/>
          <w:szCs w:val="30"/>
        </w:rPr>
        <w:t>10.4 公众参与</w:t>
      </w:r>
      <w:bookmarkEnd w:id="323"/>
    </w:p>
    <w:p>
      <w:pPr>
        <w:adjustRightInd w:val="0"/>
        <w:snapToGrid w:val="0"/>
        <w:spacing w:line="336" w:lineRule="auto"/>
        <w:ind w:firstLine="480"/>
        <w:rPr>
          <w:rFonts w:ascii="Times New Roman" w:hAnsi="Times New Roman"/>
          <w:snapToGrid w:val="0"/>
          <w:kern w:val="0"/>
          <w:szCs w:val="24"/>
        </w:rPr>
      </w:pPr>
      <w:r>
        <w:rPr>
          <w:rFonts w:ascii="Times New Roman" w:hAnsi="Times New Roman"/>
          <w:snapToGrid w:val="0"/>
          <w:kern w:val="0"/>
          <w:szCs w:val="24"/>
        </w:rPr>
        <w:t>在受调查的公众中，100%的公众对于本工程持支持态度，认为会对当地的社会、经济发展起到积极作用。</w:t>
      </w:r>
    </w:p>
    <w:p>
      <w:pPr>
        <w:spacing w:before="156" w:beforeLines="50" w:after="156" w:afterLines="50"/>
        <w:ind w:firstLine="0" w:firstLineChars="0"/>
        <w:outlineLvl w:val="1"/>
        <w:rPr>
          <w:rFonts w:ascii="Times New Roman" w:hAnsi="Times New Roman"/>
          <w:b/>
          <w:sz w:val="30"/>
          <w:szCs w:val="30"/>
        </w:rPr>
      </w:pPr>
      <w:bookmarkStart w:id="324" w:name="_Toc524624687"/>
      <w:r>
        <w:rPr>
          <w:rFonts w:hint="eastAsia" w:ascii="Times New Roman" w:hAnsi="Times New Roman"/>
          <w:b/>
          <w:sz w:val="30"/>
          <w:szCs w:val="30"/>
        </w:rPr>
        <w:t>10.5 选址合理性分析</w:t>
      </w:r>
      <w:bookmarkEnd w:id="324"/>
    </w:p>
    <w:p>
      <w:pPr>
        <w:adjustRightInd w:val="0"/>
        <w:snapToGrid w:val="0"/>
        <w:spacing w:line="336" w:lineRule="auto"/>
        <w:ind w:firstLine="480"/>
        <w:rPr>
          <w:rFonts w:ascii="Times New Roman" w:hAnsi="Times New Roman"/>
          <w:snapToGrid w:val="0"/>
          <w:kern w:val="0"/>
          <w:szCs w:val="24"/>
        </w:rPr>
      </w:pPr>
      <w:r>
        <w:rPr>
          <w:rFonts w:ascii="Times New Roman" w:hAnsi="Times New Roman"/>
          <w:snapToGrid w:val="0"/>
          <w:kern w:val="0"/>
          <w:szCs w:val="24"/>
        </w:rPr>
        <w:t>本</w:t>
      </w:r>
      <w:r>
        <w:rPr>
          <w:rFonts w:hint="eastAsia" w:ascii="Times New Roman" w:hAnsi="Times New Roman"/>
          <w:snapToGrid w:val="0"/>
          <w:kern w:val="0"/>
          <w:szCs w:val="24"/>
        </w:rPr>
        <w:t>项目井场、站场、线路路由符合产业政策、当地发展规划、环境功能区划、卫生防护距离及防火距离、环境敏感因素的要求，项目建设选址基本可行。</w:t>
      </w:r>
    </w:p>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Pr>
        <w:spacing w:before="156" w:beforeLines="50" w:after="156" w:afterLines="50"/>
        <w:ind w:firstLine="0" w:firstLineChars="0"/>
        <w:outlineLvl w:val="1"/>
        <w:rPr>
          <w:rFonts w:ascii="Times New Roman" w:hAnsi="Times New Roman"/>
          <w:b/>
          <w:sz w:val="30"/>
          <w:szCs w:val="30"/>
        </w:rPr>
      </w:pPr>
      <w:bookmarkStart w:id="325" w:name="_Toc524624688"/>
      <w:bookmarkStart w:id="326" w:name="_Toc273171786"/>
      <w:bookmarkStart w:id="327" w:name="_Toc275694807"/>
      <w:bookmarkStart w:id="328" w:name="_Toc275695055"/>
      <w:bookmarkStart w:id="329" w:name="_Toc295323271"/>
      <w:bookmarkStart w:id="330" w:name="_Toc303002961"/>
      <w:bookmarkStart w:id="331" w:name="_Toc304538027"/>
      <w:bookmarkStart w:id="332" w:name="_Toc304736539"/>
      <w:bookmarkStart w:id="333" w:name="_Toc305308550"/>
      <w:bookmarkStart w:id="334" w:name="_Toc307561454"/>
      <w:bookmarkStart w:id="335" w:name="_Toc305323758"/>
      <w:bookmarkStart w:id="336" w:name="_Toc347090129"/>
      <w:bookmarkStart w:id="337" w:name="_Toc396904050"/>
      <w:bookmarkStart w:id="338" w:name="_Toc307566573"/>
      <w:bookmarkStart w:id="339" w:name="_Toc478472480"/>
      <w:bookmarkStart w:id="340" w:name="_Toc264578828"/>
      <w:bookmarkStart w:id="341" w:name="_Toc237229738"/>
      <w:bookmarkStart w:id="342" w:name="_Toc271297857"/>
      <w:bookmarkStart w:id="343" w:name="_Toc271620154"/>
      <w:bookmarkStart w:id="344" w:name="_Toc271744227"/>
      <w:bookmarkStart w:id="345" w:name="_Toc273131260"/>
      <w:bookmarkStart w:id="346" w:name="_Toc273131449"/>
      <w:r>
        <w:rPr>
          <w:rFonts w:hint="eastAsia" w:ascii="Times New Roman" w:hAnsi="Times New Roman"/>
          <w:b/>
          <w:sz w:val="30"/>
          <w:szCs w:val="30"/>
        </w:rPr>
        <w:t xml:space="preserve">10.6 </w:t>
      </w:r>
      <w:r>
        <w:rPr>
          <w:rFonts w:ascii="Times New Roman" w:hAnsi="Times New Roman"/>
          <w:b/>
          <w:sz w:val="30"/>
          <w:szCs w:val="30"/>
        </w:rPr>
        <w:t>综合评价结论</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pPr>
        <w:ind w:firstLine="480"/>
        <w:rPr>
          <w:rFonts w:ascii="Times New Roman" w:hAnsi="Times New Roman"/>
          <w:szCs w:val="24"/>
        </w:rPr>
      </w:pPr>
      <w:bookmarkStart w:id="347" w:name="_Toc347090130"/>
      <w:r>
        <w:rPr>
          <w:rFonts w:ascii="Times New Roman" w:hAnsi="Times New Roman"/>
          <w:lang w:val="zh-CN"/>
        </w:rPr>
        <w:t>本项目</w:t>
      </w:r>
      <w:r>
        <w:rPr>
          <w:rFonts w:ascii="Times New Roman" w:hAnsi="Times New Roman"/>
        </w:rPr>
        <w:t>符合国家和地方的相关产业政策和法律规范的要求；符合国家及地方的相关规划的要求；选址合理；当地的环境质量现状较好，具有一定的环境容量；扩建</w:t>
      </w:r>
      <w:r>
        <w:rPr>
          <w:rFonts w:hint="eastAsia" w:ascii="Times New Roman" w:hAnsi="Times New Roman"/>
        </w:rPr>
        <w:t>项目</w:t>
      </w:r>
      <w:r>
        <w:rPr>
          <w:rFonts w:ascii="Times New Roman" w:hAnsi="Times New Roman"/>
        </w:rPr>
        <w:t>污染防治设施符合工程运行需求，污染物均能达标排放并满足总量控制要求；项目的建设得到了被调查公众的支持；因此只要内蒙采油厂严格执行相关规范、严格管理，本项目对环境的影响不大。因此，</w:t>
      </w:r>
      <w:r>
        <w:rPr>
          <w:rFonts w:ascii="Times New Roman" w:hAnsi="Times New Roman"/>
          <w:lang w:val="zh-CN"/>
        </w:rPr>
        <w:t>从环保角度分析，本项目的建设是可行的。</w:t>
      </w:r>
    </w:p>
    <w:p>
      <w:pPr>
        <w:spacing w:before="156" w:beforeLines="50" w:after="156" w:afterLines="50"/>
        <w:ind w:firstLine="0" w:firstLineChars="0"/>
        <w:outlineLvl w:val="1"/>
        <w:rPr>
          <w:rFonts w:ascii="Times New Roman" w:hAnsi="Times New Roman"/>
          <w:b/>
          <w:sz w:val="30"/>
          <w:szCs w:val="30"/>
        </w:rPr>
      </w:pPr>
      <w:bookmarkStart w:id="348" w:name="_Toc478472481"/>
      <w:bookmarkStart w:id="349" w:name="_Toc396904051"/>
      <w:bookmarkStart w:id="350" w:name="_Toc524624689"/>
      <w:r>
        <w:rPr>
          <w:rFonts w:hint="eastAsia" w:ascii="Times New Roman" w:hAnsi="Times New Roman"/>
          <w:b/>
          <w:sz w:val="30"/>
          <w:szCs w:val="30"/>
        </w:rPr>
        <w:t xml:space="preserve">10.7 </w:t>
      </w:r>
      <w:r>
        <w:rPr>
          <w:rFonts w:ascii="Times New Roman" w:hAnsi="Times New Roman"/>
          <w:b/>
          <w:sz w:val="30"/>
          <w:szCs w:val="30"/>
        </w:rPr>
        <w:t>建议</w:t>
      </w:r>
      <w:bookmarkEnd w:id="347"/>
      <w:bookmarkEnd w:id="348"/>
      <w:bookmarkEnd w:id="349"/>
      <w:bookmarkEnd w:id="350"/>
    </w:p>
    <w:p>
      <w:pPr>
        <w:snapToGrid w:val="0"/>
        <w:ind w:firstLine="480"/>
        <w:rPr>
          <w:rFonts w:ascii="Times New Roman" w:hAnsi="Times New Roman"/>
          <w:snapToGrid w:val="0"/>
          <w:kern w:val="0"/>
          <w:szCs w:val="24"/>
        </w:rPr>
      </w:pPr>
      <w:r>
        <w:rPr>
          <w:rFonts w:hint="eastAsia" w:ascii="Times New Roman" w:hAnsi="Times New Roman"/>
          <w:snapToGrid w:val="0"/>
          <w:kern w:val="0"/>
          <w:szCs w:val="24"/>
        </w:rPr>
        <w:t>煤成气</w:t>
      </w:r>
      <w:r>
        <w:rPr>
          <w:rFonts w:ascii="Times New Roman" w:hAnsi="Times New Roman"/>
          <w:snapToGrid w:val="0"/>
          <w:kern w:val="0"/>
          <w:szCs w:val="24"/>
        </w:rPr>
        <w:t>开发时要加强管理，落实各项污染防治措施，尤其要注意加强</w:t>
      </w:r>
      <w:r>
        <w:rPr>
          <w:rFonts w:hint="eastAsia" w:ascii="Times New Roman" w:hAnsi="Times New Roman"/>
          <w:snapToGrid w:val="0"/>
          <w:kern w:val="0"/>
          <w:szCs w:val="24"/>
        </w:rPr>
        <w:t>煤成气</w:t>
      </w:r>
      <w:r>
        <w:rPr>
          <w:rFonts w:ascii="Times New Roman" w:hAnsi="Times New Roman"/>
          <w:snapToGrid w:val="0"/>
          <w:kern w:val="0"/>
          <w:szCs w:val="24"/>
        </w:rPr>
        <w:t>开发初期的生态环境保护。</w:t>
      </w:r>
    </w:p>
    <w:p>
      <w:pPr>
        <w:snapToGrid w:val="0"/>
        <w:ind w:firstLine="480"/>
        <w:rPr>
          <w:rFonts w:ascii="Times New Roman" w:hAnsi="Times New Roman"/>
          <w:snapToGrid w:val="0"/>
          <w:kern w:val="0"/>
          <w:szCs w:val="24"/>
        </w:rPr>
      </w:pPr>
      <w:r>
        <w:rPr>
          <w:rFonts w:ascii="Times New Roman" w:hAnsi="Times New Roman"/>
          <w:snapToGrid w:val="0"/>
          <w:kern w:val="0"/>
          <w:szCs w:val="24"/>
        </w:rPr>
        <w:t>（1）项目建设过程中，严格执行“三同时”制度，将本报告书所提出的保护及治理措施落实到实处。</w:t>
      </w:r>
    </w:p>
    <w:p>
      <w:pPr>
        <w:snapToGrid w:val="0"/>
        <w:ind w:firstLine="480"/>
        <w:rPr>
          <w:rFonts w:ascii="Times New Roman" w:hAnsi="Times New Roman"/>
          <w:snapToGrid w:val="0"/>
          <w:kern w:val="0"/>
          <w:szCs w:val="24"/>
        </w:rPr>
      </w:pPr>
      <w:r>
        <w:rPr>
          <w:rFonts w:ascii="Times New Roman" w:hAnsi="Times New Roman"/>
          <w:snapToGrid w:val="0"/>
          <w:kern w:val="0"/>
          <w:szCs w:val="24"/>
        </w:rPr>
        <w:t>（2）根据区域开发计划，应编制生态保护与建设规划，加强水土流失防治措施。</w:t>
      </w:r>
    </w:p>
    <w:p>
      <w:pPr>
        <w:ind w:firstLine="480"/>
        <w:rPr>
          <w:rFonts w:ascii="Times New Roman" w:hAnsi="Times New Roman"/>
          <w:snapToGrid w:val="0"/>
          <w:kern w:val="0"/>
          <w:szCs w:val="24"/>
        </w:rPr>
      </w:pPr>
      <w:r>
        <w:rPr>
          <w:rFonts w:ascii="Times New Roman" w:hAnsi="Times New Roman"/>
          <w:snapToGrid w:val="0"/>
          <w:kern w:val="0"/>
          <w:szCs w:val="24"/>
        </w:rPr>
        <w:t>（3）煤成气开采过程中，要高度重视环境保护工作，从源头上控制污染，大力推行清洁生产，发展循环经济。</w:t>
      </w:r>
    </w:p>
    <w:p>
      <w:pPr>
        <w:ind w:firstLine="480"/>
      </w:pPr>
      <w:r>
        <w:rPr>
          <w:rFonts w:hint="eastAsia" w:ascii="Times New Roman" w:hAnsi="Times New Roman"/>
          <w:snapToGrid w:val="0"/>
          <w:kern w:val="0"/>
          <w:szCs w:val="24"/>
        </w:rPr>
        <w:t>（4）</w:t>
      </w:r>
      <w:r>
        <w:rPr>
          <w:rFonts w:hint="eastAsia"/>
        </w:rPr>
        <w:t>对于生活污水处理站、净化污水处理站的防渗，建议按照重点防渗的等级建设。进一步从源头加以控制。</w:t>
      </w:r>
    </w:p>
    <w:p>
      <w:pPr>
        <w:widowControl/>
        <w:spacing w:line="240" w:lineRule="atLeast"/>
        <w:ind w:firstLine="480"/>
      </w:pPr>
      <w:r>
        <w:drawing>
          <wp:anchor distT="0" distB="0" distL="114300" distR="114300" simplePos="0" relativeHeight="251696128" behindDoc="0" locked="0" layoutInCell="1" allowOverlap="1">
            <wp:simplePos x="0" y="0"/>
            <wp:positionH relativeFrom="page">
              <wp:align>left</wp:align>
            </wp:positionH>
            <wp:positionV relativeFrom="paragraph">
              <wp:posOffset>-914400</wp:posOffset>
            </wp:positionV>
            <wp:extent cx="7533005" cy="10648950"/>
            <wp:effectExtent l="0" t="0" r="0" b="0"/>
            <wp:wrapNone/>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7538293" cy="10656273"/>
                    </a:xfrm>
                    <a:prstGeom prst="rect">
                      <a:avLst/>
                    </a:prstGeom>
                  </pic:spPr>
                </pic:pic>
              </a:graphicData>
            </a:graphic>
          </wp:anchor>
        </w:drawing>
      </w:r>
      <w: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697152" behindDoc="0" locked="0" layoutInCell="1" allowOverlap="1">
            <wp:simplePos x="0" y="0"/>
            <wp:positionH relativeFrom="page">
              <wp:align>left</wp:align>
            </wp:positionH>
            <wp:positionV relativeFrom="paragraph">
              <wp:posOffset>669925</wp:posOffset>
            </wp:positionV>
            <wp:extent cx="10584815" cy="7480935"/>
            <wp:effectExtent l="8572" t="0" r="0" b="0"/>
            <wp:wrapNone/>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0" y="0"/>
                      <a:ext cx="10584500" cy="7481224"/>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698176" behindDoc="0" locked="0" layoutInCell="1" allowOverlap="1">
            <wp:simplePos x="0" y="0"/>
            <wp:positionH relativeFrom="page">
              <wp:align>left</wp:align>
            </wp:positionH>
            <wp:positionV relativeFrom="paragraph">
              <wp:posOffset>649605</wp:posOffset>
            </wp:positionV>
            <wp:extent cx="10622915" cy="7508240"/>
            <wp:effectExtent l="0" t="4763" r="2858" b="2857"/>
            <wp:wrapNone/>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rot="16200000">
                      <a:off x="0" y="0"/>
                      <a:ext cx="10622600" cy="7508154"/>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699200" behindDoc="0" locked="0" layoutInCell="1" allowOverlap="1">
            <wp:simplePos x="0" y="0"/>
            <wp:positionH relativeFrom="column">
              <wp:posOffset>-2647315</wp:posOffset>
            </wp:positionH>
            <wp:positionV relativeFrom="paragraph">
              <wp:posOffset>668020</wp:posOffset>
            </wp:positionV>
            <wp:extent cx="10572115" cy="7472045"/>
            <wp:effectExtent l="6667" t="0" r="7938" b="7937"/>
            <wp:wrapNone/>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10579677" cy="7477816"/>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0224" behindDoc="0" locked="0" layoutInCell="1" allowOverlap="1">
            <wp:simplePos x="0" y="0"/>
            <wp:positionH relativeFrom="column">
              <wp:posOffset>-2647315</wp:posOffset>
            </wp:positionH>
            <wp:positionV relativeFrom="paragraph">
              <wp:posOffset>642620</wp:posOffset>
            </wp:positionV>
            <wp:extent cx="10575290" cy="7474585"/>
            <wp:effectExtent l="7302" t="0" r="4763" b="4762"/>
            <wp:wrapNone/>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10579628" cy="7477781"/>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1248" behindDoc="0" locked="0" layoutInCell="1" allowOverlap="1">
            <wp:simplePos x="0" y="0"/>
            <wp:positionH relativeFrom="page">
              <wp:posOffset>-1547495</wp:posOffset>
            </wp:positionH>
            <wp:positionV relativeFrom="paragraph">
              <wp:posOffset>735330</wp:posOffset>
            </wp:positionV>
            <wp:extent cx="10650220" cy="7432040"/>
            <wp:effectExtent l="8573" t="0" r="7937" b="7938"/>
            <wp:wrapNone/>
            <wp:docPr id="222" name="图片 222" descr="E:\环评\项目\2018年\临兴先导试验项目5.3\报告\临兴先导试验项目扩建工程环评报告书电子版\3、附件\附件3 临兴区块勘探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E:\环评\项目\2018年\临兴先导试验项目5.3\报告\临兴先导试验项目扩建工程环评报告书电子版\3、附件\附件3 临兴区块勘探证.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rot="16200000">
                      <a:off x="0" y="0"/>
                      <a:ext cx="10650167" cy="7432314"/>
                    </a:xfrm>
                    <a:prstGeom prst="rect">
                      <a:avLst/>
                    </a:prstGeom>
                    <a:noFill/>
                    <a:ln>
                      <a:noFill/>
                    </a:ln>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2272" behindDoc="0" locked="0" layoutInCell="1" allowOverlap="1">
            <wp:simplePos x="0" y="0"/>
            <wp:positionH relativeFrom="column">
              <wp:posOffset>-1115695</wp:posOffset>
            </wp:positionH>
            <wp:positionV relativeFrom="paragraph">
              <wp:posOffset>-889000</wp:posOffset>
            </wp:positionV>
            <wp:extent cx="7483475" cy="10579100"/>
            <wp:effectExtent l="0" t="0" r="3175" b="0"/>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488119" cy="10585347"/>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3296" behindDoc="0" locked="0" layoutInCell="1" allowOverlap="1">
            <wp:simplePos x="0" y="0"/>
            <wp:positionH relativeFrom="page">
              <wp:align>left</wp:align>
            </wp:positionH>
            <wp:positionV relativeFrom="paragraph">
              <wp:posOffset>-914400</wp:posOffset>
            </wp:positionV>
            <wp:extent cx="7528560" cy="10642600"/>
            <wp:effectExtent l="0" t="0" r="0" b="635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35624" cy="10652500"/>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4320" behindDoc="0" locked="0" layoutInCell="1" allowOverlap="1">
            <wp:simplePos x="0" y="0"/>
            <wp:positionH relativeFrom="column">
              <wp:posOffset>-1090295</wp:posOffset>
            </wp:positionH>
            <wp:positionV relativeFrom="paragraph">
              <wp:posOffset>-863600</wp:posOffset>
            </wp:positionV>
            <wp:extent cx="7440295" cy="10528300"/>
            <wp:effectExtent l="0" t="0" r="8890" b="6350"/>
            <wp:wrapNone/>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444979" cy="10535111"/>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5344" behindDoc="0" locked="0" layoutInCell="1" allowOverlap="1">
            <wp:simplePos x="0" y="0"/>
            <wp:positionH relativeFrom="page">
              <wp:align>right</wp:align>
            </wp:positionH>
            <wp:positionV relativeFrom="paragraph">
              <wp:posOffset>-914400</wp:posOffset>
            </wp:positionV>
            <wp:extent cx="7512050" cy="10629900"/>
            <wp:effectExtent l="0" t="0" r="0" b="0"/>
            <wp:wrapNone/>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511965" cy="10629900"/>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6368" behindDoc="0" locked="0" layoutInCell="1" allowOverlap="1">
            <wp:simplePos x="0" y="0"/>
            <wp:positionH relativeFrom="page">
              <wp:align>right</wp:align>
            </wp:positionH>
            <wp:positionV relativeFrom="paragraph">
              <wp:posOffset>-914400</wp:posOffset>
            </wp:positionV>
            <wp:extent cx="7529830" cy="10655300"/>
            <wp:effectExtent l="0" t="0" r="0" b="0"/>
            <wp:wrapNone/>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529914" cy="10655300"/>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7392" behindDoc="0" locked="0" layoutInCell="1" allowOverlap="1">
            <wp:simplePos x="0" y="0"/>
            <wp:positionH relativeFrom="column">
              <wp:posOffset>-1102995</wp:posOffset>
            </wp:positionH>
            <wp:positionV relativeFrom="paragraph">
              <wp:posOffset>-850900</wp:posOffset>
            </wp:positionV>
            <wp:extent cx="7494270" cy="10604500"/>
            <wp:effectExtent l="0" t="0" r="0" b="6350"/>
            <wp:wrapNone/>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498117" cy="10610305"/>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8416" behindDoc="0" locked="0" layoutInCell="1" allowOverlap="1">
            <wp:simplePos x="0" y="0"/>
            <wp:positionH relativeFrom="column">
              <wp:posOffset>-1102995</wp:posOffset>
            </wp:positionH>
            <wp:positionV relativeFrom="paragraph">
              <wp:posOffset>-876300</wp:posOffset>
            </wp:positionV>
            <wp:extent cx="7395210" cy="10464800"/>
            <wp:effectExtent l="0" t="0" r="0" b="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400417" cy="10472054"/>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09440" behindDoc="0" locked="0" layoutInCell="1" allowOverlap="1">
            <wp:simplePos x="0" y="0"/>
            <wp:positionH relativeFrom="column">
              <wp:posOffset>-1052195</wp:posOffset>
            </wp:positionH>
            <wp:positionV relativeFrom="paragraph">
              <wp:posOffset>-825500</wp:posOffset>
            </wp:positionV>
            <wp:extent cx="7431405" cy="10515600"/>
            <wp:effectExtent l="0" t="0" r="0" b="0"/>
            <wp:wrapNone/>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437631" cy="10524714"/>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0464" behindDoc="0" locked="0" layoutInCell="1" allowOverlap="1">
            <wp:simplePos x="0" y="0"/>
            <wp:positionH relativeFrom="column">
              <wp:posOffset>-1039495</wp:posOffset>
            </wp:positionH>
            <wp:positionV relativeFrom="paragraph">
              <wp:posOffset>-850900</wp:posOffset>
            </wp:positionV>
            <wp:extent cx="7431405" cy="10515600"/>
            <wp:effectExtent l="0" t="0" r="0" b="0"/>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435303" cy="10521419"/>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1488" behindDoc="0" locked="0" layoutInCell="1" allowOverlap="1">
            <wp:simplePos x="0" y="0"/>
            <wp:positionH relativeFrom="column">
              <wp:posOffset>-1102995</wp:posOffset>
            </wp:positionH>
            <wp:positionV relativeFrom="paragraph">
              <wp:posOffset>-889000</wp:posOffset>
            </wp:positionV>
            <wp:extent cx="7458075" cy="10553700"/>
            <wp:effectExtent l="0" t="0" r="9525" b="0"/>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463801" cy="10561746"/>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2512" behindDoc="0" locked="0" layoutInCell="1" allowOverlap="1">
            <wp:simplePos x="0" y="0"/>
            <wp:positionH relativeFrom="column">
              <wp:posOffset>-1090295</wp:posOffset>
            </wp:positionH>
            <wp:positionV relativeFrom="paragraph">
              <wp:posOffset>-825500</wp:posOffset>
            </wp:positionV>
            <wp:extent cx="7449185" cy="10541000"/>
            <wp:effectExtent l="0" t="0" r="0" b="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455601" cy="10550141"/>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3536" behindDoc="0" locked="0" layoutInCell="1" allowOverlap="1">
            <wp:simplePos x="0" y="0"/>
            <wp:positionH relativeFrom="column">
              <wp:posOffset>-1102995</wp:posOffset>
            </wp:positionH>
            <wp:positionV relativeFrom="paragraph">
              <wp:posOffset>-876300</wp:posOffset>
            </wp:positionV>
            <wp:extent cx="7494270" cy="10604500"/>
            <wp:effectExtent l="0" t="0" r="0" b="635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498860" cy="10611356"/>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4560" behindDoc="0" locked="0" layoutInCell="1" allowOverlap="1">
            <wp:simplePos x="0" y="0"/>
            <wp:positionH relativeFrom="column">
              <wp:posOffset>-1090295</wp:posOffset>
            </wp:positionH>
            <wp:positionV relativeFrom="paragraph">
              <wp:posOffset>-876300</wp:posOffset>
            </wp:positionV>
            <wp:extent cx="7442200" cy="10531475"/>
            <wp:effectExtent l="0" t="0" r="6350" b="3810"/>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447090" cy="10538098"/>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5584" behindDoc="0" locked="0" layoutInCell="1" allowOverlap="1">
            <wp:simplePos x="0" y="0"/>
            <wp:positionH relativeFrom="page">
              <wp:align>left</wp:align>
            </wp:positionH>
            <wp:positionV relativeFrom="paragraph">
              <wp:posOffset>-914400</wp:posOffset>
            </wp:positionV>
            <wp:extent cx="7512050" cy="10629900"/>
            <wp:effectExtent l="0" t="0" r="0" b="0"/>
            <wp:wrapNone/>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7516847" cy="10636809"/>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6608" behindDoc="0" locked="0" layoutInCell="1" allowOverlap="1">
            <wp:simplePos x="0" y="0"/>
            <wp:positionH relativeFrom="column">
              <wp:posOffset>-1115695</wp:posOffset>
            </wp:positionH>
            <wp:positionV relativeFrom="paragraph">
              <wp:posOffset>-838200</wp:posOffset>
            </wp:positionV>
            <wp:extent cx="7493000" cy="10603230"/>
            <wp:effectExtent l="0" t="0" r="0" b="8255"/>
            <wp:wrapNone/>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497363" cy="10609238"/>
                    </a:xfrm>
                    <a:prstGeom prst="rect">
                      <a:avLst/>
                    </a:prstGeom>
                  </pic:spPr>
                </pic:pic>
              </a:graphicData>
            </a:graphic>
          </wp:anchor>
        </w:drawing>
      </w:r>
      <w:r>
        <w:rPr>
          <w:rFonts w:ascii="Times New Roman" w:hAnsi="Times New Roman"/>
          <w:szCs w:val="24"/>
        </w:rPr>
        <w:br w:type="page"/>
      </w:r>
      <w:r>
        <w:rPr>
          <w:rFonts w:ascii="Times New Roman" w:hAnsi="Times New Roman"/>
          <w:szCs w:val="24"/>
        </w:rPr>
        <w:drawing>
          <wp:anchor distT="0" distB="0" distL="114300" distR="114300" simplePos="0" relativeHeight="251717632" behindDoc="0" locked="0" layoutInCell="1" allowOverlap="1">
            <wp:simplePos x="0" y="0"/>
            <wp:positionH relativeFrom="column">
              <wp:posOffset>-1090295</wp:posOffset>
            </wp:positionH>
            <wp:positionV relativeFrom="paragraph">
              <wp:posOffset>-850900</wp:posOffset>
            </wp:positionV>
            <wp:extent cx="7461250" cy="10553700"/>
            <wp:effectExtent l="0" t="0" r="6350" b="0"/>
            <wp:wrapNone/>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467547" cy="10562555"/>
                    </a:xfrm>
                    <a:prstGeom prst="rect">
                      <a:avLst/>
                    </a:prstGeom>
                  </pic:spPr>
                </pic:pic>
              </a:graphicData>
            </a:graphic>
          </wp:anchor>
        </w:drawing>
      </w:r>
      <w:r>
        <w:rPr>
          <w:rFonts w:ascii="Times New Roman" w:hAnsi="Times New Roman"/>
          <w:szCs w:val="24"/>
        </w:rPr>
        <w:br w:type="page"/>
      </w:r>
      <w:r>
        <w:rPr>
          <w:rFonts w:ascii="Times New Roman" w:hAnsi="Times New Roman"/>
          <w:szCs w:val="24"/>
        </w:rPr>
        <w:drawing>
          <wp:inline distT="0" distB="0" distL="0" distR="0">
            <wp:extent cx="6284595" cy="8890000"/>
            <wp:effectExtent l="0" t="0" r="1905" b="635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287707" cy="8893716"/>
                    </a:xfrm>
                    <a:prstGeom prst="rect">
                      <a:avLst/>
                    </a:prstGeom>
                  </pic:spPr>
                </pic:pic>
              </a:graphicData>
            </a:graphic>
          </wp:inline>
        </w:drawing>
      </w:r>
      <w:r>
        <w:rPr>
          <w:rFonts w:ascii="Times New Roman" w:hAnsi="Times New Roman"/>
          <w:szCs w:val="24"/>
        </w:rPr>
        <w:drawing>
          <wp:inline distT="0" distB="0" distL="0" distR="0">
            <wp:extent cx="6347460" cy="89789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350226" cy="8982148"/>
                    </a:xfrm>
                    <a:prstGeom prst="rect">
                      <a:avLst/>
                    </a:prstGeom>
                  </pic:spPr>
                </pic:pic>
              </a:graphicData>
            </a:graphic>
          </wp:inline>
        </w:drawing>
      </w:r>
      <w:r>
        <w:rPr>
          <w:rFonts w:ascii="Times New Roman" w:hAnsi="Times New Roman"/>
          <w:szCs w:val="24"/>
        </w:rPr>
        <w:drawing>
          <wp:inline distT="0" distB="0" distL="0" distR="0">
            <wp:extent cx="6329680" cy="89535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331547" cy="8955726"/>
                    </a:xfrm>
                    <a:prstGeom prst="rect">
                      <a:avLst/>
                    </a:prstGeom>
                  </pic:spPr>
                </pic:pic>
              </a:graphicData>
            </a:graphic>
          </wp:inline>
        </w:drawing>
      </w:r>
      <w:r>
        <w:rPr>
          <w:rFonts w:ascii="Times New Roman" w:hAnsi="Times New Roman"/>
          <w:szCs w:val="24"/>
        </w:rPr>
        <w:drawing>
          <wp:inline distT="0" distB="0" distL="0" distR="0">
            <wp:extent cx="6410325" cy="9067800"/>
            <wp:effectExtent l="0" t="0" r="952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411727" cy="9069138"/>
                    </a:xfrm>
                    <a:prstGeom prst="rect">
                      <a:avLst/>
                    </a:prstGeom>
                  </pic:spPr>
                </pic:pic>
              </a:graphicData>
            </a:graphic>
          </wp:inline>
        </w:drawing>
      </w:r>
      <w:r>
        <w:rPr>
          <w:rFonts w:ascii="Times New Roman" w:hAnsi="Times New Roman"/>
          <w:szCs w:val="24"/>
        </w:rPr>
        <w:drawing>
          <wp:inline distT="0" distB="0" distL="0" distR="0">
            <wp:extent cx="6356350" cy="8991600"/>
            <wp:effectExtent l="0" t="0" r="635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362587" cy="8999632"/>
                    </a:xfrm>
                    <a:prstGeom prst="rect">
                      <a:avLst/>
                    </a:prstGeom>
                  </pic:spPr>
                </pic:pic>
              </a:graphicData>
            </a:graphic>
          </wp:inline>
        </w:drawing>
      </w:r>
      <w:r>
        <w:rPr>
          <w:rFonts w:ascii="Times New Roman" w:hAnsi="Times New Roman"/>
          <w:szCs w:val="24"/>
        </w:rPr>
        <w:drawing>
          <wp:inline distT="0" distB="0" distL="0" distR="0">
            <wp:extent cx="6356350" cy="8991600"/>
            <wp:effectExtent l="0" t="0" r="635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359567" cy="8995360"/>
                    </a:xfrm>
                    <a:prstGeom prst="rect">
                      <a:avLst/>
                    </a:prstGeom>
                  </pic:spPr>
                </pic:pic>
              </a:graphicData>
            </a:graphic>
          </wp:inline>
        </w:drawing>
      </w:r>
      <w:r>
        <w:rPr>
          <w:rFonts w:ascii="Times New Roman" w:hAnsi="Times New Roman"/>
          <w:szCs w:val="24"/>
        </w:rPr>
        <w:drawing>
          <wp:inline distT="0" distB="0" distL="0" distR="0">
            <wp:extent cx="6428105" cy="90932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431740" cy="9097447"/>
                    </a:xfrm>
                    <a:prstGeom prst="rect">
                      <a:avLst/>
                    </a:prstGeom>
                  </pic:spPr>
                </pic:pic>
              </a:graphicData>
            </a:graphic>
          </wp:inline>
        </w:drawing>
      </w:r>
      <w:r>
        <w:rPr>
          <w:rFonts w:ascii="Times New Roman" w:hAnsi="Times New Roman"/>
          <w:szCs w:val="24"/>
        </w:rPr>
        <w:drawing>
          <wp:inline distT="0" distB="0" distL="0" distR="0">
            <wp:extent cx="6383655" cy="90297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386443" cy="9033375"/>
                    </a:xfrm>
                    <a:prstGeom prst="rect">
                      <a:avLst/>
                    </a:prstGeom>
                  </pic:spPr>
                </pic:pic>
              </a:graphicData>
            </a:graphic>
          </wp:inline>
        </w:drawing>
      </w:r>
      <w:r>
        <w:rPr>
          <w:rFonts w:ascii="Times New Roman" w:hAnsi="Times New Roman"/>
          <w:szCs w:val="24"/>
        </w:rPr>
        <w:drawing>
          <wp:inline distT="0" distB="0" distL="0" distR="0">
            <wp:extent cx="6338570" cy="8966200"/>
            <wp:effectExtent l="0" t="0" r="5080" b="635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340601" cy="8968533"/>
                    </a:xfrm>
                    <a:prstGeom prst="rect">
                      <a:avLst/>
                    </a:prstGeom>
                  </pic:spPr>
                </pic:pic>
              </a:graphicData>
            </a:graphic>
          </wp:inline>
        </w:drawing>
      </w:r>
      <w:r>
        <w:rPr>
          <w:rFonts w:ascii="Times New Roman" w:hAnsi="Times New Roman"/>
          <w:szCs w:val="24"/>
        </w:rPr>
        <w:drawing>
          <wp:inline distT="0" distB="0" distL="0" distR="0">
            <wp:extent cx="6527165" cy="9232900"/>
            <wp:effectExtent l="0" t="0" r="6985" b="635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528679" cy="9234562"/>
                    </a:xfrm>
                    <a:prstGeom prst="rect">
                      <a:avLst/>
                    </a:prstGeom>
                  </pic:spPr>
                </pic:pic>
              </a:graphicData>
            </a:graphic>
          </wp:inline>
        </w:drawing>
      </w:r>
      <w:r>
        <w:rPr>
          <w:rFonts w:ascii="Times New Roman" w:hAnsi="Times New Roman"/>
          <w:szCs w:val="24"/>
        </w:rPr>
        <w:drawing>
          <wp:inline distT="0" distB="0" distL="0" distR="0">
            <wp:extent cx="6410325" cy="9067800"/>
            <wp:effectExtent l="0" t="0" r="9525"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412709" cy="9070527"/>
                    </a:xfrm>
                    <a:prstGeom prst="rect">
                      <a:avLst/>
                    </a:prstGeom>
                  </pic:spPr>
                </pic:pic>
              </a:graphicData>
            </a:graphic>
          </wp:inline>
        </w:drawing>
      </w:r>
      <w:r>
        <w:rPr>
          <w:rFonts w:ascii="Times New Roman" w:hAnsi="Times New Roman"/>
          <w:szCs w:val="24"/>
        </w:rPr>
        <w:drawing>
          <wp:inline distT="0" distB="0" distL="0" distR="0">
            <wp:extent cx="6374765" cy="9017000"/>
            <wp:effectExtent l="0" t="0" r="6985"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378010" cy="9021447"/>
                    </a:xfrm>
                    <a:prstGeom prst="rect">
                      <a:avLst/>
                    </a:prstGeom>
                  </pic:spPr>
                </pic:pic>
              </a:graphicData>
            </a:graphic>
          </wp:inline>
        </w:drawing>
      </w:r>
      <w:r>
        <w:rPr>
          <w:rFonts w:ascii="Times New Roman" w:hAnsi="Times New Roman"/>
          <w:szCs w:val="24"/>
        </w:rPr>
        <w:drawing>
          <wp:inline distT="0" distB="0" distL="0" distR="0">
            <wp:extent cx="6329680" cy="89535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331560" cy="8955745"/>
                    </a:xfrm>
                    <a:prstGeom prst="rect">
                      <a:avLst/>
                    </a:prstGeom>
                  </pic:spPr>
                </pic:pic>
              </a:graphicData>
            </a:graphic>
          </wp:inline>
        </w:drawing>
      </w:r>
      <w:r>
        <w:rPr>
          <w:rFonts w:ascii="Times New Roman" w:hAnsi="Times New Roman"/>
          <w:szCs w:val="24"/>
        </w:rPr>
        <w:drawing>
          <wp:inline distT="0" distB="0" distL="0" distR="0">
            <wp:extent cx="6320790" cy="8940800"/>
            <wp:effectExtent l="0" t="0" r="381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322260" cy="8942591"/>
                    </a:xfrm>
                    <a:prstGeom prst="rect">
                      <a:avLst/>
                    </a:prstGeom>
                  </pic:spPr>
                </pic:pic>
              </a:graphicData>
            </a:graphic>
          </wp:inline>
        </w:drawing>
      </w:r>
      <w:r>
        <w:rPr>
          <w:rFonts w:ascii="Times New Roman" w:hAnsi="Times New Roman"/>
          <w:szCs w:val="24"/>
        </w:rPr>
        <w:drawing>
          <wp:inline distT="0" distB="0" distL="0" distR="0">
            <wp:extent cx="6401435" cy="90551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405841" cy="9060813"/>
                    </a:xfrm>
                    <a:prstGeom prst="rect">
                      <a:avLst/>
                    </a:prstGeom>
                  </pic:spPr>
                </pic:pic>
              </a:graphicData>
            </a:graphic>
          </wp:inline>
        </w:drawing>
      </w:r>
      <w:r>
        <w:rPr>
          <w:rFonts w:ascii="Times New Roman" w:hAnsi="Times New Roman"/>
          <w:szCs w:val="24"/>
        </w:rPr>
        <w:drawing>
          <wp:inline distT="0" distB="0" distL="0" distR="0">
            <wp:extent cx="6626225" cy="9372600"/>
            <wp:effectExtent l="0" t="0" r="3175"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627826" cy="9374801"/>
                    </a:xfrm>
                    <a:prstGeom prst="rect">
                      <a:avLst/>
                    </a:prstGeom>
                  </pic:spPr>
                </pic:pic>
              </a:graphicData>
            </a:graphic>
          </wp:inline>
        </w:drawing>
      </w:r>
      <w:r>
        <w:rPr>
          <w:rFonts w:ascii="Times New Roman" w:hAnsi="Times New Roman"/>
          <w:szCs w:val="24"/>
        </w:rPr>
        <w:drawing>
          <wp:inline distT="0" distB="0" distL="0" distR="0">
            <wp:extent cx="6490970" cy="9182100"/>
            <wp:effectExtent l="0" t="0" r="508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495322" cy="9187381"/>
                    </a:xfrm>
                    <a:prstGeom prst="rect">
                      <a:avLst/>
                    </a:prstGeom>
                  </pic:spPr>
                </pic:pic>
              </a:graphicData>
            </a:graphic>
          </wp:inline>
        </w:drawing>
      </w:r>
      <w:r>
        <w:rPr>
          <w:rFonts w:ascii="Times New Roman" w:hAnsi="Times New Roman"/>
          <w:szCs w:val="24"/>
        </w:rPr>
        <w:drawing>
          <wp:inline distT="0" distB="0" distL="0" distR="0">
            <wp:extent cx="6392545" cy="9042400"/>
            <wp:effectExtent l="0" t="0" r="8255" b="635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395615" cy="9046348"/>
                    </a:xfrm>
                    <a:prstGeom prst="rect">
                      <a:avLst/>
                    </a:prstGeom>
                  </pic:spPr>
                </pic:pic>
              </a:graphicData>
            </a:graphic>
          </wp:inline>
        </w:drawing>
      </w:r>
      <w:r>
        <w:rPr>
          <w:rFonts w:ascii="Times New Roman" w:hAnsi="Times New Roman"/>
          <w:szCs w:val="24"/>
        </w:rPr>
        <w:drawing>
          <wp:inline distT="0" distB="0" distL="0" distR="0">
            <wp:extent cx="6410325" cy="9067800"/>
            <wp:effectExtent l="0" t="0" r="952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415221" cy="9074081"/>
                    </a:xfrm>
                    <a:prstGeom prst="rect">
                      <a:avLst/>
                    </a:prstGeom>
                  </pic:spPr>
                </pic:pic>
              </a:graphicData>
            </a:graphic>
          </wp:inline>
        </w:drawing>
      </w:r>
      <w:r>
        <w:rPr>
          <w:rFonts w:ascii="Times New Roman" w:hAnsi="Times New Roman"/>
          <w:szCs w:val="24"/>
        </w:rPr>
        <w:drawing>
          <wp:inline distT="0" distB="0" distL="0" distR="0">
            <wp:extent cx="6383655" cy="902970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385317" cy="9031782"/>
                    </a:xfrm>
                    <a:prstGeom prst="rect">
                      <a:avLst/>
                    </a:prstGeom>
                  </pic:spPr>
                </pic:pic>
              </a:graphicData>
            </a:graphic>
          </wp:inline>
        </w:drawing>
      </w:r>
      <w:r>
        <w:rPr>
          <w:rFonts w:ascii="Times New Roman" w:hAnsi="Times New Roman"/>
          <w:szCs w:val="24"/>
        </w:rPr>
        <w:drawing>
          <wp:inline distT="0" distB="0" distL="0" distR="0">
            <wp:extent cx="6374765" cy="9017000"/>
            <wp:effectExtent l="0" t="0" r="698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377629" cy="9020908"/>
                    </a:xfrm>
                    <a:prstGeom prst="rect">
                      <a:avLst/>
                    </a:prstGeom>
                  </pic:spPr>
                </pic:pic>
              </a:graphicData>
            </a:graphic>
          </wp:inline>
        </w:drawing>
      </w:r>
      <w:r>
        <w:rPr>
          <w:rFonts w:ascii="Times New Roman" w:hAnsi="Times New Roman"/>
          <w:szCs w:val="24"/>
        </w:rPr>
        <w:drawing>
          <wp:inline distT="0" distB="0" distL="0" distR="0">
            <wp:extent cx="6365875" cy="9004300"/>
            <wp:effectExtent l="0" t="0" r="0" b="635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370489" cy="9010808"/>
                    </a:xfrm>
                    <a:prstGeom prst="rect">
                      <a:avLst/>
                    </a:prstGeom>
                  </pic:spPr>
                </pic:pic>
              </a:graphicData>
            </a:graphic>
          </wp:inline>
        </w:drawing>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8656" behindDoc="0" locked="0" layoutInCell="1" allowOverlap="1">
            <wp:simplePos x="0" y="0"/>
            <wp:positionH relativeFrom="column">
              <wp:posOffset>-2456815</wp:posOffset>
            </wp:positionH>
            <wp:positionV relativeFrom="paragraph">
              <wp:posOffset>902335</wp:posOffset>
            </wp:positionV>
            <wp:extent cx="10467340" cy="6982460"/>
            <wp:effectExtent l="8890" t="0" r="635" b="635"/>
            <wp:wrapNone/>
            <wp:docPr id="261" name="图片 261" descr="E:\环评\项目\2018年\临兴先导试验项目5.3\报告\临兴先导试验项目扩建工程环评报告书电子版\3、附件\附件7 危废处置单位资质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E:\环评\项目\2018年\临兴先导试验项目5.3\报告\临兴先导试验项目扩建工程环评报告书电子版\3、附件\附件7 危废处置单位资质页.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rot="16200000">
                      <a:off x="0" y="0"/>
                      <a:ext cx="10467047" cy="6982165"/>
                    </a:xfrm>
                    <a:prstGeom prst="rect">
                      <a:avLst/>
                    </a:prstGeom>
                    <a:noFill/>
                    <a:ln>
                      <a:noFill/>
                    </a:ln>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19680" behindDoc="0" locked="0" layoutInCell="1" allowOverlap="1">
            <wp:simplePos x="0" y="0"/>
            <wp:positionH relativeFrom="column">
              <wp:posOffset>-1064895</wp:posOffset>
            </wp:positionH>
            <wp:positionV relativeFrom="paragraph">
              <wp:posOffset>-838200</wp:posOffset>
            </wp:positionV>
            <wp:extent cx="7454265" cy="10528300"/>
            <wp:effectExtent l="0" t="0" r="0" b="6350"/>
            <wp:wrapNone/>
            <wp:docPr id="262" name="图片 262" descr="E:\环评\项目\2018年\临兴先导试验项目5.3\报告\临兴先导试验项目扩建工程环评报告书电子版\3、附件\附件8 临兴先导试验区气样分析报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E:\环评\项目\2018年\临兴先导试验项目5.3\报告\临兴先导试验项目扩建工程环评报告书电子版\3、附件\附件8 临兴先导试验区气样分析报告.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7458962" cy="10534694"/>
                    </a:xfrm>
                    <a:prstGeom prst="rect">
                      <a:avLst/>
                    </a:prstGeom>
                    <a:noFill/>
                    <a:ln>
                      <a:noFill/>
                    </a:ln>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0704" behindDoc="0" locked="0" layoutInCell="1" allowOverlap="1">
            <wp:simplePos x="0" y="0"/>
            <wp:positionH relativeFrom="column">
              <wp:posOffset>-2425700</wp:posOffset>
            </wp:positionH>
            <wp:positionV relativeFrom="paragraph">
              <wp:posOffset>776605</wp:posOffset>
            </wp:positionV>
            <wp:extent cx="10278745" cy="7268845"/>
            <wp:effectExtent l="318" t="0" r="8572" b="8573"/>
            <wp:wrapNone/>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rot="16200000">
                      <a:off x="0" y="0"/>
                      <a:ext cx="10287314" cy="7274884"/>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1728" behindDoc="0" locked="0" layoutInCell="1" allowOverlap="1">
            <wp:simplePos x="0" y="0"/>
            <wp:positionH relativeFrom="column">
              <wp:posOffset>-2596515</wp:posOffset>
            </wp:positionH>
            <wp:positionV relativeFrom="paragraph">
              <wp:posOffset>731520</wp:posOffset>
            </wp:positionV>
            <wp:extent cx="10494645" cy="7421245"/>
            <wp:effectExtent l="0" t="6350" r="0" b="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rot="16200000">
                      <a:off x="0" y="0"/>
                      <a:ext cx="10506928" cy="7430188"/>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2752" behindDoc="0" locked="0" layoutInCell="1" allowOverlap="1">
            <wp:simplePos x="0" y="0"/>
            <wp:positionH relativeFrom="column">
              <wp:posOffset>-2620010</wp:posOffset>
            </wp:positionH>
            <wp:positionV relativeFrom="paragraph">
              <wp:posOffset>480695</wp:posOffset>
            </wp:positionV>
            <wp:extent cx="10481945" cy="7412355"/>
            <wp:effectExtent l="0" t="8255" r="6350" b="6350"/>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rot="16200000">
                      <a:off x="0" y="0"/>
                      <a:ext cx="10485059" cy="7414723"/>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3776" behindDoc="0" locked="0" layoutInCell="1" allowOverlap="1">
            <wp:simplePos x="0" y="0"/>
            <wp:positionH relativeFrom="column">
              <wp:posOffset>-2584450</wp:posOffset>
            </wp:positionH>
            <wp:positionV relativeFrom="paragraph">
              <wp:posOffset>521335</wp:posOffset>
            </wp:positionV>
            <wp:extent cx="10434955" cy="7379335"/>
            <wp:effectExtent l="3810" t="0" r="8890" b="8890"/>
            <wp:wrapNone/>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rot="16200000">
                      <a:off x="0" y="0"/>
                      <a:ext cx="10440863" cy="7383468"/>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4800" behindDoc="0" locked="0" layoutInCell="1" allowOverlap="1">
            <wp:simplePos x="0" y="0"/>
            <wp:positionH relativeFrom="column">
              <wp:posOffset>-2589530</wp:posOffset>
            </wp:positionH>
            <wp:positionV relativeFrom="paragraph">
              <wp:posOffset>526415</wp:posOffset>
            </wp:positionV>
            <wp:extent cx="10443845" cy="7385685"/>
            <wp:effectExtent l="5398" t="0" r="952" b="953"/>
            <wp:wrapNone/>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rot="16200000">
                      <a:off x="0" y="0"/>
                      <a:ext cx="10449877" cy="7389843"/>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5824" behindDoc="0" locked="0" layoutInCell="1" allowOverlap="1">
            <wp:simplePos x="0" y="0"/>
            <wp:positionH relativeFrom="column">
              <wp:posOffset>-2551430</wp:posOffset>
            </wp:positionH>
            <wp:positionV relativeFrom="paragraph">
              <wp:posOffset>513715</wp:posOffset>
            </wp:positionV>
            <wp:extent cx="10443845" cy="7385685"/>
            <wp:effectExtent l="5398" t="0" r="952" b="953"/>
            <wp:wrapNone/>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rot="16200000">
                      <a:off x="0" y="0"/>
                      <a:ext cx="10450106" cy="7390005"/>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6848" behindDoc="0" locked="0" layoutInCell="1" allowOverlap="1">
            <wp:simplePos x="0" y="0"/>
            <wp:positionH relativeFrom="column">
              <wp:posOffset>-2669540</wp:posOffset>
            </wp:positionH>
            <wp:positionV relativeFrom="paragraph">
              <wp:posOffset>454025</wp:posOffset>
            </wp:positionV>
            <wp:extent cx="10558145" cy="7466330"/>
            <wp:effectExtent l="2858" t="0" r="0" b="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rot="16200000">
                      <a:off x="0" y="0"/>
                      <a:ext cx="10560792" cy="7468279"/>
                    </a:xfrm>
                    <a:prstGeom prst="rect">
                      <a:avLst/>
                    </a:prstGeom>
                  </pic:spPr>
                </pic:pic>
              </a:graphicData>
            </a:graphic>
          </wp:anchor>
        </w:drawing>
      </w:r>
    </w:p>
    <w:p>
      <w:pPr>
        <w:widowControl/>
        <w:spacing w:line="240" w:lineRule="atLeast"/>
        <w:ind w:firstLine="480"/>
        <w:rPr>
          <w:rFonts w:ascii="Times New Roman" w:hAnsi="Times New Roman"/>
          <w:szCs w:val="24"/>
        </w:rPr>
      </w:pP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7872" behindDoc="0" locked="0" layoutInCell="1" allowOverlap="1">
            <wp:simplePos x="0" y="0"/>
            <wp:positionH relativeFrom="page">
              <wp:align>left</wp:align>
            </wp:positionH>
            <wp:positionV relativeFrom="paragraph">
              <wp:posOffset>667385</wp:posOffset>
            </wp:positionV>
            <wp:extent cx="10431145" cy="7376795"/>
            <wp:effectExtent l="3493" t="0" r="0" b="0"/>
            <wp:wrapNone/>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rot="16200000">
                      <a:off x="0" y="0"/>
                      <a:ext cx="10431145" cy="7376597"/>
                    </a:xfrm>
                    <a:prstGeom prst="rect">
                      <a:avLst/>
                    </a:prstGeom>
                  </pic:spPr>
                </pic:pic>
              </a:graphicData>
            </a:graphic>
          </wp:anchor>
        </w:drawing>
      </w:r>
      <w:r>
        <w:rPr>
          <w:rFonts w:ascii="Times New Roman" w:hAnsi="Times New Roman"/>
          <w:szCs w:val="24"/>
        </w:rPr>
        <w:br w:type="page"/>
      </w:r>
    </w:p>
    <w:p>
      <w:pPr>
        <w:widowControl/>
        <w:spacing w:line="240" w:lineRule="atLeast"/>
        <w:ind w:firstLine="480"/>
        <w:rPr>
          <w:rFonts w:ascii="Times New Roman" w:hAnsi="Times New Roman"/>
          <w:szCs w:val="24"/>
        </w:rPr>
      </w:pPr>
      <w:r>
        <w:rPr>
          <w:rFonts w:ascii="Times New Roman" w:hAnsi="Times New Roman"/>
          <w:szCs w:val="24"/>
        </w:rPr>
        <w:drawing>
          <wp:anchor distT="0" distB="0" distL="114300" distR="114300" simplePos="0" relativeHeight="251728896" behindDoc="0" locked="0" layoutInCell="1" allowOverlap="1">
            <wp:simplePos x="0" y="0"/>
            <wp:positionH relativeFrom="column">
              <wp:posOffset>-2576195</wp:posOffset>
            </wp:positionH>
            <wp:positionV relativeFrom="paragraph">
              <wp:posOffset>723900</wp:posOffset>
            </wp:positionV>
            <wp:extent cx="10432415" cy="7372350"/>
            <wp:effectExtent l="6350" t="0" r="0" b="0"/>
            <wp:wrapNone/>
            <wp:docPr id="212" name="图片 212" descr="E:\环评\项目\2018年\临兴先导试验项目5.3\报告\报批稿\临兴先导试验项目扩建工程环评审批基础信息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E:\环评\项目\2018年\临兴先导试验项目5.3\报告\报批稿\临兴先导试验项目扩建工程环评审批基础信息表.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rot="16200000">
                      <a:off x="0" y="0"/>
                      <a:ext cx="10449503" cy="7384151"/>
                    </a:xfrm>
                    <a:prstGeom prst="rect">
                      <a:avLst/>
                    </a:prstGeom>
                    <a:noFill/>
                    <a:ln>
                      <a:noFill/>
                    </a:ln>
                  </pic:spPr>
                </pic:pic>
              </a:graphicData>
            </a:graphic>
          </wp:anchor>
        </w:drawing>
      </w:r>
    </w:p>
    <w:sectPr>
      <w:pgSz w:w="11906" w:h="16838"/>
      <w:pgMar w:top="1440" w:right="1797" w:bottom="1440" w:left="179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隶书">
    <w:panose1 w:val="0201050906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jc w:val="center"/>
    </w:pPr>
  </w:p>
  <w:p>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37300194"/>
      <w:docPartObj>
        <w:docPartGallery w:val="autotext"/>
      </w:docPartObj>
    </w:sdtPr>
    <w:sdtContent>
      <w:p>
        <w:pPr>
          <w:pStyle w:val="12"/>
          <w:ind w:firstLine="360"/>
          <w:jc w:val="center"/>
        </w:pPr>
        <w:r>
          <w:fldChar w:fldCharType="begin"/>
        </w:r>
        <w:r>
          <w:instrText xml:space="preserve">PAGE   \* MERGEFORMAT</w:instrText>
        </w:r>
        <w:r>
          <w:fldChar w:fldCharType="separate"/>
        </w:r>
        <w:r>
          <w:rPr>
            <w:lang w:val="zh-CN"/>
          </w:rPr>
          <w:t>70</w:t>
        </w:r>
        <w:r>
          <w:fldChar w:fldCharType="end"/>
        </w:r>
      </w:p>
    </w:sdtContent>
  </w:sdt>
  <w:p>
    <w:pPr>
      <w:pStyle w:val="12"/>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2673489"/>
      <w:docPartObj>
        <w:docPartGallery w:val="autotext"/>
      </w:docPartObj>
    </w:sdtPr>
    <w:sdtContent>
      <w:p>
        <w:pPr>
          <w:pStyle w:val="12"/>
          <w:ind w:firstLine="360"/>
          <w:jc w:val="center"/>
        </w:pPr>
        <w:r>
          <w:fldChar w:fldCharType="begin"/>
        </w:r>
        <w:r>
          <w:instrText xml:space="preserve">PAGE   \* MERGEFORMAT</w:instrText>
        </w:r>
        <w:r>
          <w:fldChar w:fldCharType="separate"/>
        </w:r>
        <w:r>
          <w:rPr>
            <w:lang w:val="zh-CN"/>
          </w:rPr>
          <w:t>215</w:t>
        </w:r>
        <w:r>
          <w:fldChar w:fldCharType="end"/>
        </w:r>
      </w:p>
    </w:sdtContent>
  </w:sdt>
  <w:p>
    <w:pPr>
      <w:pStyle w:val="1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7E453B"/>
    <w:multiLevelType w:val="multilevel"/>
    <w:tmpl w:val="027E453B"/>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30EF7B04"/>
    <w:multiLevelType w:val="multilevel"/>
    <w:tmpl w:val="30EF7B04"/>
    <w:lvl w:ilvl="0" w:tentative="0">
      <w:start w:val="1"/>
      <w:numFmt w:val="decimal"/>
      <w:pStyle w:val="2"/>
      <w:lvlText w:val="%1."/>
      <w:lvlJc w:val="left"/>
      <w:pPr>
        <w:ind w:left="0" w:firstLine="0"/>
      </w:pPr>
      <w:rPr>
        <w:rFonts w:hint="eastAsia"/>
        <w:sz w:val="36"/>
        <w:szCs w:val="36"/>
      </w:rPr>
    </w:lvl>
    <w:lvl w:ilvl="1" w:tentative="0">
      <w:start w:val="1"/>
      <w:numFmt w:val="decimal"/>
      <w:pStyle w:val="3"/>
      <w:lvlText w:val="%1.%2."/>
      <w:lvlJc w:val="left"/>
      <w:pPr>
        <w:tabs>
          <w:tab w:val="left" w:pos="567"/>
        </w:tabs>
        <w:ind w:left="567" w:hanging="567"/>
      </w:pPr>
      <w:rPr>
        <w:rFonts w:hint="eastAsia" w:eastAsia="宋体"/>
        <w:b/>
        <w:i w:val="0"/>
        <w:sz w:val="28"/>
        <w:szCs w:val="28"/>
      </w:rPr>
    </w:lvl>
    <w:lvl w:ilvl="2" w:tentative="0">
      <w:start w:val="1"/>
      <w:numFmt w:val="decimal"/>
      <w:pStyle w:val="4"/>
      <w:lvlText w:val="%1.%2.%3."/>
      <w:lvlJc w:val="left"/>
      <w:pPr>
        <w:tabs>
          <w:tab w:val="left" w:pos="1277"/>
        </w:tabs>
        <w:ind w:left="1277" w:hanging="709"/>
      </w:pPr>
      <w:rPr>
        <w:rFonts w:hint="eastAsia"/>
        <w:lang w:val="en-US"/>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493D"/>
    <w:rsid w:val="00000EDF"/>
    <w:rsid w:val="00001946"/>
    <w:rsid w:val="00002C25"/>
    <w:rsid w:val="000033EF"/>
    <w:rsid w:val="00003464"/>
    <w:rsid w:val="00003D9B"/>
    <w:rsid w:val="0000482B"/>
    <w:rsid w:val="000049C1"/>
    <w:rsid w:val="00005144"/>
    <w:rsid w:val="00005804"/>
    <w:rsid w:val="00005A0F"/>
    <w:rsid w:val="00005EC3"/>
    <w:rsid w:val="000062CB"/>
    <w:rsid w:val="00006D2F"/>
    <w:rsid w:val="000071B8"/>
    <w:rsid w:val="000071C0"/>
    <w:rsid w:val="0001010B"/>
    <w:rsid w:val="00010B86"/>
    <w:rsid w:val="00010BDD"/>
    <w:rsid w:val="00010E20"/>
    <w:rsid w:val="000129DA"/>
    <w:rsid w:val="000134A0"/>
    <w:rsid w:val="000135E2"/>
    <w:rsid w:val="00013B53"/>
    <w:rsid w:val="00014C16"/>
    <w:rsid w:val="000157D8"/>
    <w:rsid w:val="00015A65"/>
    <w:rsid w:val="00016531"/>
    <w:rsid w:val="000172AE"/>
    <w:rsid w:val="00017C08"/>
    <w:rsid w:val="00020614"/>
    <w:rsid w:val="00020A3A"/>
    <w:rsid w:val="00020CF0"/>
    <w:rsid w:val="00020D5F"/>
    <w:rsid w:val="00021D8D"/>
    <w:rsid w:val="0002222B"/>
    <w:rsid w:val="00023563"/>
    <w:rsid w:val="00023D35"/>
    <w:rsid w:val="0002538B"/>
    <w:rsid w:val="00025756"/>
    <w:rsid w:val="00027082"/>
    <w:rsid w:val="000271B1"/>
    <w:rsid w:val="000273E3"/>
    <w:rsid w:val="0003115B"/>
    <w:rsid w:val="00031A7E"/>
    <w:rsid w:val="0003206B"/>
    <w:rsid w:val="00032393"/>
    <w:rsid w:val="0003273B"/>
    <w:rsid w:val="00032DFA"/>
    <w:rsid w:val="000335A7"/>
    <w:rsid w:val="00033FDC"/>
    <w:rsid w:val="00034330"/>
    <w:rsid w:val="00034A66"/>
    <w:rsid w:val="00035130"/>
    <w:rsid w:val="0003536D"/>
    <w:rsid w:val="00036693"/>
    <w:rsid w:val="00037210"/>
    <w:rsid w:val="00040DBA"/>
    <w:rsid w:val="00041102"/>
    <w:rsid w:val="00042161"/>
    <w:rsid w:val="00042411"/>
    <w:rsid w:val="000444D4"/>
    <w:rsid w:val="000459BA"/>
    <w:rsid w:val="000469B7"/>
    <w:rsid w:val="000473A3"/>
    <w:rsid w:val="00047D28"/>
    <w:rsid w:val="0005195D"/>
    <w:rsid w:val="00051D4D"/>
    <w:rsid w:val="000524A7"/>
    <w:rsid w:val="000529C7"/>
    <w:rsid w:val="00052C1F"/>
    <w:rsid w:val="00052C84"/>
    <w:rsid w:val="000539CB"/>
    <w:rsid w:val="000539ED"/>
    <w:rsid w:val="00054987"/>
    <w:rsid w:val="000555B2"/>
    <w:rsid w:val="00055F4F"/>
    <w:rsid w:val="000566EE"/>
    <w:rsid w:val="0005697B"/>
    <w:rsid w:val="00056E2D"/>
    <w:rsid w:val="00057137"/>
    <w:rsid w:val="0005763B"/>
    <w:rsid w:val="00057B0B"/>
    <w:rsid w:val="0006034C"/>
    <w:rsid w:val="0006087E"/>
    <w:rsid w:val="00060B18"/>
    <w:rsid w:val="0006150D"/>
    <w:rsid w:val="00061634"/>
    <w:rsid w:val="000629B4"/>
    <w:rsid w:val="00063526"/>
    <w:rsid w:val="000638B7"/>
    <w:rsid w:val="000644AA"/>
    <w:rsid w:val="00064E17"/>
    <w:rsid w:val="0006522E"/>
    <w:rsid w:val="0006580D"/>
    <w:rsid w:val="00065842"/>
    <w:rsid w:val="0006613A"/>
    <w:rsid w:val="0006626B"/>
    <w:rsid w:val="00066515"/>
    <w:rsid w:val="00066868"/>
    <w:rsid w:val="00066AAB"/>
    <w:rsid w:val="00067A5E"/>
    <w:rsid w:val="00070CC5"/>
    <w:rsid w:val="00074681"/>
    <w:rsid w:val="000746B8"/>
    <w:rsid w:val="000761C5"/>
    <w:rsid w:val="0007667E"/>
    <w:rsid w:val="00076918"/>
    <w:rsid w:val="00077778"/>
    <w:rsid w:val="0007791C"/>
    <w:rsid w:val="0008075B"/>
    <w:rsid w:val="00080BA1"/>
    <w:rsid w:val="000815DE"/>
    <w:rsid w:val="00082064"/>
    <w:rsid w:val="00083C14"/>
    <w:rsid w:val="00083FB2"/>
    <w:rsid w:val="0008403F"/>
    <w:rsid w:val="000846D3"/>
    <w:rsid w:val="000858FF"/>
    <w:rsid w:val="00085B82"/>
    <w:rsid w:val="00085FF4"/>
    <w:rsid w:val="00086346"/>
    <w:rsid w:val="000870E9"/>
    <w:rsid w:val="000872DA"/>
    <w:rsid w:val="00090476"/>
    <w:rsid w:val="00090CB6"/>
    <w:rsid w:val="00091366"/>
    <w:rsid w:val="00091A49"/>
    <w:rsid w:val="0009221D"/>
    <w:rsid w:val="00092729"/>
    <w:rsid w:val="00092995"/>
    <w:rsid w:val="000935F0"/>
    <w:rsid w:val="000937CA"/>
    <w:rsid w:val="00094894"/>
    <w:rsid w:val="0009530D"/>
    <w:rsid w:val="00095F13"/>
    <w:rsid w:val="00096118"/>
    <w:rsid w:val="00096582"/>
    <w:rsid w:val="000968A8"/>
    <w:rsid w:val="00096C43"/>
    <w:rsid w:val="000A0188"/>
    <w:rsid w:val="000A0314"/>
    <w:rsid w:val="000A0EAD"/>
    <w:rsid w:val="000A10A5"/>
    <w:rsid w:val="000A1243"/>
    <w:rsid w:val="000A1485"/>
    <w:rsid w:val="000A24B0"/>
    <w:rsid w:val="000A3831"/>
    <w:rsid w:val="000A3838"/>
    <w:rsid w:val="000A4087"/>
    <w:rsid w:val="000A4E01"/>
    <w:rsid w:val="000A5373"/>
    <w:rsid w:val="000A53C0"/>
    <w:rsid w:val="000A5679"/>
    <w:rsid w:val="000A56BA"/>
    <w:rsid w:val="000A5899"/>
    <w:rsid w:val="000A5AC1"/>
    <w:rsid w:val="000A5C73"/>
    <w:rsid w:val="000A60E1"/>
    <w:rsid w:val="000A66B8"/>
    <w:rsid w:val="000A7B47"/>
    <w:rsid w:val="000B14A3"/>
    <w:rsid w:val="000B18AF"/>
    <w:rsid w:val="000B1A63"/>
    <w:rsid w:val="000B2E13"/>
    <w:rsid w:val="000B34C4"/>
    <w:rsid w:val="000B3A61"/>
    <w:rsid w:val="000B3B46"/>
    <w:rsid w:val="000B3CC1"/>
    <w:rsid w:val="000B6465"/>
    <w:rsid w:val="000B6DA5"/>
    <w:rsid w:val="000B6DC7"/>
    <w:rsid w:val="000B718D"/>
    <w:rsid w:val="000B76D9"/>
    <w:rsid w:val="000C095C"/>
    <w:rsid w:val="000C1D87"/>
    <w:rsid w:val="000C1FB7"/>
    <w:rsid w:val="000C469B"/>
    <w:rsid w:val="000C472B"/>
    <w:rsid w:val="000C4BA2"/>
    <w:rsid w:val="000C548A"/>
    <w:rsid w:val="000C5532"/>
    <w:rsid w:val="000C5BB7"/>
    <w:rsid w:val="000C5D6B"/>
    <w:rsid w:val="000C6286"/>
    <w:rsid w:val="000C6854"/>
    <w:rsid w:val="000C69E2"/>
    <w:rsid w:val="000C6E1F"/>
    <w:rsid w:val="000C7335"/>
    <w:rsid w:val="000C79A0"/>
    <w:rsid w:val="000C7D36"/>
    <w:rsid w:val="000D0246"/>
    <w:rsid w:val="000D06DF"/>
    <w:rsid w:val="000D1066"/>
    <w:rsid w:val="000D13CA"/>
    <w:rsid w:val="000D3975"/>
    <w:rsid w:val="000D3F4A"/>
    <w:rsid w:val="000D5172"/>
    <w:rsid w:val="000D53BE"/>
    <w:rsid w:val="000D54F3"/>
    <w:rsid w:val="000D5566"/>
    <w:rsid w:val="000D585E"/>
    <w:rsid w:val="000D58A8"/>
    <w:rsid w:val="000D5B20"/>
    <w:rsid w:val="000D64D6"/>
    <w:rsid w:val="000D6CA8"/>
    <w:rsid w:val="000D7402"/>
    <w:rsid w:val="000D7C44"/>
    <w:rsid w:val="000E036A"/>
    <w:rsid w:val="000E0CCB"/>
    <w:rsid w:val="000E1E28"/>
    <w:rsid w:val="000E33F4"/>
    <w:rsid w:val="000E3CE7"/>
    <w:rsid w:val="000E5DBC"/>
    <w:rsid w:val="000E6DB5"/>
    <w:rsid w:val="000E6E0E"/>
    <w:rsid w:val="000E70A9"/>
    <w:rsid w:val="000E7AC1"/>
    <w:rsid w:val="000F0C93"/>
    <w:rsid w:val="000F0DC4"/>
    <w:rsid w:val="000F15E5"/>
    <w:rsid w:val="000F1A59"/>
    <w:rsid w:val="000F210C"/>
    <w:rsid w:val="000F333A"/>
    <w:rsid w:val="000F3484"/>
    <w:rsid w:val="000F44C0"/>
    <w:rsid w:val="000F483D"/>
    <w:rsid w:val="000F4D0D"/>
    <w:rsid w:val="000F4D29"/>
    <w:rsid w:val="00100A16"/>
    <w:rsid w:val="001012D8"/>
    <w:rsid w:val="001014FE"/>
    <w:rsid w:val="0010230F"/>
    <w:rsid w:val="00102709"/>
    <w:rsid w:val="0010493D"/>
    <w:rsid w:val="0010606D"/>
    <w:rsid w:val="00106A48"/>
    <w:rsid w:val="0010782C"/>
    <w:rsid w:val="001101F1"/>
    <w:rsid w:val="001102EC"/>
    <w:rsid w:val="00111262"/>
    <w:rsid w:val="0011266D"/>
    <w:rsid w:val="00112EAA"/>
    <w:rsid w:val="00113E10"/>
    <w:rsid w:val="0011449D"/>
    <w:rsid w:val="0011493F"/>
    <w:rsid w:val="00115068"/>
    <w:rsid w:val="00115252"/>
    <w:rsid w:val="00116C13"/>
    <w:rsid w:val="001211C3"/>
    <w:rsid w:val="001249C2"/>
    <w:rsid w:val="00124A0A"/>
    <w:rsid w:val="001255A3"/>
    <w:rsid w:val="0012582E"/>
    <w:rsid w:val="00125E7B"/>
    <w:rsid w:val="00126362"/>
    <w:rsid w:val="001265C2"/>
    <w:rsid w:val="00126CEE"/>
    <w:rsid w:val="001271D7"/>
    <w:rsid w:val="001274F7"/>
    <w:rsid w:val="001276B7"/>
    <w:rsid w:val="00130CE4"/>
    <w:rsid w:val="00131794"/>
    <w:rsid w:val="00131D6C"/>
    <w:rsid w:val="00131DB5"/>
    <w:rsid w:val="00132479"/>
    <w:rsid w:val="001328E7"/>
    <w:rsid w:val="001329F0"/>
    <w:rsid w:val="00132D27"/>
    <w:rsid w:val="0013304B"/>
    <w:rsid w:val="001334A0"/>
    <w:rsid w:val="001349CD"/>
    <w:rsid w:val="00134E67"/>
    <w:rsid w:val="00134E8F"/>
    <w:rsid w:val="0013518D"/>
    <w:rsid w:val="00136183"/>
    <w:rsid w:val="001365F0"/>
    <w:rsid w:val="0013668A"/>
    <w:rsid w:val="00136AA9"/>
    <w:rsid w:val="00136C43"/>
    <w:rsid w:val="0013738D"/>
    <w:rsid w:val="00137FB6"/>
    <w:rsid w:val="00141793"/>
    <w:rsid w:val="00142434"/>
    <w:rsid w:val="00142DBF"/>
    <w:rsid w:val="00143399"/>
    <w:rsid w:val="00144016"/>
    <w:rsid w:val="00144ADC"/>
    <w:rsid w:val="0014517B"/>
    <w:rsid w:val="00145231"/>
    <w:rsid w:val="00146243"/>
    <w:rsid w:val="00146AEE"/>
    <w:rsid w:val="00146D30"/>
    <w:rsid w:val="00147BD3"/>
    <w:rsid w:val="001500D4"/>
    <w:rsid w:val="001507BA"/>
    <w:rsid w:val="00150C3D"/>
    <w:rsid w:val="00150E89"/>
    <w:rsid w:val="001519E1"/>
    <w:rsid w:val="00151DFB"/>
    <w:rsid w:val="001521F9"/>
    <w:rsid w:val="00152A56"/>
    <w:rsid w:val="00152B00"/>
    <w:rsid w:val="00152CBD"/>
    <w:rsid w:val="00154D7C"/>
    <w:rsid w:val="00155FDB"/>
    <w:rsid w:val="001562F1"/>
    <w:rsid w:val="001562F9"/>
    <w:rsid w:val="00156B28"/>
    <w:rsid w:val="00156FB8"/>
    <w:rsid w:val="00157444"/>
    <w:rsid w:val="00157547"/>
    <w:rsid w:val="001577DB"/>
    <w:rsid w:val="001616D6"/>
    <w:rsid w:val="001632F1"/>
    <w:rsid w:val="00163314"/>
    <w:rsid w:val="00164056"/>
    <w:rsid w:val="00164226"/>
    <w:rsid w:val="001646A1"/>
    <w:rsid w:val="001648F1"/>
    <w:rsid w:val="00164A9C"/>
    <w:rsid w:val="001662D8"/>
    <w:rsid w:val="00170FAA"/>
    <w:rsid w:val="001716FD"/>
    <w:rsid w:val="001720EC"/>
    <w:rsid w:val="001731B4"/>
    <w:rsid w:val="00173481"/>
    <w:rsid w:val="00175451"/>
    <w:rsid w:val="00176928"/>
    <w:rsid w:val="00176B25"/>
    <w:rsid w:val="001770FF"/>
    <w:rsid w:val="00177632"/>
    <w:rsid w:val="00177B35"/>
    <w:rsid w:val="00181A28"/>
    <w:rsid w:val="00181CA4"/>
    <w:rsid w:val="00182A77"/>
    <w:rsid w:val="00182F05"/>
    <w:rsid w:val="0018314A"/>
    <w:rsid w:val="00184351"/>
    <w:rsid w:val="00184A1D"/>
    <w:rsid w:val="00185079"/>
    <w:rsid w:val="00185236"/>
    <w:rsid w:val="0018534B"/>
    <w:rsid w:val="0018562F"/>
    <w:rsid w:val="0018573E"/>
    <w:rsid w:val="00186D77"/>
    <w:rsid w:val="001872AF"/>
    <w:rsid w:val="00187359"/>
    <w:rsid w:val="001873F6"/>
    <w:rsid w:val="00187C88"/>
    <w:rsid w:val="001904E9"/>
    <w:rsid w:val="00190D3F"/>
    <w:rsid w:val="001912DB"/>
    <w:rsid w:val="001913A6"/>
    <w:rsid w:val="0019208C"/>
    <w:rsid w:val="00192413"/>
    <w:rsid w:val="00192C2C"/>
    <w:rsid w:val="00193413"/>
    <w:rsid w:val="00194108"/>
    <w:rsid w:val="00194E8A"/>
    <w:rsid w:val="00195202"/>
    <w:rsid w:val="00196167"/>
    <w:rsid w:val="00197B3C"/>
    <w:rsid w:val="001A0A41"/>
    <w:rsid w:val="001A0E6D"/>
    <w:rsid w:val="001A1332"/>
    <w:rsid w:val="001A25E1"/>
    <w:rsid w:val="001A2C5D"/>
    <w:rsid w:val="001A3057"/>
    <w:rsid w:val="001A3E7D"/>
    <w:rsid w:val="001A49CF"/>
    <w:rsid w:val="001A5658"/>
    <w:rsid w:val="001A6B18"/>
    <w:rsid w:val="001A712B"/>
    <w:rsid w:val="001A7173"/>
    <w:rsid w:val="001B1493"/>
    <w:rsid w:val="001B17D0"/>
    <w:rsid w:val="001B2417"/>
    <w:rsid w:val="001B2B58"/>
    <w:rsid w:val="001B35BE"/>
    <w:rsid w:val="001B40F6"/>
    <w:rsid w:val="001B5C0E"/>
    <w:rsid w:val="001B5E60"/>
    <w:rsid w:val="001B70B3"/>
    <w:rsid w:val="001B7858"/>
    <w:rsid w:val="001B7A77"/>
    <w:rsid w:val="001C0B4A"/>
    <w:rsid w:val="001C0C80"/>
    <w:rsid w:val="001C15F0"/>
    <w:rsid w:val="001C18B7"/>
    <w:rsid w:val="001C3521"/>
    <w:rsid w:val="001C39C7"/>
    <w:rsid w:val="001C3B81"/>
    <w:rsid w:val="001C4496"/>
    <w:rsid w:val="001C46BF"/>
    <w:rsid w:val="001C4AD1"/>
    <w:rsid w:val="001C4B57"/>
    <w:rsid w:val="001C5210"/>
    <w:rsid w:val="001C5836"/>
    <w:rsid w:val="001C67CF"/>
    <w:rsid w:val="001C6E4F"/>
    <w:rsid w:val="001C7E32"/>
    <w:rsid w:val="001C7F72"/>
    <w:rsid w:val="001D0127"/>
    <w:rsid w:val="001D0B92"/>
    <w:rsid w:val="001D16F2"/>
    <w:rsid w:val="001D2B30"/>
    <w:rsid w:val="001D38C2"/>
    <w:rsid w:val="001D53C9"/>
    <w:rsid w:val="001D597F"/>
    <w:rsid w:val="001D635B"/>
    <w:rsid w:val="001D6395"/>
    <w:rsid w:val="001D65FB"/>
    <w:rsid w:val="001D75A2"/>
    <w:rsid w:val="001E08E8"/>
    <w:rsid w:val="001E1818"/>
    <w:rsid w:val="001E1FA8"/>
    <w:rsid w:val="001E2179"/>
    <w:rsid w:val="001E2ED8"/>
    <w:rsid w:val="001E384F"/>
    <w:rsid w:val="001E3A61"/>
    <w:rsid w:val="001E3C66"/>
    <w:rsid w:val="001E54FA"/>
    <w:rsid w:val="001E6D81"/>
    <w:rsid w:val="001E71B4"/>
    <w:rsid w:val="001F0A7C"/>
    <w:rsid w:val="001F121B"/>
    <w:rsid w:val="001F1459"/>
    <w:rsid w:val="001F4090"/>
    <w:rsid w:val="001F41C1"/>
    <w:rsid w:val="001F4918"/>
    <w:rsid w:val="001F4B9A"/>
    <w:rsid w:val="001F5F51"/>
    <w:rsid w:val="001F755E"/>
    <w:rsid w:val="001F78FD"/>
    <w:rsid w:val="001F7EA5"/>
    <w:rsid w:val="002002EC"/>
    <w:rsid w:val="00200E70"/>
    <w:rsid w:val="00201F19"/>
    <w:rsid w:val="0020212F"/>
    <w:rsid w:val="00202722"/>
    <w:rsid w:val="00203D45"/>
    <w:rsid w:val="00203F2A"/>
    <w:rsid w:val="0020493A"/>
    <w:rsid w:val="002057DD"/>
    <w:rsid w:val="00207AE9"/>
    <w:rsid w:val="00210231"/>
    <w:rsid w:val="002102E9"/>
    <w:rsid w:val="00210FF1"/>
    <w:rsid w:val="00211C28"/>
    <w:rsid w:val="00212B31"/>
    <w:rsid w:val="0021304A"/>
    <w:rsid w:val="00213DF1"/>
    <w:rsid w:val="00214D67"/>
    <w:rsid w:val="00216860"/>
    <w:rsid w:val="00217CE0"/>
    <w:rsid w:val="00217F7C"/>
    <w:rsid w:val="00220183"/>
    <w:rsid w:val="00220345"/>
    <w:rsid w:val="002206E6"/>
    <w:rsid w:val="00221538"/>
    <w:rsid w:val="00222AD5"/>
    <w:rsid w:val="0022335E"/>
    <w:rsid w:val="002240FC"/>
    <w:rsid w:val="00224610"/>
    <w:rsid w:val="002254FB"/>
    <w:rsid w:val="00225898"/>
    <w:rsid w:val="0022737F"/>
    <w:rsid w:val="002273A4"/>
    <w:rsid w:val="0022749B"/>
    <w:rsid w:val="002279B2"/>
    <w:rsid w:val="0023022E"/>
    <w:rsid w:val="002302A6"/>
    <w:rsid w:val="002305C4"/>
    <w:rsid w:val="00230EEF"/>
    <w:rsid w:val="0023116A"/>
    <w:rsid w:val="002314CA"/>
    <w:rsid w:val="002316BE"/>
    <w:rsid w:val="00231B96"/>
    <w:rsid w:val="00232D9D"/>
    <w:rsid w:val="00233593"/>
    <w:rsid w:val="0023486D"/>
    <w:rsid w:val="00234A6E"/>
    <w:rsid w:val="00235D1C"/>
    <w:rsid w:val="00237126"/>
    <w:rsid w:val="00237363"/>
    <w:rsid w:val="00237788"/>
    <w:rsid w:val="00242FFF"/>
    <w:rsid w:val="002433DA"/>
    <w:rsid w:val="00243AB8"/>
    <w:rsid w:val="002441D1"/>
    <w:rsid w:val="00245209"/>
    <w:rsid w:val="0024620D"/>
    <w:rsid w:val="002466FB"/>
    <w:rsid w:val="00246AC7"/>
    <w:rsid w:val="00246F81"/>
    <w:rsid w:val="002472A2"/>
    <w:rsid w:val="002479FF"/>
    <w:rsid w:val="0025057E"/>
    <w:rsid w:val="002506CF"/>
    <w:rsid w:val="00250DC5"/>
    <w:rsid w:val="002513CD"/>
    <w:rsid w:val="002518C1"/>
    <w:rsid w:val="00251DEE"/>
    <w:rsid w:val="00251E00"/>
    <w:rsid w:val="00252566"/>
    <w:rsid w:val="00252CCF"/>
    <w:rsid w:val="00253D81"/>
    <w:rsid w:val="0025580C"/>
    <w:rsid w:val="00255924"/>
    <w:rsid w:val="00255EE4"/>
    <w:rsid w:val="00256937"/>
    <w:rsid w:val="0025768D"/>
    <w:rsid w:val="0026191B"/>
    <w:rsid w:val="00262CC1"/>
    <w:rsid w:val="00263F86"/>
    <w:rsid w:val="00264153"/>
    <w:rsid w:val="00264C4C"/>
    <w:rsid w:val="0026521F"/>
    <w:rsid w:val="00265A9F"/>
    <w:rsid w:val="00266770"/>
    <w:rsid w:val="002667C6"/>
    <w:rsid w:val="002672B8"/>
    <w:rsid w:val="002679F2"/>
    <w:rsid w:val="0027030A"/>
    <w:rsid w:val="00271F70"/>
    <w:rsid w:val="002759F9"/>
    <w:rsid w:val="00275ED1"/>
    <w:rsid w:val="00276239"/>
    <w:rsid w:val="002764D3"/>
    <w:rsid w:val="00277D94"/>
    <w:rsid w:val="00280148"/>
    <w:rsid w:val="00280AE7"/>
    <w:rsid w:val="00281257"/>
    <w:rsid w:val="00281AD7"/>
    <w:rsid w:val="00281C5B"/>
    <w:rsid w:val="00281D52"/>
    <w:rsid w:val="0028210D"/>
    <w:rsid w:val="00282251"/>
    <w:rsid w:val="0028491C"/>
    <w:rsid w:val="00284FB8"/>
    <w:rsid w:val="00286908"/>
    <w:rsid w:val="0028793B"/>
    <w:rsid w:val="00287E07"/>
    <w:rsid w:val="00290F7D"/>
    <w:rsid w:val="00291B2E"/>
    <w:rsid w:val="00291DB2"/>
    <w:rsid w:val="00292979"/>
    <w:rsid w:val="00292F49"/>
    <w:rsid w:val="002930A2"/>
    <w:rsid w:val="00294250"/>
    <w:rsid w:val="0029797D"/>
    <w:rsid w:val="002A1A80"/>
    <w:rsid w:val="002A2819"/>
    <w:rsid w:val="002A4953"/>
    <w:rsid w:val="002A5111"/>
    <w:rsid w:val="002A57E3"/>
    <w:rsid w:val="002A5C1D"/>
    <w:rsid w:val="002A65A3"/>
    <w:rsid w:val="002A683E"/>
    <w:rsid w:val="002A6874"/>
    <w:rsid w:val="002A6B01"/>
    <w:rsid w:val="002A6C43"/>
    <w:rsid w:val="002A6EB2"/>
    <w:rsid w:val="002A730F"/>
    <w:rsid w:val="002A7B5D"/>
    <w:rsid w:val="002B15AB"/>
    <w:rsid w:val="002B1EB2"/>
    <w:rsid w:val="002B1FE6"/>
    <w:rsid w:val="002B2C86"/>
    <w:rsid w:val="002B426B"/>
    <w:rsid w:val="002B48BD"/>
    <w:rsid w:val="002B65E7"/>
    <w:rsid w:val="002B7ACC"/>
    <w:rsid w:val="002C05EE"/>
    <w:rsid w:val="002C0F31"/>
    <w:rsid w:val="002C0FF0"/>
    <w:rsid w:val="002C1283"/>
    <w:rsid w:val="002C1D0A"/>
    <w:rsid w:val="002C1DF9"/>
    <w:rsid w:val="002C24F9"/>
    <w:rsid w:val="002C3C21"/>
    <w:rsid w:val="002C414F"/>
    <w:rsid w:val="002C4C44"/>
    <w:rsid w:val="002C653A"/>
    <w:rsid w:val="002C6845"/>
    <w:rsid w:val="002D1A19"/>
    <w:rsid w:val="002D1F33"/>
    <w:rsid w:val="002D2A9D"/>
    <w:rsid w:val="002D2CC6"/>
    <w:rsid w:val="002D2F9A"/>
    <w:rsid w:val="002D3042"/>
    <w:rsid w:val="002D388D"/>
    <w:rsid w:val="002D440E"/>
    <w:rsid w:val="002D59BA"/>
    <w:rsid w:val="002D651F"/>
    <w:rsid w:val="002D70C1"/>
    <w:rsid w:val="002D712B"/>
    <w:rsid w:val="002D7223"/>
    <w:rsid w:val="002E1CEB"/>
    <w:rsid w:val="002E34C2"/>
    <w:rsid w:val="002E4070"/>
    <w:rsid w:val="002E4DA0"/>
    <w:rsid w:val="002E4F14"/>
    <w:rsid w:val="002E5722"/>
    <w:rsid w:val="002E5C58"/>
    <w:rsid w:val="002E6824"/>
    <w:rsid w:val="002E6860"/>
    <w:rsid w:val="002E6E27"/>
    <w:rsid w:val="002E6E48"/>
    <w:rsid w:val="002E7854"/>
    <w:rsid w:val="002F18BB"/>
    <w:rsid w:val="002F1DDF"/>
    <w:rsid w:val="002F28C7"/>
    <w:rsid w:val="002F478A"/>
    <w:rsid w:val="002F5327"/>
    <w:rsid w:val="002F5A86"/>
    <w:rsid w:val="002F5E2C"/>
    <w:rsid w:val="002F67FD"/>
    <w:rsid w:val="002F693C"/>
    <w:rsid w:val="002F7859"/>
    <w:rsid w:val="0030294D"/>
    <w:rsid w:val="003035E5"/>
    <w:rsid w:val="003039C4"/>
    <w:rsid w:val="0030481D"/>
    <w:rsid w:val="0030495B"/>
    <w:rsid w:val="00305494"/>
    <w:rsid w:val="00305F39"/>
    <w:rsid w:val="003065C0"/>
    <w:rsid w:val="00307259"/>
    <w:rsid w:val="00307271"/>
    <w:rsid w:val="0030738A"/>
    <w:rsid w:val="0031041D"/>
    <w:rsid w:val="003107A9"/>
    <w:rsid w:val="003112FC"/>
    <w:rsid w:val="003115D7"/>
    <w:rsid w:val="003116EE"/>
    <w:rsid w:val="00314C5E"/>
    <w:rsid w:val="00314F73"/>
    <w:rsid w:val="003154EF"/>
    <w:rsid w:val="00315C75"/>
    <w:rsid w:val="00316122"/>
    <w:rsid w:val="00317587"/>
    <w:rsid w:val="003175E6"/>
    <w:rsid w:val="0031762A"/>
    <w:rsid w:val="00317F75"/>
    <w:rsid w:val="00320B81"/>
    <w:rsid w:val="00321692"/>
    <w:rsid w:val="00322A79"/>
    <w:rsid w:val="00324B0C"/>
    <w:rsid w:val="00324EF8"/>
    <w:rsid w:val="0032553D"/>
    <w:rsid w:val="00325B5A"/>
    <w:rsid w:val="00325F0C"/>
    <w:rsid w:val="00326BF6"/>
    <w:rsid w:val="00327111"/>
    <w:rsid w:val="003274C5"/>
    <w:rsid w:val="00330A66"/>
    <w:rsid w:val="00330EFE"/>
    <w:rsid w:val="00331799"/>
    <w:rsid w:val="00331F7D"/>
    <w:rsid w:val="00332201"/>
    <w:rsid w:val="00332A86"/>
    <w:rsid w:val="003333C2"/>
    <w:rsid w:val="003341CE"/>
    <w:rsid w:val="00335AA7"/>
    <w:rsid w:val="00335E14"/>
    <w:rsid w:val="00335FAF"/>
    <w:rsid w:val="003409EA"/>
    <w:rsid w:val="00340D8C"/>
    <w:rsid w:val="00341CCE"/>
    <w:rsid w:val="00342604"/>
    <w:rsid w:val="003432FE"/>
    <w:rsid w:val="00343F16"/>
    <w:rsid w:val="0034463F"/>
    <w:rsid w:val="00345105"/>
    <w:rsid w:val="0034514C"/>
    <w:rsid w:val="00345DCE"/>
    <w:rsid w:val="00347CD8"/>
    <w:rsid w:val="003510AF"/>
    <w:rsid w:val="003512FD"/>
    <w:rsid w:val="003527E6"/>
    <w:rsid w:val="00352E5D"/>
    <w:rsid w:val="00353A3D"/>
    <w:rsid w:val="00353D74"/>
    <w:rsid w:val="00353E41"/>
    <w:rsid w:val="0035426A"/>
    <w:rsid w:val="00354D3C"/>
    <w:rsid w:val="00355153"/>
    <w:rsid w:val="0035550F"/>
    <w:rsid w:val="00355D22"/>
    <w:rsid w:val="00355D4F"/>
    <w:rsid w:val="00356225"/>
    <w:rsid w:val="0035669D"/>
    <w:rsid w:val="003571EC"/>
    <w:rsid w:val="00357F57"/>
    <w:rsid w:val="003605DB"/>
    <w:rsid w:val="00360841"/>
    <w:rsid w:val="00360C9F"/>
    <w:rsid w:val="00360CA6"/>
    <w:rsid w:val="00362002"/>
    <w:rsid w:val="00362B50"/>
    <w:rsid w:val="00363A7A"/>
    <w:rsid w:val="00363F2A"/>
    <w:rsid w:val="00364461"/>
    <w:rsid w:val="00364E71"/>
    <w:rsid w:val="003659FC"/>
    <w:rsid w:val="00366CB9"/>
    <w:rsid w:val="003673F9"/>
    <w:rsid w:val="0036755A"/>
    <w:rsid w:val="00367B95"/>
    <w:rsid w:val="00370186"/>
    <w:rsid w:val="003714C0"/>
    <w:rsid w:val="003736FF"/>
    <w:rsid w:val="003741A3"/>
    <w:rsid w:val="00375B8C"/>
    <w:rsid w:val="003768DB"/>
    <w:rsid w:val="003809D8"/>
    <w:rsid w:val="00380EBA"/>
    <w:rsid w:val="0038107E"/>
    <w:rsid w:val="003819E8"/>
    <w:rsid w:val="00381D13"/>
    <w:rsid w:val="0038213E"/>
    <w:rsid w:val="00383178"/>
    <w:rsid w:val="00383D43"/>
    <w:rsid w:val="00383F0A"/>
    <w:rsid w:val="003845EA"/>
    <w:rsid w:val="00384AB8"/>
    <w:rsid w:val="00385D0F"/>
    <w:rsid w:val="00387778"/>
    <w:rsid w:val="00387CBB"/>
    <w:rsid w:val="00390000"/>
    <w:rsid w:val="00390105"/>
    <w:rsid w:val="00390DD5"/>
    <w:rsid w:val="00391567"/>
    <w:rsid w:val="00392C3E"/>
    <w:rsid w:val="00392D25"/>
    <w:rsid w:val="00393D0E"/>
    <w:rsid w:val="00393F70"/>
    <w:rsid w:val="003941B6"/>
    <w:rsid w:val="00394969"/>
    <w:rsid w:val="003953F0"/>
    <w:rsid w:val="003958FC"/>
    <w:rsid w:val="00395E69"/>
    <w:rsid w:val="00396559"/>
    <w:rsid w:val="0039708D"/>
    <w:rsid w:val="00397385"/>
    <w:rsid w:val="0039757C"/>
    <w:rsid w:val="003A069F"/>
    <w:rsid w:val="003A0D4C"/>
    <w:rsid w:val="003A16F9"/>
    <w:rsid w:val="003A186C"/>
    <w:rsid w:val="003A22F3"/>
    <w:rsid w:val="003A2523"/>
    <w:rsid w:val="003A3B7F"/>
    <w:rsid w:val="003A4106"/>
    <w:rsid w:val="003A4465"/>
    <w:rsid w:val="003A4637"/>
    <w:rsid w:val="003A4BC1"/>
    <w:rsid w:val="003A4CD5"/>
    <w:rsid w:val="003A7D76"/>
    <w:rsid w:val="003B040A"/>
    <w:rsid w:val="003B040B"/>
    <w:rsid w:val="003B0777"/>
    <w:rsid w:val="003B07A6"/>
    <w:rsid w:val="003B1884"/>
    <w:rsid w:val="003B2CA1"/>
    <w:rsid w:val="003B3CDA"/>
    <w:rsid w:val="003B4CFF"/>
    <w:rsid w:val="003B53EC"/>
    <w:rsid w:val="003B57FC"/>
    <w:rsid w:val="003B5FF9"/>
    <w:rsid w:val="003B6246"/>
    <w:rsid w:val="003B65C3"/>
    <w:rsid w:val="003B7493"/>
    <w:rsid w:val="003B7827"/>
    <w:rsid w:val="003B7B57"/>
    <w:rsid w:val="003C0606"/>
    <w:rsid w:val="003C0A87"/>
    <w:rsid w:val="003C0E48"/>
    <w:rsid w:val="003C140F"/>
    <w:rsid w:val="003C1C06"/>
    <w:rsid w:val="003C236A"/>
    <w:rsid w:val="003C2D76"/>
    <w:rsid w:val="003C2DA3"/>
    <w:rsid w:val="003C2EED"/>
    <w:rsid w:val="003C5873"/>
    <w:rsid w:val="003C5C37"/>
    <w:rsid w:val="003C6CD9"/>
    <w:rsid w:val="003C6DDA"/>
    <w:rsid w:val="003C7CE9"/>
    <w:rsid w:val="003C7DCB"/>
    <w:rsid w:val="003C7E99"/>
    <w:rsid w:val="003C7FCA"/>
    <w:rsid w:val="003D0270"/>
    <w:rsid w:val="003D073D"/>
    <w:rsid w:val="003D1796"/>
    <w:rsid w:val="003D232B"/>
    <w:rsid w:val="003D3575"/>
    <w:rsid w:val="003D36FF"/>
    <w:rsid w:val="003D42AB"/>
    <w:rsid w:val="003D5AC8"/>
    <w:rsid w:val="003D6D55"/>
    <w:rsid w:val="003D7C5F"/>
    <w:rsid w:val="003E12FC"/>
    <w:rsid w:val="003E1415"/>
    <w:rsid w:val="003E29DE"/>
    <w:rsid w:val="003E3004"/>
    <w:rsid w:val="003E321A"/>
    <w:rsid w:val="003E339C"/>
    <w:rsid w:val="003E3F20"/>
    <w:rsid w:val="003E40E2"/>
    <w:rsid w:val="003E4761"/>
    <w:rsid w:val="003E532E"/>
    <w:rsid w:val="003E5362"/>
    <w:rsid w:val="003E59C1"/>
    <w:rsid w:val="003E6A34"/>
    <w:rsid w:val="003F020C"/>
    <w:rsid w:val="003F072B"/>
    <w:rsid w:val="003F08A7"/>
    <w:rsid w:val="003F0B9A"/>
    <w:rsid w:val="003F0C42"/>
    <w:rsid w:val="003F0D68"/>
    <w:rsid w:val="003F14A6"/>
    <w:rsid w:val="003F2053"/>
    <w:rsid w:val="003F4239"/>
    <w:rsid w:val="003F4E3E"/>
    <w:rsid w:val="003F520A"/>
    <w:rsid w:val="003F5761"/>
    <w:rsid w:val="003F706C"/>
    <w:rsid w:val="00400DE9"/>
    <w:rsid w:val="0040182D"/>
    <w:rsid w:val="00402246"/>
    <w:rsid w:val="00402981"/>
    <w:rsid w:val="004029BD"/>
    <w:rsid w:val="00402D9D"/>
    <w:rsid w:val="00403629"/>
    <w:rsid w:val="004036FB"/>
    <w:rsid w:val="004039D0"/>
    <w:rsid w:val="00403AC0"/>
    <w:rsid w:val="0040484D"/>
    <w:rsid w:val="00404EE5"/>
    <w:rsid w:val="00405C0B"/>
    <w:rsid w:val="004063F3"/>
    <w:rsid w:val="00406683"/>
    <w:rsid w:val="00406709"/>
    <w:rsid w:val="004076D4"/>
    <w:rsid w:val="00407EFD"/>
    <w:rsid w:val="00411894"/>
    <w:rsid w:val="00411F0E"/>
    <w:rsid w:val="00412701"/>
    <w:rsid w:val="00412854"/>
    <w:rsid w:val="00412CD9"/>
    <w:rsid w:val="004134CD"/>
    <w:rsid w:val="0041424E"/>
    <w:rsid w:val="00414BAF"/>
    <w:rsid w:val="00414E8E"/>
    <w:rsid w:val="0041742A"/>
    <w:rsid w:val="00417FE0"/>
    <w:rsid w:val="00420268"/>
    <w:rsid w:val="00420B4C"/>
    <w:rsid w:val="0042376F"/>
    <w:rsid w:val="00424005"/>
    <w:rsid w:val="004245E5"/>
    <w:rsid w:val="00426FA7"/>
    <w:rsid w:val="00427358"/>
    <w:rsid w:val="004273FD"/>
    <w:rsid w:val="00427B3E"/>
    <w:rsid w:val="00427F1B"/>
    <w:rsid w:val="004304C2"/>
    <w:rsid w:val="004315A0"/>
    <w:rsid w:val="0043274F"/>
    <w:rsid w:val="00432FCD"/>
    <w:rsid w:val="00434050"/>
    <w:rsid w:val="0043450C"/>
    <w:rsid w:val="00435368"/>
    <w:rsid w:val="00435B79"/>
    <w:rsid w:val="004374E1"/>
    <w:rsid w:val="004409C6"/>
    <w:rsid w:val="00441864"/>
    <w:rsid w:val="00441D3F"/>
    <w:rsid w:val="004427E8"/>
    <w:rsid w:val="00442CDA"/>
    <w:rsid w:val="004433DE"/>
    <w:rsid w:val="00444038"/>
    <w:rsid w:val="00444391"/>
    <w:rsid w:val="00444DB4"/>
    <w:rsid w:val="00445AD6"/>
    <w:rsid w:val="00445E8B"/>
    <w:rsid w:val="0044623B"/>
    <w:rsid w:val="004466CA"/>
    <w:rsid w:val="00446ECF"/>
    <w:rsid w:val="00450D71"/>
    <w:rsid w:val="00452968"/>
    <w:rsid w:val="00452ECC"/>
    <w:rsid w:val="00453AE1"/>
    <w:rsid w:val="0045403B"/>
    <w:rsid w:val="00454B58"/>
    <w:rsid w:val="00455443"/>
    <w:rsid w:val="0045559C"/>
    <w:rsid w:val="004559A8"/>
    <w:rsid w:val="004559D2"/>
    <w:rsid w:val="004562A6"/>
    <w:rsid w:val="00456568"/>
    <w:rsid w:val="00457CEB"/>
    <w:rsid w:val="00460A16"/>
    <w:rsid w:val="00461CAD"/>
    <w:rsid w:val="00463E50"/>
    <w:rsid w:val="00464225"/>
    <w:rsid w:val="00464AF7"/>
    <w:rsid w:val="00464BA7"/>
    <w:rsid w:val="00464CDC"/>
    <w:rsid w:val="0046541C"/>
    <w:rsid w:val="00465A17"/>
    <w:rsid w:val="0046701F"/>
    <w:rsid w:val="0046727A"/>
    <w:rsid w:val="00471238"/>
    <w:rsid w:val="0047128C"/>
    <w:rsid w:val="0047143D"/>
    <w:rsid w:val="00471640"/>
    <w:rsid w:val="00471711"/>
    <w:rsid w:val="0047197C"/>
    <w:rsid w:val="00471CD0"/>
    <w:rsid w:val="00472D60"/>
    <w:rsid w:val="004732EE"/>
    <w:rsid w:val="00473F6D"/>
    <w:rsid w:val="00474EA8"/>
    <w:rsid w:val="0047574A"/>
    <w:rsid w:val="00475A5F"/>
    <w:rsid w:val="00476365"/>
    <w:rsid w:val="00476D7D"/>
    <w:rsid w:val="00480608"/>
    <w:rsid w:val="0048276A"/>
    <w:rsid w:val="00482DCA"/>
    <w:rsid w:val="00482F24"/>
    <w:rsid w:val="00482FEB"/>
    <w:rsid w:val="004834CA"/>
    <w:rsid w:val="004837A1"/>
    <w:rsid w:val="004840F2"/>
    <w:rsid w:val="004841E6"/>
    <w:rsid w:val="00484D82"/>
    <w:rsid w:val="00485C41"/>
    <w:rsid w:val="00486BFB"/>
    <w:rsid w:val="0048750D"/>
    <w:rsid w:val="0049002C"/>
    <w:rsid w:val="00490A0B"/>
    <w:rsid w:val="00491F49"/>
    <w:rsid w:val="00491F6B"/>
    <w:rsid w:val="00492777"/>
    <w:rsid w:val="00492CED"/>
    <w:rsid w:val="00493B1D"/>
    <w:rsid w:val="0049411B"/>
    <w:rsid w:val="00494EEE"/>
    <w:rsid w:val="00495E1F"/>
    <w:rsid w:val="00497043"/>
    <w:rsid w:val="004975CA"/>
    <w:rsid w:val="00497BBC"/>
    <w:rsid w:val="004A1659"/>
    <w:rsid w:val="004A1D73"/>
    <w:rsid w:val="004A1E5D"/>
    <w:rsid w:val="004A247F"/>
    <w:rsid w:val="004A24F5"/>
    <w:rsid w:val="004A2614"/>
    <w:rsid w:val="004A3A02"/>
    <w:rsid w:val="004A3C30"/>
    <w:rsid w:val="004A3DC6"/>
    <w:rsid w:val="004A4797"/>
    <w:rsid w:val="004A521C"/>
    <w:rsid w:val="004A5A29"/>
    <w:rsid w:val="004A6A3A"/>
    <w:rsid w:val="004B0309"/>
    <w:rsid w:val="004B0FA1"/>
    <w:rsid w:val="004B10F8"/>
    <w:rsid w:val="004B1491"/>
    <w:rsid w:val="004B2068"/>
    <w:rsid w:val="004B3FAA"/>
    <w:rsid w:val="004B4B14"/>
    <w:rsid w:val="004B4F3E"/>
    <w:rsid w:val="004B5D8C"/>
    <w:rsid w:val="004B5E38"/>
    <w:rsid w:val="004B68F5"/>
    <w:rsid w:val="004B6F7E"/>
    <w:rsid w:val="004B7140"/>
    <w:rsid w:val="004B795E"/>
    <w:rsid w:val="004C0378"/>
    <w:rsid w:val="004C09F7"/>
    <w:rsid w:val="004C0ECD"/>
    <w:rsid w:val="004C11F8"/>
    <w:rsid w:val="004C23EE"/>
    <w:rsid w:val="004C35BC"/>
    <w:rsid w:val="004C4493"/>
    <w:rsid w:val="004C44A6"/>
    <w:rsid w:val="004C5795"/>
    <w:rsid w:val="004C5B70"/>
    <w:rsid w:val="004C6702"/>
    <w:rsid w:val="004C6F99"/>
    <w:rsid w:val="004C768F"/>
    <w:rsid w:val="004C76E4"/>
    <w:rsid w:val="004C7D5F"/>
    <w:rsid w:val="004D07E0"/>
    <w:rsid w:val="004D2500"/>
    <w:rsid w:val="004D2AC1"/>
    <w:rsid w:val="004D2B4C"/>
    <w:rsid w:val="004D3203"/>
    <w:rsid w:val="004D3F08"/>
    <w:rsid w:val="004D480A"/>
    <w:rsid w:val="004D523E"/>
    <w:rsid w:val="004D551D"/>
    <w:rsid w:val="004D58A5"/>
    <w:rsid w:val="004D5E79"/>
    <w:rsid w:val="004D7108"/>
    <w:rsid w:val="004D72B3"/>
    <w:rsid w:val="004D7580"/>
    <w:rsid w:val="004D75DF"/>
    <w:rsid w:val="004E0136"/>
    <w:rsid w:val="004E0264"/>
    <w:rsid w:val="004E060B"/>
    <w:rsid w:val="004E0B88"/>
    <w:rsid w:val="004E0FFF"/>
    <w:rsid w:val="004E138C"/>
    <w:rsid w:val="004E1673"/>
    <w:rsid w:val="004E17CB"/>
    <w:rsid w:val="004E2898"/>
    <w:rsid w:val="004E2F9A"/>
    <w:rsid w:val="004E3222"/>
    <w:rsid w:val="004E3466"/>
    <w:rsid w:val="004E382F"/>
    <w:rsid w:val="004E5083"/>
    <w:rsid w:val="004E510B"/>
    <w:rsid w:val="004E521A"/>
    <w:rsid w:val="004E5535"/>
    <w:rsid w:val="004E5985"/>
    <w:rsid w:val="004E76E0"/>
    <w:rsid w:val="004F0DA2"/>
    <w:rsid w:val="004F1113"/>
    <w:rsid w:val="004F126E"/>
    <w:rsid w:val="004F14BC"/>
    <w:rsid w:val="004F1903"/>
    <w:rsid w:val="004F25DD"/>
    <w:rsid w:val="004F2606"/>
    <w:rsid w:val="004F2BFF"/>
    <w:rsid w:val="004F2C2E"/>
    <w:rsid w:val="004F2E0F"/>
    <w:rsid w:val="004F3CC0"/>
    <w:rsid w:val="004F4897"/>
    <w:rsid w:val="004F4CC5"/>
    <w:rsid w:val="004F4E71"/>
    <w:rsid w:val="004F5592"/>
    <w:rsid w:val="004F6197"/>
    <w:rsid w:val="004F665F"/>
    <w:rsid w:val="004F66E3"/>
    <w:rsid w:val="004F7219"/>
    <w:rsid w:val="0050011D"/>
    <w:rsid w:val="0050026C"/>
    <w:rsid w:val="005006A8"/>
    <w:rsid w:val="005029E9"/>
    <w:rsid w:val="00503291"/>
    <w:rsid w:val="00503B7F"/>
    <w:rsid w:val="00504A68"/>
    <w:rsid w:val="0050506D"/>
    <w:rsid w:val="00506373"/>
    <w:rsid w:val="005068F5"/>
    <w:rsid w:val="00507EBC"/>
    <w:rsid w:val="00510AC9"/>
    <w:rsid w:val="005120BD"/>
    <w:rsid w:val="00513455"/>
    <w:rsid w:val="0051394F"/>
    <w:rsid w:val="00513D7F"/>
    <w:rsid w:val="0051410D"/>
    <w:rsid w:val="005154E2"/>
    <w:rsid w:val="00515A37"/>
    <w:rsid w:val="00517A84"/>
    <w:rsid w:val="00517FBF"/>
    <w:rsid w:val="00520BDB"/>
    <w:rsid w:val="00520CFE"/>
    <w:rsid w:val="0052101B"/>
    <w:rsid w:val="005215F4"/>
    <w:rsid w:val="0052238C"/>
    <w:rsid w:val="005227FF"/>
    <w:rsid w:val="00524610"/>
    <w:rsid w:val="005247F3"/>
    <w:rsid w:val="00524DAD"/>
    <w:rsid w:val="00527E58"/>
    <w:rsid w:val="00530488"/>
    <w:rsid w:val="00530643"/>
    <w:rsid w:val="00530D66"/>
    <w:rsid w:val="00530EB8"/>
    <w:rsid w:val="0053168E"/>
    <w:rsid w:val="005319E5"/>
    <w:rsid w:val="005329AC"/>
    <w:rsid w:val="005335A2"/>
    <w:rsid w:val="00533EC3"/>
    <w:rsid w:val="005350E6"/>
    <w:rsid w:val="00535D7B"/>
    <w:rsid w:val="00536B0E"/>
    <w:rsid w:val="0054010A"/>
    <w:rsid w:val="0054061A"/>
    <w:rsid w:val="005411C3"/>
    <w:rsid w:val="005418A8"/>
    <w:rsid w:val="00544F8D"/>
    <w:rsid w:val="005455CF"/>
    <w:rsid w:val="00546500"/>
    <w:rsid w:val="00547802"/>
    <w:rsid w:val="00547CC2"/>
    <w:rsid w:val="00550D42"/>
    <w:rsid w:val="005511DE"/>
    <w:rsid w:val="00551D5F"/>
    <w:rsid w:val="00553157"/>
    <w:rsid w:val="00554622"/>
    <w:rsid w:val="00554D51"/>
    <w:rsid w:val="00554F19"/>
    <w:rsid w:val="00556EB0"/>
    <w:rsid w:val="00557206"/>
    <w:rsid w:val="00557CB4"/>
    <w:rsid w:val="005600A7"/>
    <w:rsid w:val="00560D48"/>
    <w:rsid w:val="00561346"/>
    <w:rsid w:val="0056134F"/>
    <w:rsid w:val="005633BA"/>
    <w:rsid w:val="00563404"/>
    <w:rsid w:val="0056408D"/>
    <w:rsid w:val="0056460D"/>
    <w:rsid w:val="00565465"/>
    <w:rsid w:val="005655D5"/>
    <w:rsid w:val="00565ECF"/>
    <w:rsid w:val="00565FF0"/>
    <w:rsid w:val="005670E2"/>
    <w:rsid w:val="0056721C"/>
    <w:rsid w:val="00567308"/>
    <w:rsid w:val="00567BC3"/>
    <w:rsid w:val="00567DB9"/>
    <w:rsid w:val="00567FF4"/>
    <w:rsid w:val="00570B53"/>
    <w:rsid w:val="00570DF8"/>
    <w:rsid w:val="00570E4C"/>
    <w:rsid w:val="00572574"/>
    <w:rsid w:val="00573C73"/>
    <w:rsid w:val="00573D33"/>
    <w:rsid w:val="005743C8"/>
    <w:rsid w:val="0057549A"/>
    <w:rsid w:val="005758F1"/>
    <w:rsid w:val="00575A35"/>
    <w:rsid w:val="00575F0A"/>
    <w:rsid w:val="00575FAB"/>
    <w:rsid w:val="0057609C"/>
    <w:rsid w:val="00576619"/>
    <w:rsid w:val="00577303"/>
    <w:rsid w:val="00580ABA"/>
    <w:rsid w:val="00582AA1"/>
    <w:rsid w:val="00583B21"/>
    <w:rsid w:val="00583ED9"/>
    <w:rsid w:val="0058424B"/>
    <w:rsid w:val="005855D8"/>
    <w:rsid w:val="00585A41"/>
    <w:rsid w:val="00585B1E"/>
    <w:rsid w:val="00585B3E"/>
    <w:rsid w:val="0058600D"/>
    <w:rsid w:val="005865E0"/>
    <w:rsid w:val="00586777"/>
    <w:rsid w:val="00586BA9"/>
    <w:rsid w:val="00586D02"/>
    <w:rsid w:val="005873C9"/>
    <w:rsid w:val="00587C37"/>
    <w:rsid w:val="0059041B"/>
    <w:rsid w:val="005904AF"/>
    <w:rsid w:val="005909E0"/>
    <w:rsid w:val="00590E79"/>
    <w:rsid w:val="005916C7"/>
    <w:rsid w:val="00591AB7"/>
    <w:rsid w:val="0059231D"/>
    <w:rsid w:val="00592586"/>
    <w:rsid w:val="00592C81"/>
    <w:rsid w:val="0059402A"/>
    <w:rsid w:val="00594A45"/>
    <w:rsid w:val="00594C36"/>
    <w:rsid w:val="005959F9"/>
    <w:rsid w:val="0059671A"/>
    <w:rsid w:val="00596959"/>
    <w:rsid w:val="005A07D8"/>
    <w:rsid w:val="005A081E"/>
    <w:rsid w:val="005A0D50"/>
    <w:rsid w:val="005A10B7"/>
    <w:rsid w:val="005A17BB"/>
    <w:rsid w:val="005A36AD"/>
    <w:rsid w:val="005A38A6"/>
    <w:rsid w:val="005A43DA"/>
    <w:rsid w:val="005A4871"/>
    <w:rsid w:val="005A4D41"/>
    <w:rsid w:val="005A580C"/>
    <w:rsid w:val="005A608B"/>
    <w:rsid w:val="005A67A9"/>
    <w:rsid w:val="005A79FB"/>
    <w:rsid w:val="005B0D00"/>
    <w:rsid w:val="005B0D08"/>
    <w:rsid w:val="005B204B"/>
    <w:rsid w:val="005B3CDE"/>
    <w:rsid w:val="005B4ACB"/>
    <w:rsid w:val="005B597B"/>
    <w:rsid w:val="005B607C"/>
    <w:rsid w:val="005B66C8"/>
    <w:rsid w:val="005B6BAF"/>
    <w:rsid w:val="005C0249"/>
    <w:rsid w:val="005C19A4"/>
    <w:rsid w:val="005C1AC2"/>
    <w:rsid w:val="005C1BD7"/>
    <w:rsid w:val="005C1E78"/>
    <w:rsid w:val="005C2932"/>
    <w:rsid w:val="005C2B40"/>
    <w:rsid w:val="005C2BD2"/>
    <w:rsid w:val="005C2E5A"/>
    <w:rsid w:val="005C315B"/>
    <w:rsid w:val="005C3CC2"/>
    <w:rsid w:val="005C3FDF"/>
    <w:rsid w:val="005C4037"/>
    <w:rsid w:val="005C4CDD"/>
    <w:rsid w:val="005C5CAD"/>
    <w:rsid w:val="005C5D35"/>
    <w:rsid w:val="005C5E6B"/>
    <w:rsid w:val="005C5FC0"/>
    <w:rsid w:val="005C6B6A"/>
    <w:rsid w:val="005C6E3E"/>
    <w:rsid w:val="005C7465"/>
    <w:rsid w:val="005C7B6C"/>
    <w:rsid w:val="005D0589"/>
    <w:rsid w:val="005D09D0"/>
    <w:rsid w:val="005D1373"/>
    <w:rsid w:val="005D3FF6"/>
    <w:rsid w:val="005D40DA"/>
    <w:rsid w:val="005D4D6A"/>
    <w:rsid w:val="005D5EEE"/>
    <w:rsid w:val="005D6657"/>
    <w:rsid w:val="005D670A"/>
    <w:rsid w:val="005D6727"/>
    <w:rsid w:val="005D6D7F"/>
    <w:rsid w:val="005D6FA8"/>
    <w:rsid w:val="005D72F6"/>
    <w:rsid w:val="005D754F"/>
    <w:rsid w:val="005D7B1F"/>
    <w:rsid w:val="005E08A9"/>
    <w:rsid w:val="005E0CB2"/>
    <w:rsid w:val="005E141A"/>
    <w:rsid w:val="005E1585"/>
    <w:rsid w:val="005E248F"/>
    <w:rsid w:val="005E27C3"/>
    <w:rsid w:val="005E2DFF"/>
    <w:rsid w:val="005E3C11"/>
    <w:rsid w:val="005E4043"/>
    <w:rsid w:val="005E40C1"/>
    <w:rsid w:val="005E64D9"/>
    <w:rsid w:val="005E7D90"/>
    <w:rsid w:val="005E7F7C"/>
    <w:rsid w:val="005F103B"/>
    <w:rsid w:val="005F2581"/>
    <w:rsid w:val="005F4597"/>
    <w:rsid w:val="005F4737"/>
    <w:rsid w:val="005F4BD5"/>
    <w:rsid w:val="005F7298"/>
    <w:rsid w:val="005F77C9"/>
    <w:rsid w:val="00600329"/>
    <w:rsid w:val="00601057"/>
    <w:rsid w:val="00601492"/>
    <w:rsid w:val="0060393C"/>
    <w:rsid w:val="006039D0"/>
    <w:rsid w:val="00603A65"/>
    <w:rsid w:val="00604E90"/>
    <w:rsid w:val="00605C33"/>
    <w:rsid w:val="00607A8F"/>
    <w:rsid w:val="00607CC8"/>
    <w:rsid w:val="00611477"/>
    <w:rsid w:val="00611F84"/>
    <w:rsid w:val="00612673"/>
    <w:rsid w:val="00613E82"/>
    <w:rsid w:val="00614F2B"/>
    <w:rsid w:val="00615242"/>
    <w:rsid w:val="0061540A"/>
    <w:rsid w:val="00616279"/>
    <w:rsid w:val="006177D9"/>
    <w:rsid w:val="006200FA"/>
    <w:rsid w:val="00621261"/>
    <w:rsid w:val="00621DAA"/>
    <w:rsid w:val="00621DF4"/>
    <w:rsid w:val="006236D5"/>
    <w:rsid w:val="006239DF"/>
    <w:rsid w:val="00623A8E"/>
    <w:rsid w:val="00623C10"/>
    <w:rsid w:val="006243DA"/>
    <w:rsid w:val="00627476"/>
    <w:rsid w:val="00630022"/>
    <w:rsid w:val="0063024A"/>
    <w:rsid w:val="00630812"/>
    <w:rsid w:val="006318F9"/>
    <w:rsid w:val="0063204F"/>
    <w:rsid w:val="006326BF"/>
    <w:rsid w:val="00632728"/>
    <w:rsid w:val="00635363"/>
    <w:rsid w:val="00635DF4"/>
    <w:rsid w:val="006362E0"/>
    <w:rsid w:val="006365B0"/>
    <w:rsid w:val="00636B63"/>
    <w:rsid w:val="00637213"/>
    <w:rsid w:val="006376A0"/>
    <w:rsid w:val="00637C1B"/>
    <w:rsid w:val="00640138"/>
    <w:rsid w:val="006407E2"/>
    <w:rsid w:val="00640F29"/>
    <w:rsid w:val="00642AD6"/>
    <w:rsid w:val="00643250"/>
    <w:rsid w:val="00643A5D"/>
    <w:rsid w:val="0064404D"/>
    <w:rsid w:val="0064548D"/>
    <w:rsid w:val="00645FAE"/>
    <w:rsid w:val="00646301"/>
    <w:rsid w:val="006463F1"/>
    <w:rsid w:val="00647272"/>
    <w:rsid w:val="0064793E"/>
    <w:rsid w:val="00650488"/>
    <w:rsid w:val="00650718"/>
    <w:rsid w:val="0065102C"/>
    <w:rsid w:val="0065136D"/>
    <w:rsid w:val="00651D7E"/>
    <w:rsid w:val="00651DA9"/>
    <w:rsid w:val="006524F5"/>
    <w:rsid w:val="00652B6A"/>
    <w:rsid w:val="00653729"/>
    <w:rsid w:val="00653B67"/>
    <w:rsid w:val="006565F8"/>
    <w:rsid w:val="00656612"/>
    <w:rsid w:val="00656BDE"/>
    <w:rsid w:val="00657AAE"/>
    <w:rsid w:val="006608C8"/>
    <w:rsid w:val="00660C4D"/>
    <w:rsid w:val="00660CAE"/>
    <w:rsid w:val="00661652"/>
    <w:rsid w:val="00661731"/>
    <w:rsid w:val="00661D5B"/>
    <w:rsid w:val="00661D5D"/>
    <w:rsid w:val="006623CC"/>
    <w:rsid w:val="006629A7"/>
    <w:rsid w:val="00663387"/>
    <w:rsid w:val="00663947"/>
    <w:rsid w:val="00664D0F"/>
    <w:rsid w:val="00664D4F"/>
    <w:rsid w:val="006653C0"/>
    <w:rsid w:val="00665418"/>
    <w:rsid w:val="006657D3"/>
    <w:rsid w:val="00665B9F"/>
    <w:rsid w:val="00666A9D"/>
    <w:rsid w:val="0066765C"/>
    <w:rsid w:val="006704C3"/>
    <w:rsid w:val="00671173"/>
    <w:rsid w:val="00671E02"/>
    <w:rsid w:val="0067238D"/>
    <w:rsid w:val="006740C2"/>
    <w:rsid w:val="00674931"/>
    <w:rsid w:val="00674DFC"/>
    <w:rsid w:val="006764DE"/>
    <w:rsid w:val="00680738"/>
    <w:rsid w:val="0068099F"/>
    <w:rsid w:val="006814F4"/>
    <w:rsid w:val="00683022"/>
    <w:rsid w:val="006830C6"/>
    <w:rsid w:val="00683362"/>
    <w:rsid w:val="00685328"/>
    <w:rsid w:val="006867D8"/>
    <w:rsid w:val="00687CA2"/>
    <w:rsid w:val="00687D9A"/>
    <w:rsid w:val="00690008"/>
    <w:rsid w:val="00691C03"/>
    <w:rsid w:val="0069216B"/>
    <w:rsid w:val="006922BA"/>
    <w:rsid w:val="006930FE"/>
    <w:rsid w:val="00695987"/>
    <w:rsid w:val="006966B1"/>
    <w:rsid w:val="00696C99"/>
    <w:rsid w:val="00696EBA"/>
    <w:rsid w:val="00697734"/>
    <w:rsid w:val="00697870"/>
    <w:rsid w:val="006979FB"/>
    <w:rsid w:val="00697AFD"/>
    <w:rsid w:val="006A000E"/>
    <w:rsid w:val="006A02F4"/>
    <w:rsid w:val="006A06ED"/>
    <w:rsid w:val="006A0703"/>
    <w:rsid w:val="006A1F00"/>
    <w:rsid w:val="006A2548"/>
    <w:rsid w:val="006A2EAB"/>
    <w:rsid w:val="006A316C"/>
    <w:rsid w:val="006A3340"/>
    <w:rsid w:val="006A4DCB"/>
    <w:rsid w:val="006A5136"/>
    <w:rsid w:val="006A7C6D"/>
    <w:rsid w:val="006A7F4E"/>
    <w:rsid w:val="006B055A"/>
    <w:rsid w:val="006B07E8"/>
    <w:rsid w:val="006B0DFC"/>
    <w:rsid w:val="006B1C9F"/>
    <w:rsid w:val="006B221F"/>
    <w:rsid w:val="006B2E88"/>
    <w:rsid w:val="006B3062"/>
    <w:rsid w:val="006B3662"/>
    <w:rsid w:val="006B466D"/>
    <w:rsid w:val="006B472B"/>
    <w:rsid w:val="006B4736"/>
    <w:rsid w:val="006B59D6"/>
    <w:rsid w:val="006B5EAD"/>
    <w:rsid w:val="006B6EBF"/>
    <w:rsid w:val="006B6F99"/>
    <w:rsid w:val="006B7833"/>
    <w:rsid w:val="006B7CB5"/>
    <w:rsid w:val="006C264C"/>
    <w:rsid w:val="006C3C48"/>
    <w:rsid w:val="006C4557"/>
    <w:rsid w:val="006C4672"/>
    <w:rsid w:val="006C54B1"/>
    <w:rsid w:val="006C7F4C"/>
    <w:rsid w:val="006D0036"/>
    <w:rsid w:val="006D020F"/>
    <w:rsid w:val="006D099B"/>
    <w:rsid w:val="006D0E9F"/>
    <w:rsid w:val="006D23CF"/>
    <w:rsid w:val="006D2FF1"/>
    <w:rsid w:val="006D33FA"/>
    <w:rsid w:val="006D3C2C"/>
    <w:rsid w:val="006D4F10"/>
    <w:rsid w:val="006D5EE4"/>
    <w:rsid w:val="006D5FA8"/>
    <w:rsid w:val="006D74C9"/>
    <w:rsid w:val="006D7AA3"/>
    <w:rsid w:val="006E06AD"/>
    <w:rsid w:val="006E0FF0"/>
    <w:rsid w:val="006E43AE"/>
    <w:rsid w:val="006E4432"/>
    <w:rsid w:val="006E52DA"/>
    <w:rsid w:val="006E612B"/>
    <w:rsid w:val="006E649C"/>
    <w:rsid w:val="006F15C1"/>
    <w:rsid w:val="006F2116"/>
    <w:rsid w:val="006F2331"/>
    <w:rsid w:val="006F3D2B"/>
    <w:rsid w:val="006F4638"/>
    <w:rsid w:val="006F5C52"/>
    <w:rsid w:val="006F6C02"/>
    <w:rsid w:val="006F7A33"/>
    <w:rsid w:val="006F7D70"/>
    <w:rsid w:val="0070000C"/>
    <w:rsid w:val="007005FD"/>
    <w:rsid w:val="0070162A"/>
    <w:rsid w:val="00701652"/>
    <w:rsid w:val="0070177D"/>
    <w:rsid w:val="00701A81"/>
    <w:rsid w:val="00702C6B"/>
    <w:rsid w:val="007036DB"/>
    <w:rsid w:val="00703B17"/>
    <w:rsid w:val="00704B18"/>
    <w:rsid w:val="00704CCC"/>
    <w:rsid w:val="00706393"/>
    <w:rsid w:val="00706697"/>
    <w:rsid w:val="007066AB"/>
    <w:rsid w:val="00706C77"/>
    <w:rsid w:val="00706F1D"/>
    <w:rsid w:val="00707606"/>
    <w:rsid w:val="007110E8"/>
    <w:rsid w:val="00712BC3"/>
    <w:rsid w:val="00712EB4"/>
    <w:rsid w:val="007131F0"/>
    <w:rsid w:val="007145C1"/>
    <w:rsid w:val="0071475F"/>
    <w:rsid w:val="00715040"/>
    <w:rsid w:val="00716161"/>
    <w:rsid w:val="007161FA"/>
    <w:rsid w:val="007168CB"/>
    <w:rsid w:val="0071773F"/>
    <w:rsid w:val="00717B0A"/>
    <w:rsid w:val="0072030C"/>
    <w:rsid w:val="00722209"/>
    <w:rsid w:val="007243CD"/>
    <w:rsid w:val="00725552"/>
    <w:rsid w:val="00725BE8"/>
    <w:rsid w:val="00725FAF"/>
    <w:rsid w:val="007270F8"/>
    <w:rsid w:val="00727298"/>
    <w:rsid w:val="00730A66"/>
    <w:rsid w:val="00731618"/>
    <w:rsid w:val="007323D6"/>
    <w:rsid w:val="00733100"/>
    <w:rsid w:val="0073441C"/>
    <w:rsid w:val="00734DD9"/>
    <w:rsid w:val="0073504A"/>
    <w:rsid w:val="007363D7"/>
    <w:rsid w:val="0073642B"/>
    <w:rsid w:val="00736509"/>
    <w:rsid w:val="007367F1"/>
    <w:rsid w:val="007374F1"/>
    <w:rsid w:val="0074008F"/>
    <w:rsid w:val="00740531"/>
    <w:rsid w:val="0074074D"/>
    <w:rsid w:val="0074113D"/>
    <w:rsid w:val="007413C9"/>
    <w:rsid w:val="00742A03"/>
    <w:rsid w:val="00742E90"/>
    <w:rsid w:val="00743100"/>
    <w:rsid w:val="00743D3D"/>
    <w:rsid w:val="00745199"/>
    <w:rsid w:val="00745B78"/>
    <w:rsid w:val="00746098"/>
    <w:rsid w:val="00746305"/>
    <w:rsid w:val="0075132B"/>
    <w:rsid w:val="007518EB"/>
    <w:rsid w:val="00751911"/>
    <w:rsid w:val="00751E22"/>
    <w:rsid w:val="007525EC"/>
    <w:rsid w:val="00752B32"/>
    <w:rsid w:val="00754BF5"/>
    <w:rsid w:val="00756AAF"/>
    <w:rsid w:val="00756BB4"/>
    <w:rsid w:val="00756C1F"/>
    <w:rsid w:val="00756CBD"/>
    <w:rsid w:val="007570AC"/>
    <w:rsid w:val="00757655"/>
    <w:rsid w:val="00757748"/>
    <w:rsid w:val="00757911"/>
    <w:rsid w:val="0076063D"/>
    <w:rsid w:val="0076085A"/>
    <w:rsid w:val="00761307"/>
    <w:rsid w:val="007622D6"/>
    <w:rsid w:val="00762F7C"/>
    <w:rsid w:val="0076306E"/>
    <w:rsid w:val="007648F2"/>
    <w:rsid w:val="00764A6B"/>
    <w:rsid w:val="00765E39"/>
    <w:rsid w:val="00766197"/>
    <w:rsid w:val="00770FAA"/>
    <w:rsid w:val="007711DD"/>
    <w:rsid w:val="00771272"/>
    <w:rsid w:val="00772481"/>
    <w:rsid w:val="00773403"/>
    <w:rsid w:val="007745CB"/>
    <w:rsid w:val="007745D3"/>
    <w:rsid w:val="00776008"/>
    <w:rsid w:val="00776EA0"/>
    <w:rsid w:val="00777B79"/>
    <w:rsid w:val="00777BF7"/>
    <w:rsid w:val="00777C85"/>
    <w:rsid w:val="00780A23"/>
    <w:rsid w:val="00782327"/>
    <w:rsid w:val="007823B1"/>
    <w:rsid w:val="007832C9"/>
    <w:rsid w:val="00783A91"/>
    <w:rsid w:val="007841EB"/>
    <w:rsid w:val="00784284"/>
    <w:rsid w:val="00784B21"/>
    <w:rsid w:val="00785594"/>
    <w:rsid w:val="00785F95"/>
    <w:rsid w:val="007867E1"/>
    <w:rsid w:val="00787159"/>
    <w:rsid w:val="00787730"/>
    <w:rsid w:val="00787A77"/>
    <w:rsid w:val="00790200"/>
    <w:rsid w:val="0079026C"/>
    <w:rsid w:val="0079132B"/>
    <w:rsid w:val="007913CE"/>
    <w:rsid w:val="007920C6"/>
    <w:rsid w:val="0079297A"/>
    <w:rsid w:val="00793699"/>
    <w:rsid w:val="00793F56"/>
    <w:rsid w:val="007946B1"/>
    <w:rsid w:val="00794AFD"/>
    <w:rsid w:val="0079576B"/>
    <w:rsid w:val="007A00F0"/>
    <w:rsid w:val="007A0420"/>
    <w:rsid w:val="007A196F"/>
    <w:rsid w:val="007A2A10"/>
    <w:rsid w:val="007A2DFE"/>
    <w:rsid w:val="007A4622"/>
    <w:rsid w:val="007A491A"/>
    <w:rsid w:val="007A49E3"/>
    <w:rsid w:val="007A5446"/>
    <w:rsid w:val="007A6D3A"/>
    <w:rsid w:val="007A741F"/>
    <w:rsid w:val="007A7A3D"/>
    <w:rsid w:val="007B0577"/>
    <w:rsid w:val="007B06A4"/>
    <w:rsid w:val="007B101A"/>
    <w:rsid w:val="007B16D0"/>
    <w:rsid w:val="007B2BE4"/>
    <w:rsid w:val="007B351E"/>
    <w:rsid w:val="007B366A"/>
    <w:rsid w:val="007B3B8C"/>
    <w:rsid w:val="007B7052"/>
    <w:rsid w:val="007B70AB"/>
    <w:rsid w:val="007B72D9"/>
    <w:rsid w:val="007C0877"/>
    <w:rsid w:val="007C1456"/>
    <w:rsid w:val="007C15A0"/>
    <w:rsid w:val="007C1691"/>
    <w:rsid w:val="007C18F5"/>
    <w:rsid w:val="007C1BBB"/>
    <w:rsid w:val="007C1CD9"/>
    <w:rsid w:val="007C1D8C"/>
    <w:rsid w:val="007C1E81"/>
    <w:rsid w:val="007C3F49"/>
    <w:rsid w:val="007C4034"/>
    <w:rsid w:val="007C52DE"/>
    <w:rsid w:val="007C6C1B"/>
    <w:rsid w:val="007C6EBB"/>
    <w:rsid w:val="007C6F08"/>
    <w:rsid w:val="007C6FCA"/>
    <w:rsid w:val="007D0436"/>
    <w:rsid w:val="007D10CE"/>
    <w:rsid w:val="007D1855"/>
    <w:rsid w:val="007D2AD7"/>
    <w:rsid w:val="007D2F59"/>
    <w:rsid w:val="007D36EA"/>
    <w:rsid w:val="007D3AA5"/>
    <w:rsid w:val="007D4092"/>
    <w:rsid w:val="007D5968"/>
    <w:rsid w:val="007D6BAA"/>
    <w:rsid w:val="007E0B06"/>
    <w:rsid w:val="007E0D8B"/>
    <w:rsid w:val="007E1C29"/>
    <w:rsid w:val="007E26AE"/>
    <w:rsid w:val="007E35EA"/>
    <w:rsid w:val="007E369A"/>
    <w:rsid w:val="007E3809"/>
    <w:rsid w:val="007E3BB1"/>
    <w:rsid w:val="007E4493"/>
    <w:rsid w:val="007E47CB"/>
    <w:rsid w:val="007E481D"/>
    <w:rsid w:val="007E48B7"/>
    <w:rsid w:val="007E4BC1"/>
    <w:rsid w:val="007E4BC2"/>
    <w:rsid w:val="007E4D66"/>
    <w:rsid w:val="007E58E3"/>
    <w:rsid w:val="007E5D54"/>
    <w:rsid w:val="007E649C"/>
    <w:rsid w:val="007E656D"/>
    <w:rsid w:val="007E7846"/>
    <w:rsid w:val="007E7912"/>
    <w:rsid w:val="007F0509"/>
    <w:rsid w:val="007F12E7"/>
    <w:rsid w:val="007F146B"/>
    <w:rsid w:val="007F22B5"/>
    <w:rsid w:val="007F7060"/>
    <w:rsid w:val="0080223D"/>
    <w:rsid w:val="008022D3"/>
    <w:rsid w:val="008026F4"/>
    <w:rsid w:val="00802B10"/>
    <w:rsid w:val="00802F65"/>
    <w:rsid w:val="00803831"/>
    <w:rsid w:val="00804434"/>
    <w:rsid w:val="00804839"/>
    <w:rsid w:val="0080761A"/>
    <w:rsid w:val="00807DA9"/>
    <w:rsid w:val="00810EF6"/>
    <w:rsid w:val="00811D43"/>
    <w:rsid w:val="008121E7"/>
    <w:rsid w:val="00813D97"/>
    <w:rsid w:val="00814300"/>
    <w:rsid w:val="008147C0"/>
    <w:rsid w:val="00815F5A"/>
    <w:rsid w:val="00817366"/>
    <w:rsid w:val="0082018A"/>
    <w:rsid w:val="00820B51"/>
    <w:rsid w:val="00821F78"/>
    <w:rsid w:val="00823470"/>
    <w:rsid w:val="008234B3"/>
    <w:rsid w:val="0082368E"/>
    <w:rsid w:val="0082384B"/>
    <w:rsid w:val="00823CCF"/>
    <w:rsid w:val="00824D2A"/>
    <w:rsid w:val="00826580"/>
    <w:rsid w:val="008276C4"/>
    <w:rsid w:val="00827E00"/>
    <w:rsid w:val="008308AE"/>
    <w:rsid w:val="0083258A"/>
    <w:rsid w:val="0083309C"/>
    <w:rsid w:val="008333C2"/>
    <w:rsid w:val="00833E0E"/>
    <w:rsid w:val="00834676"/>
    <w:rsid w:val="00834C97"/>
    <w:rsid w:val="008357DC"/>
    <w:rsid w:val="00835AE9"/>
    <w:rsid w:val="008360B0"/>
    <w:rsid w:val="008364C5"/>
    <w:rsid w:val="008370B6"/>
    <w:rsid w:val="0083763B"/>
    <w:rsid w:val="008409F5"/>
    <w:rsid w:val="008410B6"/>
    <w:rsid w:val="00842C7A"/>
    <w:rsid w:val="00842CCF"/>
    <w:rsid w:val="00842D93"/>
    <w:rsid w:val="008430E0"/>
    <w:rsid w:val="00843198"/>
    <w:rsid w:val="0084487E"/>
    <w:rsid w:val="0084664E"/>
    <w:rsid w:val="00847241"/>
    <w:rsid w:val="00847520"/>
    <w:rsid w:val="0085009A"/>
    <w:rsid w:val="00850B2E"/>
    <w:rsid w:val="00851328"/>
    <w:rsid w:val="00852043"/>
    <w:rsid w:val="0085340F"/>
    <w:rsid w:val="008539CF"/>
    <w:rsid w:val="00853D82"/>
    <w:rsid w:val="00853D84"/>
    <w:rsid w:val="00853ED8"/>
    <w:rsid w:val="008549AF"/>
    <w:rsid w:val="00854C14"/>
    <w:rsid w:val="008558CD"/>
    <w:rsid w:val="00855A4A"/>
    <w:rsid w:val="00860327"/>
    <w:rsid w:val="00860BB5"/>
    <w:rsid w:val="00860DAB"/>
    <w:rsid w:val="0086123A"/>
    <w:rsid w:val="0086185D"/>
    <w:rsid w:val="00862743"/>
    <w:rsid w:val="00863B2A"/>
    <w:rsid w:val="00863D2D"/>
    <w:rsid w:val="008648AB"/>
    <w:rsid w:val="00864A6E"/>
    <w:rsid w:val="00864AF3"/>
    <w:rsid w:val="00865A89"/>
    <w:rsid w:val="00865AE5"/>
    <w:rsid w:val="00865B1F"/>
    <w:rsid w:val="00867187"/>
    <w:rsid w:val="00870449"/>
    <w:rsid w:val="00870D3D"/>
    <w:rsid w:val="0087192A"/>
    <w:rsid w:val="00871B3C"/>
    <w:rsid w:val="00871BF6"/>
    <w:rsid w:val="00871F13"/>
    <w:rsid w:val="0087270C"/>
    <w:rsid w:val="00872A6C"/>
    <w:rsid w:val="0087379E"/>
    <w:rsid w:val="008742FF"/>
    <w:rsid w:val="0087468F"/>
    <w:rsid w:val="0087626D"/>
    <w:rsid w:val="00876AA6"/>
    <w:rsid w:val="00876B4E"/>
    <w:rsid w:val="0087733F"/>
    <w:rsid w:val="008778FD"/>
    <w:rsid w:val="0088008D"/>
    <w:rsid w:val="0088050E"/>
    <w:rsid w:val="00881A5A"/>
    <w:rsid w:val="00881CCA"/>
    <w:rsid w:val="00881F0C"/>
    <w:rsid w:val="00882C79"/>
    <w:rsid w:val="00884051"/>
    <w:rsid w:val="008874C7"/>
    <w:rsid w:val="008900F7"/>
    <w:rsid w:val="00891686"/>
    <w:rsid w:val="00891726"/>
    <w:rsid w:val="00892A63"/>
    <w:rsid w:val="00892DBF"/>
    <w:rsid w:val="00893605"/>
    <w:rsid w:val="00894FA8"/>
    <w:rsid w:val="00895C27"/>
    <w:rsid w:val="008961DA"/>
    <w:rsid w:val="008969DC"/>
    <w:rsid w:val="00896E01"/>
    <w:rsid w:val="00897E1C"/>
    <w:rsid w:val="008A0E60"/>
    <w:rsid w:val="008A40F5"/>
    <w:rsid w:val="008A5F9B"/>
    <w:rsid w:val="008A641D"/>
    <w:rsid w:val="008A69D5"/>
    <w:rsid w:val="008A702A"/>
    <w:rsid w:val="008A7C57"/>
    <w:rsid w:val="008A7F97"/>
    <w:rsid w:val="008B0559"/>
    <w:rsid w:val="008B08DA"/>
    <w:rsid w:val="008B11D3"/>
    <w:rsid w:val="008B12EF"/>
    <w:rsid w:val="008B29DB"/>
    <w:rsid w:val="008B3853"/>
    <w:rsid w:val="008B4CF6"/>
    <w:rsid w:val="008B5465"/>
    <w:rsid w:val="008B5736"/>
    <w:rsid w:val="008B688A"/>
    <w:rsid w:val="008B7A72"/>
    <w:rsid w:val="008C1016"/>
    <w:rsid w:val="008C1654"/>
    <w:rsid w:val="008C1801"/>
    <w:rsid w:val="008C347F"/>
    <w:rsid w:val="008C3C20"/>
    <w:rsid w:val="008C5641"/>
    <w:rsid w:val="008C5806"/>
    <w:rsid w:val="008C6B78"/>
    <w:rsid w:val="008C787A"/>
    <w:rsid w:val="008C79BF"/>
    <w:rsid w:val="008C7EBF"/>
    <w:rsid w:val="008D0279"/>
    <w:rsid w:val="008D02A4"/>
    <w:rsid w:val="008D02E8"/>
    <w:rsid w:val="008D068D"/>
    <w:rsid w:val="008D0707"/>
    <w:rsid w:val="008D08E2"/>
    <w:rsid w:val="008D0F9B"/>
    <w:rsid w:val="008D1135"/>
    <w:rsid w:val="008D1DA4"/>
    <w:rsid w:val="008D1F99"/>
    <w:rsid w:val="008D2028"/>
    <w:rsid w:val="008D2C87"/>
    <w:rsid w:val="008D3739"/>
    <w:rsid w:val="008D3C0B"/>
    <w:rsid w:val="008D3CEC"/>
    <w:rsid w:val="008D3EB7"/>
    <w:rsid w:val="008D463F"/>
    <w:rsid w:val="008D6461"/>
    <w:rsid w:val="008D7AC7"/>
    <w:rsid w:val="008E00A6"/>
    <w:rsid w:val="008E0E1E"/>
    <w:rsid w:val="008E1C23"/>
    <w:rsid w:val="008E1D2D"/>
    <w:rsid w:val="008E25D1"/>
    <w:rsid w:val="008E318B"/>
    <w:rsid w:val="008E40F6"/>
    <w:rsid w:val="008E4A10"/>
    <w:rsid w:val="008E4E0B"/>
    <w:rsid w:val="008E56F9"/>
    <w:rsid w:val="008E626A"/>
    <w:rsid w:val="008E6D31"/>
    <w:rsid w:val="008E7552"/>
    <w:rsid w:val="008E755F"/>
    <w:rsid w:val="008F03CE"/>
    <w:rsid w:val="008F0985"/>
    <w:rsid w:val="008F0BA6"/>
    <w:rsid w:val="008F12EE"/>
    <w:rsid w:val="008F333E"/>
    <w:rsid w:val="008F362F"/>
    <w:rsid w:val="008F3D2C"/>
    <w:rsid w:val="008F4343"/>
    <w:rsid w:val="008F54A0"/>
    <w:rsid w:val="008F6560"/>
    <w:rsid w:val="008F6BA1"/>
    <w:rsid w:val="008F6FD3"/>
    <w:rsid w:val="008F75DD"/>
    <w:rsid w:val="00900547"/>
    <w:rsid w:val="00900C87"/>
    <w:rsid w:val="0090220F"/>
    <w:rsid w:val="0090326E"/>
    <w:rsid w:val="00905B2E"/>
    <w:rsid w:val="00905CC5"/>
    <w:rsid w:val="00905DAC"/>
    <w:rsid w:val="00906729"/>
    <w:rsid w:val="00907F8C"/>
    <w:rsid w:val="009101E6"/>
    <w:rsid w:val="00911677"/>
    <w:rsid w:val="00911CFB"/>
    <w:rsid w:val="00911D4A"/>
    <w:rsid w:val="0091293B"/>
    <w:rsid w:val="00912A8A"/>
    <w:rsid w:val="00912B98"/>
    <w:rsid w:val="00913043"/>
    <w:rsid w:val="00913128"/>
    <w:rsid w:val="0091313E"/>
    <w:rsid w:val="00913AB2"/>
    <w:rsid w:val="00914CD4"/>
    <w:rsid w:val="009153CC"/>
    <w:rsid w:val="00915446"/>
    <w:rsid w:val="00915556"/>
    <w:rsid w:val="00915578"/>
    <w:rsid w:val="00915669"/>
    <w:rsid w:val="00915680"/>
    <w:rsid w:val="00915C4F"/>
    <w:rsid w:val="00915CFC"/>
    <w:rsid w:val="0091628C"/>
    <w:rsid w:val="00916D56"/>
    <w:rsid w:val="009206DD"/>
    <w:rsid w:val="00920A7C"/>
    <w:rsid w:val="00920CF5"/>
    <w:rsid w:val="009215CC"/>
    <w:rsid w:val="009217C7"/>
    <w:rsid w:val="00921E76"/>
    <w:rsid w:val="00921E8F"/>
    <w:rsid w:val="00923928"/>
    <w:rsid w:val="009248FA"/>
    <w:rsid w:val="00924BF0"/>
    <w:rsid w:val="00924D29"/>
    <w:rsid w:val="009267C2"/>
    <w:rsid w:val="00931B64"/>
    <w:rsid w:val="00931E16"/>
    <w:rsid w:val="0093301F"/>
    <w:rsid w:val="00933060"/>
    <w:rsid w:val="009333AF"/>
    <w:rsid w:val="00933625"/>
    <w:rsid w:val="00933A31"/>
    <w:rsid w:val="00933E18"/>
    <w:rsid w:val="00934F5E"/>
    <w:rsid w:val="00935CFA"/>
    <w:rsid w:val="00936167"/>
    <w:rsid w:val="00936A02"/>
    <w:rsid w:val="00940178"/>
    <w:rsid w:val="00940764"/>
    <w:rsid w:val="00941097"/>
    <w:rsid w:val="009420D1"/>
    <w:rsid w:val="009425A0"/>
    <w:rsid w:val="009438E3"/>
    <w:rsid w:val="00944D8A"/>
    <w:rsid w:val="009452FA"/>
    <w:rsid w:val="009466A3"/>
    <w:rsid w:val="00946BDA"/>
    <w:rsid w:val="00946FC7"/>
    <w:rsid w:val="00947746"/>
    <w:rsid w:val="0094799A"/>
    <w:rsid w:val="00947C54"/>
    <w:rsid w:val="009506C7"/>
    <w:rsid w:val="00950C5E"/>
    <w:rsid w:val="00951B75"/>
    <w:rsid w:val="00951DA1"/>
    <w:rsid w:val="00952002"/>
    <w:rsid w:val="00952A8D"/>
    <w:rsid w:val="00952BAC"/>
    <w:rsid w:val="00953208"/>
    <w:rsid w:val="0095327A"/>
    <w:rsid w:val="00953519"/>
    <w:rsid w:val="00953AA8"/>
    <w:rsid w:val="00955737"/>
    <w:rsid w:val="00956708"/>
    <w:rsid w:val="009574E2"/>
    <w:rsid w:val="00957B92"/>
    <w:rsid w:val="00960165"/>
    <w:rsid w:val="00960665"/>
    <w:rsid w:val="00960CED"/>
    <w:rsid w:val="00961021"/>
    <w:rsid w:val="00961266"/>
    <w:rsid w:val="009613A3"/>
    <w:rsid w:val="00961416"/>
    <w:rsid w:val="00961616"/>
    <w:rsid w:val="00961F4D"/>
    <w:rsid w:val="00962613"/>
    <w:rsid w:val="00962716"/>
    <w:rsid w:val="00963035"/>
    <w:rsid w:val="00963059"/>
    <w:rsid w:val="00963136"/>
    <w:rsid w:val="00963D3C"/>
    <w:rsid w:val="009641C7"/>
    <w:rsid w:val="009647EA"/>
    <w:rsid w:val="009661C5"/>
    <w:rsid w:val="0096660B"/>
    <w:rsid w:val="00966860"/>
    <w:rsid w:val="00966C0F"/>
    <w:rsid w:val="00966E0C"/>
    <w:rsid w:val="009711AC"/>
    <w:rsid w:val="009713AD"/>
    <w:rsid w:val="00971ECF"/>
    <w:rsid w:val="00972C43"/>
    <w:rsid w:val="00973C28"/>
    <w:rsid w:val="00973F40"/>
    <w:rsid w:val="009740AA"/>
    <w:rsid w:val="00974E2D"/>
    <w:rsid w:val="00975FE9"/>
    <w:rsid w:val="009761E1"/>
    <w:rsid w:val="0097662B"/>
    <w:rsid w:val="00976FDC"/>
    <w:rsid w:val="00977B5E"/>
    <w:rsid w:val="00977BDC"/>
    <w:rsid w:val="00980C07"/>
    <w:rsid w:val="00980DDB"/>
    <w:rsid w:val="009813BA"/>
    <w:rsid w:val="009823C8"/>
    <w:rsid w:val="00982879"/>
    <w:rsid w:val="00983351"/>
    <w:rsid w:val="00983C41"/>
    <w:rsid w:val="0098493F"/>
    <w:rsid w:val="00984AE8"/>
    <w:rsid w:val="00984CC6"/>
    <w:rsid w:val="00984CFA"/>
    <w:rsid w:val="00985447"/>
    <w:rsid w:val="00985644"/>
    <w:rsid w:val="0098589C"/>
    <w:rsid w:val="009864F9"/>
    <w:rsid w:val="00986851"/>
    <w:rsid w:val="009876B6"/>
    <w:rsid w:val="00990093"/>
    <w:rsid w:val="00990471"/>
    <w:rsid w:val="00992F5F"/>
    <w:rsid w:val="00993001"/>
    <w:rsid w:val="00994213"/>
    <w:rsid w:val="00994468"/>
    <w:rsid w:val="00995027"/>
    <w:rsid w:val="00996273"/>
    <w:rsid w:val="00996BA9"/>
    <w:rsid w:val="00996CD0"/>
    <w:rsid w:val="00997388"/>
    <w:rsid w:val="009973FA"/>
    <w:rsid w:val="009A0F7C"/>
    <w:rsid w:val="009A113B"/>
    <w:rsid w:val="009A13E2"/>
    <w:rsid w:val="009A1747"/>
    <w:rsid w:val="009A3331"/>
    <w:rsid w:val="009A3D51"/>
    <w:rsid w:val="009A4E0F"/>
    <w:rsid w:val="009A50AC"/>
    <w:rsid w:val="009A629A"/>
    <w:rsid w:val="009A6368"/>
    <w:rsid w:val="009A65C1"/>
    <w:rsid w:val="009A743B"/>
    <w:rsid w:val="009B035F"/>
    <w:rsid w:val="009B0375"/>
    <w:rsid w:val="009B0792"/>
    <w:rsid w:val="009B0A96"/>
    <w:rsid w:val="009B139A"/>
    <w:rsid w:val="009B17D8"/>
    <w:rsid w:val="009B196F"/>
    <w:rsid w:val="009B1C64"/>
    <w:rsid w:val="009B2080"/>
    <w:rsid w:val="009B2213"/>
    <w:rsid w:val="009B2783"/>
    <w:rsid w:val="009B34A8"/>
    <w:rsid w:val="009B479F"/>
    <w:rsid w:val="009B4D01"/>
    <w:rsid w:val="009B5016"/>
    <w:rsid w:val="009B59BE"/>
    <w:rsid w:val="009B5B61"/>
    <w:rsid w:val="009B5C21"/>
    <w:rsid w:val="009B5DCE"/>
    <w:rsid w:val="009B6127"/>
    <w:rsid w:val="009B63F0"/>
    <w:rsid w:val="009B72B4"/>
    <w:rsid w:val="009B7BFF"/>
    <w:rsid w:val="009C018B"/>
    <w:rsid w:val="009C0E65"/>
    <w:rsid w:val="009C366F"/>
    <w:rsid w:val="009C3CD4"/>
    <w:rsid w:val="009C4CB1"/>
    <w:rsid w:val="009C57A9"/>
    <w:rsid w:val="009C5933"/>
    <w:rsid w:val="009C5A28"/>
    <w:rsid w:val="009C7896"/>
    <w:rsid w:val="009C7C97"/>
    <w:rsid w:val="009D04D7"/>
    <w:rsid w:val="009D1FDE"/>
    <w:rsid w:val="009D29F0"/>
    <w:rsid w:val="009D331F"/>
    <w:rsid w:val="009D3FC0"/>
    <w:rsid w:val="009D421F"/>
    <w:rsid w:val="009D428C"/>
    <w:rsid w:val="009D4928"/>
    <w:rsid w:val="009D4A3B"/>
    <w:rsid w:val="009D5459"/>
    <w:rsid w:val="009D546C"/>
    <w:rsid w:val="009D6C0B"/>
    <w:rsid w:val="009D7350"/>
    <w:rsid w:val="009E00B8"/>
    <w:rsid w:val="009E044F"/>
    <w:rsid w:val="009E1476"/>
    <w:rsid w:val="009E1E33"/>
    <w:rsid w:val="009E1EE3"/>
    <w:rsid w:val="009E4613"/>
    <w:rsid w:val="009E4624"/>
    <w:rsid w:val="009E4FAE"/>
    <w:rsid w:val="009E51A9"/>
    <w:rsid w:val="009E545A"/>
    <w:rsid w:val="009E5F54"/>
    <w:rsid w:val="009E62DC"/>
    <w:rsid w:val="009E646C"/>
    <w:rsid w:val="009E7110"/>
    <w:rsid w:val="009E7459"/>
    <w:rsid w:val="009F086B"/>
    <w:rsid w:val="009F1D9B"/>
    <w:rsid w:val="009F2982"/>
    <w:rsid w:val="009F30C3"/>
    <w:rsid w:val="009F40AD"/>
    <w:rsid w:val="009F52B5"/>
    <w:rsid w:val="009F5F8E"/>
    <w:rsid w:val="009F68E8"/>
    <w:rsid w:val="009F691B"/>
    <w:rsid w:val="009F6C16"/>
    <w:rsid w:val="009F7A01"/>
    <w:rsid w:val="00A0052C"/>
    <w:rsid w:val="00A00B1C"/>
    <w:rsid w:val="00A01E29"/>
    <w:rsid w:val="00A020AA"/>
    <w:rsid w:val="00A02510"/>
    <w:rsid w:val="00A04066"/>
    <w:rsid w:val="00A04E6C"/>
    <w:rsid w:val="00A04FA7"/>
    <w:rsid w:val="00A04FF8"/>
    <w:rsid w:val="00A05AA2"/>
    <w:rsid w:val="00A05E17"/>
    <w:rsid w:val="00A061A5"/>
    <w:rsid w:val="00A07927"/>
    <w:rsid w:val="00A07DEA"/>
    <w:rsid w:val="00A10E9B"/>
    <w:rsid w:val="00A110F1"/>
    <w:rsid w:val="00A11D25"/>
    <w:rsid w:val="00A12181"/>
    <w:rsid w:val="00A123F7"/>
    <w:rsid w:val="00A129D2"/>
    <w:rsid w:val="00A12DA2"/>
    <w:rsid w:val="00A132E1"/>
    <w:rsid w:val="00A143D5"/>
    <w:rsid w:val="00A14456"/>
    <w:rsid w:val="00A147FB"/>
    <w:rsid w:val="00A14D43"/>
    <w:rsid w:val="00A15788"/>
    <w:rsid w:val="00A1589D"/>
    <w:rsid w:val="00A1744A"/>
    <w:rsid w:val="00A1776F"/>
    <w:rsid w:val="00A17DF8"/>
    <w:rsid w:val="00A17E18"/>
    <w:rsid w:val="00A17E73"/>
    <w:rsid w:val="00A2049C"/>
    <w:rsid w:val="00A204E4"/>
    <w:rsid w:val="00A206B1"/>
    <w:rsid w:val="00A21E3D"/>
    <w:rsid w:val="00A226BB"/>
    <w:rsid w:val="00A23B1E"/>
    <w:rsid w:val="00A23FA9"/>
    <w:rsid w:val="00A24E23"/>
    <w:rsid w:val="00A25695"/>
    <w:rsid w:val="00A25FEA"/>
    <w:rsid w:val="00A2627C"/>
    <w:rsid w:val="00A26595"/>
    <w:rsid w:val="00A26FC4"/>
    <w:rsid w:val="00A27DEA"/>
    <w:rsid w:val="00A302AD"/>
    <w:rsid w:val="00A30A3D"/>
    <w:rsid w:val="00A31105"/>
    <w:rsid w:val="00A31ABA"/>
    <w:rsid w:val="00A32150"/>
    <w:rsid w:val="00A32819"/>
    <w:rsid w:val="00A32EBB"/>
    <w:rsid w:val="00A33A03"/>
    <w:rsid w:val="00A33CC4"/>
    <w:rsid w:val="00A35B66"/>
    <w:rsid w:val="00A35F12"/>
    <w:rsid w:val="00A36C54"/>
    <w:rsid w:val="00A37E3A"/>
    <w:rsid w:val="00A427F1"/>
    <w:rsid w:val="00A42B6B"/>
    <w:rsid w:val="00A43479"/>
    <w:rsid w:val="00A43A45"/>
    <w:rsid w:val="00A443DA"/>
    <w:rsid w:val="00A46A67"/>
    <w:rsid w:val="00A46AE1"/>
    <w:rsid w:val="00A50B70"/>
    <w:rsid w:val="00A50FB1"/>
    <w:rsid w:val="00A521A4"/>
    <w:rsid w:val="00A52283"/>
    <w:rsid w:val="00A52F94"/>
    <w:rsid w:val="00A537D4"/>
    <w:rsid w:val="00A537F0"/>
    <w:rsid w:val="00A540E0"/>
    <w:rsid w:val="00A5434F"/>
    <w:rsid w:val="00A54C6D"/>
    <w:rsid w:val="00A5539A"/>
    <w:rsid w:val="00A553FD"/>
    <w:rsid w:val="00A56750"/>
    <w:rsid w:val="00A579D7"/>
    <w:rsid w:val="00A57E1B"/>
    <w:rsid w:val="00A60D0E"/>
    <w:rsid w:val="00A61169"/>
    <w:rsid w:val="00A62946"/>
    <w:rsid w:val="00A63186"/>
    <w:rsid w:val="00A63849"/>
    <w:rsid w:val="00A64440"/>
    <w:rsid w:val="00A650EF"/>
    <w:rsid w:val="00A651C8"/>
    <w:rsid w:val="00A656A0"/>
    <w:rsid w:val="00A65856"/>
    <w:rsid w:val="00A715D6"/>
    <w:rsid w:val="00A718E4"/>
    <w:rsid w:val="00A71EFD"/>
    <w:rsid w:val="00A7266D"/>
    <w:rsid w:val="00A72E20"/>
    <w:rsid w:val="00A7304E"/>
    <w:rsid w:val="00A75EC4"/>
    <w:rsid w:val="00A764D3"/>
    <w:rsid w:val="00A7707C"/>
    <w:rsid w:val="00A77BF1"/>
    <w:rsid w:val="00A8019F"/>
    <w:rsid w:val="00A80320"/>
    <w:rsid w:val="00A80434"/>
    <w:rsid w:val="00A8096F"/>
    <w:rsid w:val="00A810A9"/>
    <w:rsid w:val="00A81C84"/>
    <w:rsid w:val="00A81E1E"/>
    <w:rsid w:val="00A826EC"/>
    <w:rsid w:val="00A82907"/>
    <w:rsid w:val="00A834FB"/>
    <w:rsid w:val="00A8395E"/>
    <w:rsid w:val="00A84365"/>
    <w:rsid w:val="00A84E9D"/>
    <w:rsid w:val="00A865C8"/>
    <w:rsid w:val="00A867AA"/>
    <w:rsid w:val="00A868D6"/>
    <w:rsid w:val="00A86B02"/>
    <w:rsid w:val="00A86B29"/>
    <w:rsid w:val="00A86F6A"/>
    <w:rsid w:val="00A9240D"/>
    <w:rsid w:val="00A92485"/>
    <w:rsid w:val="00A93CC8"/>
    <w:rsid w:val="00A94704"/>
    <w:rsid w:val="00A95221"/>
    <w:rsid w:val="00A95C62"/>
    <w:rsid w:val="00A95CCD"/>
    <w:rsid w:val="00A96555"/>
    <w:rsid w:val="00A96EC9"/>
    <w:rsid w:val="00A970AE"/>
    <w:rsid w:val="00A971ED"/>
    <w:rsid w:val="00A97B07"/>
    <w:rsid w:val="00AA0459"/>
    <w:rsid w:val="00AA1AEB"/>
    <w:rsid w:val="00AA3359"/>
    <w:rsid w:val="00AA3700"/>
    <w:rsid w:val="00AA41D2"/>
    <w:rsid w:val="00AA43BF"/>
    <w:rsid w:val="00AA4E18"/>
    <w:rsid w:val="00AA550E"/>
    <w:rsid w:val="00AA57FB"/>
    <w:rsid w:val="00AA6E43"/>
    <w:rsid w:val="00AA7C83"/>
    <w:rsid w:val="00AB1671"/>
    <w:rsid w:val="00AB355F"/>
    <w:rsid w:val="00AB36B0"/>
    <w:rsid w:val="00AB3C3C"/>
    <w:rsid w:val="00AB4161"/>
    <w:rsid w:val="00AB43AD"/>
    <w:rsid w:val="00AB5B08"/>
    <w:rsid w:val="00AB743E"/>
    <w:rsid w:val="00AC013A"/>
    <w:rsid w:val="00AC1E4C"/>
    <w:rsid w:val="00AC201E"/>
    <w:rsid w:val="00AC2F37"/>
    <w:rsid w:val="00AC3BD9"/>
    <w:rsid w:val="00AC434E"/>
    <w:rsid w:val="00AC5294"/>
    <w:rsid w:val="00AC53D3"/>
    <w:rsid w:val="00AC597D"/>
    <w:rsid w:val="00AC59CA"/>
    <w:rsid w:val="00AC7E6C"/>
    <w:rsid w:val="00AD13E4"/>
    <w:rsid w:val="00AD1B19"/>
    <w:rsid w:val="00AD2B22"/>
    <w:rsid w:val="00AD2B38"/>
    <w:rsid w:val="00AD3858"/>
    <w:rsid w:val="00AD466D"/>
    <w:rsid w:val="00AD6F4E"/>
    <w:rsid w:val="00AD7AE5"/>
    <w:rsid w:val="00AE0102"/>
    <w:rsid w:val="00AE0B26"/>
    <w:rsid w:val="00AE0B5B"/>
    <w:rsid w:val="00AE0C7C"/>
    <w:rsid w:val="00AE10B2"/>
    <w:rsid w:val="00AE2CE3"/>
    <w:rsid w:val="00AE48B4"/>
    <w:rsid w:val="00AE53CD"/>
    <w:rsid w:val="00AE54AC"/>
    <w:rsid w:val="00AE653A"/>
    <w:rsid w:val="00AE6FAD"/>
    <w:rsid w:val="00AE751F"/>
    <w:rsid w:val="00AE7CBC"/>
    <w:rsid w:val="00AF00A2"/>
    <w:rsid w:val="00AF0208"/>
    <w:rsid w:val="00AF0333"/>
    <w:rsid w:val="00AF1286"/>
    <w:rsid w:val="00AF1A83"/>
    <w:rsid w:val="00AF1B4B"/>
    <w:rsid w:val="00AF2D2C"/>
    <w:rsid w:val="00AF4C1B"/>
    <w:rsid w:val="00AF52D4"/>
    <w:rsid w:val="00AF5368"/>
    <w:rsid w:val="00AF586C"/>
    <w:rsid w:val="00AF5F53"/>
    <w:rsid w:val="00AF64D7"/>
    <w:rsid w:val="00B01153"/>
    <w:rsid w:val="00B024B8"/>
    <w:rsid w:val="00B02A21"/>
    <w:rsid w:val="00B02C17"/>
    <w:rsid w:val="00B04E7E"/>
    <w:rsid w:val="00B05CFA"/>
    <w:rsid w:val="00B060BB"/>
    <w:rsid w:val="00B07C96"/>
    <w:rsid w:val="00B10BDE"/>
    <w:rsid w:val="00B126A6"/>
    <w:rsid w:val="00B13162"/>
    <w:rsid w:val="00B156C8"/>
    <w:rsid w:val="00B16269"/>
    <w:rsid w:val="00B165F5"/>
    <w:rsid w:val="00B17729"/>
    <w:rsid w:val="00B20AE5"/>
    <w:rsid w:val="00B21621"/>
    <w:rsid w:val="00B21890"/>
    <w:rsid w:val="00B221B9"/>
    <w:rsid w:val="00B22AAE"/>
    <w:rsid w:val="00B23C9F"/>
    <w:rsid w:val="00B243CB"/>
    <w:rsid w:val="00B25336"/>
    <w:rsid w:val="00B25E74"/>
    <w:rsid w:val="00B25FEF"/>
    <w:rsid w:val="00B26E3E"/>
    <w:rsid w:val="00B2736B"/>
    <w:rsid w:val="00B27B6F"/>
    <w:rsid w:val="00B27C3E"/>
    <w:rsid w:val="00B3005A"/>
    <w:rsid w:val="00B3098F"/>
    <w:rsid w:val="00B310A0"/>
    <w:rsid w:val="00B31395"/>
    <w:rsid w:val="00B32369"/>
    <w:rsid w:val="00B3440F"/>
    <w:rsid w:val="00B34DC3"/>
    <w:rsid w:val="00B357A7"/>
    <w:rsid w:val="00B35B07"/>
    <w:rsid w:val="00B365F0"/>
    <w:rsid w:val="00B36B4A"/>
    <w:rsid w:val="00B36C79"/>
    <w:rsid w:val="00B37377"/>
    <w:rsid w:val="00B37A42"/>
    <w:rsid w:val="00B415C5"/>
    <w:rsid w:val="00B417ED"/>
    <w:rsid w:val="00B41AA4"/>
    <w:rsid w:val="00B420E3"/>
    <w:rsid w:val="00B42957"/>
    <w:rsid w:val="00B42EC9"/>
    <w:rsid w:val="00B43BFF"/>
    <w:rsid w:val="00B43DEA"/>
    <w:rsid w:val="00B4401D"/>
    <w:rsid w:val="00B44457"/>
    <w:rsid w:val="00B44E94"/>
    <w:rsid w:val="00B451C4"/>
    <w:rsid w:val="00B46C74"/>
    <w:rsid w:val="00B46C82"/>
    <w:rsid w:val="00B47649"/>
    <w:rsid w:val="00B50559"/>
    <w:rsid w:val="00B52DE3"/>
    <w:rsid w:val="00B5301B"/>
    <w:rsid w:val="00B534C4"/>
    <w:rsid w:val="00B53D46"/>
    <w:rsid w:val="00B53EDC"/>
    <w:rsid w:val="00B5402C"/>
    <w:rsid w:val="00B54FEE"/>
    <w:rsid w:val="00B5503C"/>
    <w:rsid w:val="00B5538B"/>
    <w:rsid w:val="00B557E4"/>
    <w:rsid w:val="00B55875"/>
    <w:rsid w:val="00B5674F"/>
    <w:rsid w:val="00B57376"/>
    <w:rsid w:val="00B57BA3"/>
    <w:rsid w:val="00B6166E"/>
    <w:rsid w:val="00B623FA"/>
    <w:rsid w:val="00B64F78"/>
    <w:rsid w:val="00B654F6"/>
    <w:rsid w:val="00B65996"/>
    <w:rsid w:val="00B70A0F"/>
    <w:rsid w:val="00B70B65"/>
    <w:rsid w:val="00B71116"/>
    <w:rsid w:val="00B7139C"/>
    <w:rsid w:val="00B71AA6"/>
    <w:rsid w:val="00B71C67"/>
    <w:rsid w:val="00B72F08"/>
    <w:rsid w:val="00B74184"/>
    <w:rsid w:val="00B75416"/>
    <w:rsid w:val="00B7777A"/>
    <w:rsid w:val="00B77817"/>
    <w:rsid w:val="00B77D22"/>
    <w:rsid w:val="00B8088A"/>
    <w:rsid w:val="00B80D98"/>
    <w:rsid w:val="00B81F3D"/>
    <w:rsid w:val="00B82D93"/>
    <w:rsid w:val="00B831BA"/>
    <w:rsid w:val="00B83A6D"/>
    <w:rsid w:val="00B83AD7"/>
    <w:rsid w:val="00B84BE1"/>
    <w:rsid w:val="00B8532B"/>
    <w:rsid w:val="00B85B27"/>
    <w:rsid w:val="00B85E0C"/>
    <w:rsid w:val="00B86B9D"/>
    <w:rsid w:val="00B86FCF"/>
    <w:rsid w:val="00B90074"/>
    <w:rsid w:val="00B901B0"/>
    <w:rsid w:val="00B90CC7"/>
    <w:rsid w:val="00B91457"/>
    <w:rsid w:val="00B915BB"/>
    <w:rsid w:val="00B91C5A"/>
    <w:rsid w:val="00B91E50"/>
    <w:rsid w:val="00B92191"/>
    <w:rsid w:val="00B924FA"/>
    <w:rsid w:val="00B9252C"/>
    <w:rsid w:val="00B92EE6"/>
    <w:rsid w:val="00B9370E"/>
    <w:rsid w:val="00B93D86"/>
    <w:rsid w:val="00B957EB"/>
    <w:rsid w:val="00B962A9"/>
    <w:rsid w:val="00B962B7"/>
    <w:rsid w:val="00B968EB"/>
    <w:rsid w:val="00B96ACD"/>
    <w:rsid w:val="00B96B78"/>
    <w:rsid w:val="00B96F86"/>
    <w:rsid w:val="00B97C7D"/>
    <w:rsid w:val="00BA0C7A"/>
    <w:rsid w:val="00BA1831"/>
    <w:rsid w:val="00BA1AA7"/>
    <w:rsid w:val="00BA1B8A"/>
    <w:rsid w:val="00BA22D9"/>
    <w:rsid w:val="00BA27F7"/>
    <w:rsid w:val="00BA3C4C"/>
    <w:rsid w:val="00BA4057"/>
    <w:rsid w:val="00BA4742"/>
    <w:rsid w:val="00BA4A0B"/>
    <w:rsid w:val="00BA4F7E"/>
    <w:rsid w:val="00BA5D78"/>
    <w:rsid w:val="00BA66E9"/>
    <w:rsid w:val="00BA6802"/>
    <w:rsid w:val="00BA70F6"/>
    <w:rsid w:val="00BB1777"/>
    <w:rsid w:val="00BB18AB"/>
    <w:rsid w:val="00BB1E78"/>
    <w:rsid w:val="00BB1E93"/>
    <w:rsid w:val="00BB1F6F"/>
    <w:rsid w:val="00BB21AB"/>
    <w:rsid w:val="00BB2713"/>
    <w:rsid w:val="00BB3A62"/>
    <w:rsid w:val="00BB4639"/>
    <w:rsid w:val="00BB47D9"/>
    <w:rsid w:val="00BB4BD0"/>
    <w:rsid w:val="00BB5333"/>
    <w:rsid w:val="00BB6E62"/>
    <w:rsid w:val="00BB7C01"/>
    <w:rsid w:val="00BC113D"/>
    <w:rsid w:val="00BC22F8"/>
    <w:rsid w:val="00BC2FA2"/>
    <w:rsid w:val="00BC4491"/>
    <w:rsid w:val="00BC615E"/>
    <w:rsid w:val="00BC647A"/>
    <w:rsid w:val="00BC7A9F"/>
    <w:rsid w:val="00BD03B2"/>
    <w:rsid w:val="00BD0497"/>
    <w:rsid w:val="00BD16B3"/>
    <w:rsid w:val="00BD2467"/>
    <w:rsid w:val="00BD269D"/>
    <w:rsid w:val="00BD3021"/>
    <w:rsid w:val="00BD4FCD"/>
    <w:rsid w:val="00BD6D5C"/>
    <w:rsid w:val="00BD6E54"/>
    <w:rsid w:val="00BD71E8"/>
    <w:rsid w:val="00BD7F33"/>
    <w:rsid w:val="00BE006B"/>
    <w:rsid w:val="00BE0520"/>
    <w:rsid w:val="00BE076C"/>
    <w:rsid w:val="00BE08C7"/>
    <w:rsid w:val="00BE1A1D"/>
    <w:rsid w:val="00BE2510"/>
    <w:rsid w:val="00BE2AA6"/>
    <w:rsid w:val="00BE319A"/>
    <w:rsid w:val="00BE352C"/>
    <w:rsid w:val="00BE35AF"/>
    <w:rsid w:val="00BE37F4"/>
    <w:rsid w:val="00BE41E4"/>
    <w:rsid w:val="00BE4275"/>
    <w:rsid w:val="00BE4814"/>
    <w:rsid w:val="00BE4AAA"/>
    <w:rsid w:val="00BE5358"/>
    <w:rsid w:val="00BE677C"/>
    <w:rsid w:val="00BE69D1"/>
    <w:rsid w:val="00BE78B9"/>
    <w:rsid w:val="00BF1C54"/>
    <w:rsid w:val="00BF1E7E"/>
    <w:rsid w:val="00BF20D5"/>
    <w:rsid w:val="00BF2A33"/>
    <w:rsid w:val="00BF2C25"/>
    <w:rsid w:val="00BF388C"/>
    <w:rsid w:val="00BF442B"/>
    <w:rsid w:val="00BF4EC8"/>
    <w:rsid w:val="00BF726F"/>
    <w:rsid w:val="00BF745D"/>
    <w:rsid w:val="00C009C2"/>
    <w:rsid w:val="00C01EBD"/>
    <w:rsid w:val="00C01EC8"/>
    <w:rsid w:val="00C02161"/>
    <w:rsid w:val="00C030E0"/>
    <w:rsid w:val="00C036A8"/>
    <w:rsid w:val="00C04051"/>
    <w:rsid w:val="00C04857"/>
    <w:rsid w:val="00C04D19"/>
    <w:rsid w:val="00C05B4A"/>
    <w:rsid w:val="00C0613F"/>
    <w:rsid w:val="00C06AE2"/>
    <w:rsid w:val="00C0729E"/>
    <w:rsid w:val="00C07513"/>
    <w:rsid w:val="00C07AA3"/>
    <w:rsid w:val="00C10516"/>
    <w:rsid w:val="00C10FBA"/>
    <w:rsid w:val="00C11B6E"/>
    <w:rsid w:val="00C12034"/>
    <w:rsid w:val="00C12257"/>
    <w:rsid w:val="00C1242F"/>
    <w:rsid w:val="00C13510"/>
    <w:rsid w:val="00C138BC"/>
    <w:rsid w:val="00C1394E"/>
    <w:rsid w:val="00C13D57"/>
    <w:rsid w:val="00C14778"/>
    <w:rsid w:val="00C15200"/>
    <w:rsid w:val="00C1523D"/>
    <w:rsid w:val="00C16D1C"/>
    <w:rsid w:val="00C1751B"/>
    <w:rsid w:val="00C17AB2"/>
    <w:rsid w:val="00C207D8"/>
    <w:rsid w:val="00C214C4"/>
    <w:rsid w:val="00C223F8"/>
    <w:rsid w:val="00C2314C"/>
    <w:rsid w:val="00C2318E"/>
    <w:rsid w:val="00C24FA7"/>
    <w:rsid w:val="00C264FD"/>
    <w:rsid w:val="00C26C16"/>
    <w:rsid w:val="00C27E61"/>
    <w:rsid w:val="00C307D5"/>
    <w:rsid w:val="00C30CA1"/>
    <w:rsid w:val="00C3138A"/>
    <w:rsid w:val="00C31B25"/>
    <w:rsid w:val="00C32A8E"/>
    <w:rsid w:val="00C32C1F"/>
    <w:rsid w:val="00C3488A"/>
    <w:rsid w:val="00C34C7D"/>
    <w:rsid w:val="00C36299"/>
    <w:rsid w:val="00C36472"/>
    <w:rsid w:val="00C36C6B"/>
    <w:rsid w:val="00C36F41"/>
    <w:rsid w:val="00C36F89"/>
    <w:rsid w:val="00C371FC"/>
    <w:rsid w:val="00C3777A"/>
    <w:rsid w:val="00C40A3F"/>
    <w:rsid w:val="00C41DAE"/>
    <w:rsid w:val="00C42137"/>
    <w:rsid w:val="00C42E77"/>
    <w:rsid w:val="00C42F30"/>
    <w:rsid w:val="00C43AC3"/>
    <w:rsid w:val="00C44194"/>
    <w:rsid w:val="00C44A3E"/>
    <w:rsid w:val="00C451FE"/>
    <w:rsid w:val="00C45AB5"/>
    <w:rsid w:val="00C46228"/>
    <w:rsid w:val="00C462E1"/>
    <w:rsid w:val="00C46CD7"/>
    <w:rsid w:val="00C5047B"/>
    <w:rsid w:val="00C504D9"/>
    <w:rsid w:val="00C50E82"/>
    <w:rsid w:val="00C5242E"/>
    <w:rsid w:val="00C53229"/>
    <w:rsid w:val="00C5343C"/>
    <w:rsid w:val="00C54009"/>
    <w:rsid w:val="00C55115"/>
    <w:rsid w:val="00C55AE7"/>
    <w:rsid w:val="00C565D2"/>
    <w:rsid w:val="00C56D98"/>
    <w:rsid w:val="00C57249"/>
    <w:rsid w:val="00C6001A"/>
    <w:rsid w:val="00C6052E"/>
    <w:rsid w:val="00C60E68"/>
    <w:rsid w:val="00C6140B"/>
    <w:rsid w:val="00C61D4C"/>
    <w:rsid w:val="00C62022"/>
    <w:rsid w:val="00C62732"/>
    <w:rsid w:val="00C62B30"/>
    <w:rsid w:val="00C630DA"/>
    <w:rsid w:val="00C6333C"/>
    <w:rsid w:val="00C63918"/>
    <w:rsid w:val="00C63B51"/>
    <w:rsid w:val="00C63F13"/>
    <w:rsid w:val="00C644CB"/>
    <w:rsid w:val="00C64562"/>
    <w:rsid w:val="00C66468"/>
    <w:rsid w:val="00C66C08"/>
    <w:rsid w:val="00C670A7"/>
    <w:rsid w:val="00C6727F"/>
    <w:rsid w:val="00C6795B"/>
    <w:rsid w:val="00C67B5B"/>
    <w:rsid w:val="00C70A89"/>
    <w:rsid w:val="00C70F95"/>
    <w:rsid w:val="00C72822"/>
    <w:rsid w:val="00C72A9B"/>
    <w:rsid w:val="00C733D6"/>
    <w:rsid w:val="00C73654"/>
    <w:rsid w:val="00C73E4E"/>
    <w:rsid w:val="00C7412E"/>
    <w:rsid w:val="00C75175"/>
    <w:rsid w:val="00C75533"/>
    <w:rsid w:val="00C75693"/>
    <w:rsid w:val="00C75A17"/>
    <w:rsid w:val="00C75C55"/>
    <w:rsid w:val="00C7740E"/>
    <w:rsid w:val="00C815AD"/>
    <w:rsid w:val="00C81763"/>
    <w:rsid w:val="00C821CD"/>
    <w:rsid w:val="00C84885"/>
    <w:rsid w:val="00C84E96"/>
    <w:rsid w:val="00C85577"/>
    <w:rsid w:val="00C85800"/>
    <w:rsid w:val="00C85B29"/>
    <w:rsid w:val="00C867B6"/>
    <w:rsid w:val="00C879FB"/>
    <w:rsid w:val="00C87E86"/>
    <w:rsid w:val="00C90FA9"/>
    <w:rsid w:val="00C918D2"/>
    <w:rsid w:val="00C924C9"/>
    <w:rsid w:val="00C92848"/>
    <w:rsid w:val="00C92D6F"/>
    <w:rsid w:val="00C92DCA"/>
    <w:rsid w:val="00C938EF"/>
    <w:rsid w:val="00C94394"/>
    <w:rsid w:val="00C94A4C"/>
    <w:rsid w:val="00C956A7"/>
    <w:rsid w:val="00C96B50"/>
    <w:rsid w:val="00C9718C"/>
    <w:rsid w:val="00C973E3"/>
    <w:rsid w:val="00C97F89"/>
    <w:rsid w:val="00CA1B24"/>
    <w:rsid w:val="00CA1D84"/>
    <w:rsid w:val="00CA20A9"/>
    <w:rsid w:val="00CA2A1E"/>
    <w:rsid w:val="00CA3129"/>
    <w:rsid w:val="00CA3D84"/>
    <w:rsid w:val="00CA3F41"/>
    <w:rsid w:val="00CA47EA"/>
    <w:rsid w:val="00CA579B"/>
    <w:rsid w:val="00CA64A5"/>
    <w:rsid w:val="00CA6E15"/>
    <w:rsid w:val="00CB0F5B"/>
    <w:rsid w:val="00CB2713"/>
    <w:rsid w:val="00CB30AC"/>
    <w:rsid w:val="00CB3DCE"/>
    <w:rsid w:val="00CB471C"/>
    <w:rsid w:val="00CB4840"/>
    <w:rsid w:val="00CB4D4B"/>
    <w:rsid w:val="00CB530F"/>
    <w:rsid w:val="00CB549B"/>
    <w:rsid w:val="00CB5F51"/>
    <w:rsid w:val="00CB7CAA"/>
    <w:rsid w:val="00CC0C58"/>
    <w:rsid w:val="00CC1CB3"/>
    <w:rsid w:val="00CC1DCD"/>
    <w:rsid w:val="00CC1F6A"/>
    <w:rsid w:val="00CC22C1"/>
    <w:rsid w:val="00CC2791"/>
    <w:rsid w:val="00CC3551"/>
    <w:rsid w:val="00CC45B6"/>
    <w:rsid w:val="00CC4836"/>
    <w:rsid w:val="00CC56EC"/>
    <w:rsid w:val="00CC5FBF"/>
    <w:rsid w:val="00CC6DDE"/>
    <w:rsid w:val="00CC7071"/>
    <w:rsid w:val="00CC71C0"/>
    <w:rsid w:val="00CD0AFD"/>
    <w:rsid w:val="00CD19C3"/>
    <w:rsid w:val="00CD248D"/>
    <w:rsid w:val="00CD2D66"/>
    <w:rsid w:val="00CD3671"/>
    <w:rsid w:val="00CD4186"/>
    <w:rsid w:val="00CD4338"/>
    <w:rsid w:val="00CD444C"/>
    <w:rsid w:val="00CD5B9D"/>
    <w:rsid w:val="00CD5DD8"/>
    <w:rsid w:val="00CD7198"/>
    <w:rsid w:val="00CD733A"/>
    <w:rsid w:val="00CE0209"/>
    <w:rsid w:val="00CE1E7A"/>
    <w:rsid w:val="00CE3169"/>
    <w:rsid w:val="00CE32C2"/>
    <w:rsid w:val="00CE35A3"/>
    <w:rsid w:val="00CE3797"/>
    <w:rsid w:val="00CE4023"/>
    <w:rsid w:val="00CE4A7E"/>
    <w:rsid w:val="00CE4DBA"/>
    <w:rsid w:val="00CE5397"/>
    <w:rsid w:val="00CE5D8A"/>
    <w:rsid w:val="00CE6071"/>
    <w:rsid w:val="00CE73F4"/>
    <w:rsid w:val="00CE7F13"/>
    <w:rsid w:val="00CF041B"/>
    <w:rsid w:val="00CF0657"/>
    <w:rsid w:val="00CF08E9"/>
    <w:rsid w:val="00CF0B56"/>
    <w:rsid w:val="00CF300D"/>
    <w:rsid w:val="00CF4895"/>
    <w:rsid w:val="00CF504B"/>
    <w:rsid w:val="00CF630B"/>
    <w:rsid w:val="00CF7AFA"/>
    <w:rsid w:val="00CF7D3A"/>
    <w:rsid w:val="00CF7E0A"/>
    <w:rsid w:val="00D0044E"/>
    <w:rsid w:val="00D009DF"/>
    <w:rsid w:val="00D00D91"/>
    <w:rsid w:val="00D012F9"/>
    <w:rsid w:val="00D0134B"/>
    <w:rsid w:val="00D01BC1"/>
    <w:rsid w:val="00D01E73"/>
    <w:rsid w:val="00D01EF3"/>
    <w:rsid w:val="00D01F6C"/>
    <w:rsid w:val="00D022FD"/>
    <w:rsid w:val="00D023D6"/>
    <w:rsid w:val="00D028BD"/>
    <w:rsid w:val="00D03CD2"/>
    <w:rsid w:val="00D0421C"/>
    <w:rsid w:val="00D04AFD"/>
    <w:rsid w:val="00D04B8E"/>
    <w:rsid w:val="00D05BB9"/>
    <w:rsid w:val="00D05F78"/>
    <w:rsid w:val="00D073CE"/>
    <w:rsid w:val="00D07991"/>
    <w:rsid w:val="00D07F85"/>
    <w:rsid w:val="00D117BB"/>
    <w:rsid w:val="00D11DA4"/>
    <w:rsid w:val="00D11E36"/>
    <w:rsid w:val="00D120D7"/>
    <w:rsid w:val="00D12436"/>
    <w:rsid w:val="00D13B0E"/>
    <w:rsid w:val="00D14498"/>
    <w:rsid w:val="00D148C4"/>
    <w:rsid w:val="00D14F28"/>
    <w:rsid w:val="00D15087"/>
    <w:rsid w:val="00D156FA"/>
    <w:rsid w:val="00D159AE"/>
    <w:rsid w:val="00D160BB"/>
    <w:rsid w:val="00D16F18"/>
    <w:rsid w:val="00D17FA8"/>
    <w:rsid w:val="00D20D8B"/>
    <w:rsid w:val="00D21D9C"/>
    <w:rsid w:val="00D22887"/>
    <w:rsid w:val="00D23376"/>
    <w:rsid w:val="00D23903"/>
    <w:rsid w:val="00D23B93"/>
    <w:rsid w:val="00D26F8C"/>
    <w:rsid w:val="00D2783E"/>
    <w:rsid w:val="00D27E82"/>
    <w:rsid w:val="00D3016A"/>
    <w:rsid w:val="00D31D38"/>
    <w:rsid w:val="00D34D3E"/>
    <w:rsid w:val="00D34D69"/>
    <w:rsid w:val="00D355F1"/>
    <w:rsid w:val="00D35A3A"/>
    <w:rsid w:val="00D35F4F"/>
    <w:rsid w:val="00D36742"/>
    <w:rsid w:val="00D372F7"/>
    <w:rsid w:val="00D37731"/>
    <w:rsid w:val="00D37C47"/>
    <w:rsid w:val="00D40000"/>
    <w:rsid w:val="00D4073E"/>
    <w:rsid w:val="00D414B9"/>
    <w:rsid w:val="00D42490"/>
    <w:rsid w:val="00D428CF"/>
    <w:rsid w:val="00D42A9E"/>
    <w:rsid w:val="00D43008"/>
    <w:rsid w:val="00D44D7E"/>
    <w:rsid w:val="00D45141"/>
    <w:rsid w:val="00D51142"/>
    <w:rsid w:val="00D5149D"/>
    <w:rsid w:val="00D51F93"/>
    <w:rsid w:val="00D53921"/>
    <w:rsid w:val="00D53B15"/>
    <w:rsid w:val="00D53CB7"/>
    <w:rsid w:val="00D53F5B"/>
    <w:rsid w:val="00D547C3"/>
    <w:rsid w:val="00D55C66"/>
    <w:rsid w:val="00D56589"/>
    <w:rsid w:val="00D56957"/>
    <w:rsid w:val="00D574A8"/>
    <w:rsid w:val="00D5785B"/>
    <w:rsid w:val="00D57E9F"/>
    <w:rsid w:val="00D6022F"/>
    <w:rsid w:val="00D608AE"/>
    <w:rsid w:val="00D60B10"/>
    <w:rsid w:val="00D61974"/>
    <w:rsid w:val="00D62061"/>
    <w:rsid w:val="00D62EA4"/>
    <w:rsid w:val="00D630CE"/>
    <w:rsid w:val="00D63176"/>
    <w:rsid w:val="00D6323D"/>
    <w:rsid w:val="00D64015"/>
    <w:rsid w:val="00D642C0"/>
    <w:rsid w:val="00D65459"/>
    <w:rsid w:val="00D66C02"/>
    <w:rsid w:val="00D66DAA"/>
    <w:rsid w:val="00D67781"/>
    <w:rsid w:val="00D703B6"/>
    <w:rsid w:val="00D708D1"/>
    <w:rsid w:val="00D7185E"/>
    <w:rsid w:val="00D71904"/>
    <w:rsid w:val="00D724E3"/>
    <w:rsid w:val="00D73AE1"/>
    <w:rsid w:val="00D73FA6"/>
    <w:rsid w:val="00D75B70"/>
    <w:rsid w:val="00D779CB"/>
    <w:rsid w:val="00D77DBF"/>
    <w:rsid w:val="00D811ED"/>
    <w:rsid w:val="00D81339"/>
    <w:rsid w:val="00D8213F"/>
    <w:rsid w:val="00D8214A"/>
    <w:rsid w:val="00D8228D"/>
    <w:rsid w:val="00D82B59"/>
    <w:rsid w:val="00D82F7B"/>
    <w:rsid w:val="00D83109"/>
    <w:rsid w:val="00D85234"/>
    <w:rsid w:val="00D86216"/>
    <w:rsid w:val="00D86323"/>
    <w:rsid w:val="00D8639D"/>
    <w:rsid w:val="00D8689B"/>
    <w:rsid w:val="00D86F91"/>
    <w:rsid w:val="00D9001B"/>
    <w:rsid w:val="00D90395"/>
    <w:rsid w:val="00D90848"/>
    <w:rsid w:val="00D90D97"/>
    <w:rsid w:val="00D91A54"/>
    <w:rsid w:val="00D92BD1"/>
    <w:rsid w:val="00D94994"/>
    <w:rsid w:val="00D9547F"/>
    <w:rsid w:val="00D954B4"/>
    <w:rsid w:val="00D9766C"/>
    <w:rsid w:val="00D97E62"/>
    <w:rsid w:val="00D97E7B"/>
    <w:rsid w:val="00DA25FB"/>
    <w:rsid w:val="00DA293A"/>
    <w:rsid w:val="00DA2D5C"/>
    <w:rsid w:val="00DA32E0"/>
    <w:rsid w:val="00DA3486"/>
    <w:rsid w:val="00DA4336"/>
    <w:rsid w:val="00DA436E"/>
    <w:rsid w:val="00DA61E9"/>
    <w:rsid w:val="00DA633C"/>
    <w:rsid w:val="00DA6AF4"/>
    <w:rsid w:val="00DB049D"/>
    <w:rsid w:val="00DB068F"/>
    <w:rsid w:val="00DB0AEC"/>
    <w:rsid w:val="00DB0C15"/>
    <w:rsid w:val="00DB12DB"/>
    <w:rsid w:val="00DB1474"/>
    <w:rsid w:val="00DB14BB"/>
    <w:rsid w:val="00DB1571"/>
    <w:rsid w:val="00DB1CBC"/>
    <w:rsid w:val="00DB2A90"/>
    <w:rsid w:val="00DB3CF7"/>
    <w:rsid w:val="00DB3F9B"/>
    <w:rsid w:val="00DB5D09"/>
    <w:rsid w:val="00DB62C1"/>
    <w:rsid w:val="00DB6CBF"/>
    <w:rsid w:val="00DB7A18"/>
    <w:rsid w:val="00DC06C8"/>
    <w:rsid w:val="00DC0C54"/>
    <w:rsid w:val="00DC0D50"/>
    <w:rsid w:val="00DC18C2"/>
    <w:rsid w:val="00DC228F"/>
    <w:rsid w:val="00DC2384"/>
    <w:rsid w:val="00DC3C5A"/>
    <w:rsid w:val="00DC40AE"/>
    <w:rsid w:val="00DC4563"/>
    <w:rsid w:val="00DC49AF"/>
    <w:rsid w:val="00DC5213"/>
    <w:rsid w:val="00DC5D5E"/>
    <w:rsid w:val="00DC754C"/>
    <w:rsid w:val="00DC75C7"/>
    <w:rsid w:val="00DD02F7"/>
    <w:rsid w:val="00DD09BD"/>
    <w:rsid w:val="00DD1C7C"/>
    <w:rsid w:val="00DD22FD"/>
    <w:rsid w:val="00DD343D"/>
    <w:rsid w:val="00DD3548"/>
    <w:rsid w:val="00DD356D"/>
    <w:rsid w:val="00DD49E0"/>
    <w:rsid w:val="00DD5563"/>
    <w:rsid w:val="00DD5D22"/>
    <w:rsid w:val="00DD6321"/>
    <w:rsid w:val="00DD6B79"/>
    <w:rsid w:val="00DD79C9"/>
    <w:rsid w:val="00DE021B"/>
    <w:rsid w:val="00DE023F"/>
    <w:rsid w:val="00DE0B49"/>
    <w:rsid w:val="00DE1717"/>
    <w:rsid w:val="00DE1AD1"/>
    <w:rsid w:val="00DE3222"/>
    <w:rsid w:val="00DE378D"/>
    <w:rsid w:val="00DE4333"/>
    <w:rsid w:val="00DE4485"/>
    <w:rsid w:val="00DE52B8"/>
    <w:rsid w:val="00DE56ED"/>
    <w:rsid w:val="00DE5BCC"/>
    <w:rsid w:val="00DE775D"/>
    <w:rsid w:val="00DF0842"/>
    <w:rsid w:val="00DF095B"/>
    <w:rsid w:val="00DF10A4"/>
    <w:rsid w:val="00DF139C"/>
    <w:rsid w:val="00DF1AD8"/>
    <w:rsid w:val="00DF1EAA"/>
    <w:rsid w:val="00DF2DB9"/>
    <w:rsid w:val="00DF3822"/>
    <w:rsid w:val="00DF54B6"/>
    <w:rsid w:val="00DF5B6A"/>
    <w:rsid w:val="00DF782F"/>
    <w:rsid w:val="00DF7F5F"/>
    <w:rsid w:val="00E003B9"/>
    <w:rsid w:val="00E01E2E"/>
    <w:rsid w:val="00E020B2"/>
    <w:rsid w:val="00E0339D"/>
    <w:rsid w:val="00E0363D"/>
    <w:rsid w:val="00E0379B"/>
    <w:rsid w:val="00E03839"/>
    <w:rsid w:val="00E04D22"/>
    <w:rsid w:val="00E052B1"/>
    <w:rsid w:val="00E066D2"/>
    <w:rsid w:val="00E06AA3"/>
    <w:rsid w:val="00E06B40"/>
    <w:rsid w:val="00E06DB7"/>
    <w:rsid w:val="00E121AE"/>
    <w:rsid w:val="00E125DC"/>
    <w:rsid w:val="00E12E99"/>
    <w:rsid w:val="00E13ED6"/>
    <w:rsid w:val="00E13F47"/>
    <w:rsid w:val="00E141B3"/>
    <w:rsid w:val="00E14311"/>
    <w:rsid w:val="00E14E40"/>
    <w:rsid w:val="00E14EEC"/>
    <w:rsid w:val="00E154D6"/>
    <w:rsid w:val="00E1609A"/>
    <w:rsid w:val="00E16813"/>
    <w:rsid w:val="00E20BDD"/>
    <w:rsid w:val="00E213D3"/>
    <w:rsid w:val="00E219F8"/>
    <w:rsid w:val="00E223EF"/>
    <w:rsid w:val="00E22FDE"/>
    <w:rsid w:val="00E234DB"/>
    <w:rsid w:val="00E23583"/>
    <w:rsid w:val="00E23CEF"/>
    <w:rsid w:val="00E23E89"/>
    <w:rsid w:val="00E23F2F"/>
    <w:rsid w:val="00E242D2"/>
    <w:rsid w:val="00E2437E"/>
    <w:rsid w:val="00E25441"/>
    <w:rsid w:val="00E25916"/>
    <w:rsid w:val="00E261DA"/>
    <w:rsid w:val="00E26997"/>
    <w:rsid w:val="00E26CB0"/>
    <w:rsid w:val="00E2764B"/>
    <w:rsid w:val="00E276B7"/>
    <w:rsid w:val="00E27948"/>
    <w:rsid w:val="00E30006"/>
    <w:rsid w:val="00E30455"/>
    <w:rsid w:val="00E3067F"/>
    <w:rsid w:val="00E3103B"/>
    <w:rsid w:val="00E311DC"/>
    <w:rsid w:val="00E3278D"/>
    <w:rsid w:val="00E3296B"/>
    <w:rsid w:val="00E331A1"/>
    <w:rsid w:val="00E332BE"/>
    <w:rsid w:val="00E34171"/>
    <w:rsid w:val="00E34522"/>
    <w:rsid w:val="00E3452E"/>
    <w:rsid w:val="00E346AA"/>
    <w:rsid w:val="00E34F8A"/>
    <w:rsid w:val="00E354BC"/>
    <w:rsid w:val="00E35F4A"/>
    <w:rsid w:val="00E37AAA"/>
    <w:rsid w:val="00E37D19"/>
    <w:rsid w:val="00E402AC"/>
    <w:rsid w:val="00E41155"/>
    <w:rsid w:val="00E41801"/>
    <w:rsid w:val="00E41AAE"/>
    <w:rsid w:val="00E41ADC"/>
    <w:rsid w:val="00E421DB"/>
    <w:rsid w:val="00E4269F"/>
    <w:rsid w:val="00E427D9"/>
    <w:rsid w:val="00E441FC"/>
    <w:rsid w:val="00E44F1A"/>
    <w:rsid w:val="00E45C97"/>
    <w:rsid w:val="00E462AB"/>
    <w:rsid w:val="00E468E0"/>
    <w:rsid w:val="00E47320"/>
    <w:rsid w:val="00E47A2A"/>
    <w:rsid w:val="00E47A49"/>
    <w:rsid w:val="00E5069C"/>
    <w:rsid w:val="00E506FE"/>
    <w:rsid w:val="00E509E9"/>
    <w:rsid w:val="00E50BA2"/>
    <w:rsid w:val="00E50E89"/>
    <w:rsid w:val="00E53B55"/>
    <w:rsid w:val="00E5462A"/>
    <w:rsid w:val="00E55AAE"/>
    <w:rsid w:val="00E55DAB"/>
    <w:rsid w:val="00E567F6"/>
    <w:rsid w:val="00E56A2D"/>
    <w:rsid w:val="00E57443"/>
    <w:rsid w:val="00E57524"/>
    <w:rsid w:val="00E57BE5"/>
    <w:rsid w:val="00E57C4C"/>
    <w:rsid w:val="00E57F02"/>
    <w:rsid w:val="00E604D8"/>
    <w:rsid w:val="00E6056C"/>
    <w:rsid w:val="00E63CC9"/>
    <w:rsid w:val="00E63D5E"/>
    <w:rsid w:val="00E66056"/>
    <w:rsid w:val="00E665D9"/>
    <w:rsid w:val="00E67B25"/>
    <w:rsid w:val="00E67F3C"/>
    <w:rsid w:val="00E7041C"/>
    <w:rsid w:val="00E71B4B"/>
    <w:rsid w:val="00E71D5C"/>
    <w:rsid w:val="00E72C14"/>
    <w:rsid w:val="00E72D1F"/>
    <w:rsid w:val="00E7337B"/>
    <w:rsid w:val="00E73E2C"/>
    <w:rsid w:val="00E74A80"/>
    <w:rsid w:val="00E74B07"/>
    <w:rsid w:val="00E75170"/>
    <w:rsid w:val="00E752D1"/>
    <w:rsid w:val="00E76714"/>
    <w:rsid w:val="00E76EE8"/>
    <w:rsid w:val="00E76F5D"/>
    <w:rsid w:val="00E770B4"/>
    <w:rsid w:val="00E779EF"/>
    <w:rsid w:val="00E77DC5"/>
    <w:rsid w:val="00E81D9C"/>
    <w:rsid w:val="00E82108"/>
    <w:rsid w:val="00E82570"/>
    <w:rsid w:val="00E83847"/>
    <w:rsid w:val="00E8521D"/>
    <w:rsid w:val="00E86BE0"/>
    <w:rsid w:val="00E87179"/>
    <w:rsid w:val="00E8797F"/>
    <w:rsid w:val="00E90F45"/>
    <w:rsid w:val="00E91164"/>
    <w:rsid w:val="00E92798"/>
    <w:rsid w:val="00E92E7E"/>
    <w:rsid w:val="00E9502F"/>
    <w:rsid w:val="00E9651A"/>
    <w:rsid w:val="00E96549"/>
    <w:rsid w:val="00E96630"/>
    <w:rsid w:val="00E970B9"/>
    <w:rsid w:val="00EA0247"/>
    <w:rsid w:val="00EA06E7"/>
    <w:rsid w:val="00EA0FA7"/>
    <w:rsid w:val="00EA1595"/>
    <w:rsid w:val="00EA1BF6"/>
    <w:rsid w:val="00EA210B"/>
    <w:rsid w:val="00EA2285"/>
    <w:rsid w:val="00EA2DFB"/>
    <w:rsid w:val="00EA2E1C"/>
    <w:rsid w:val="00EA309D"/>
    <w:rsid w:val="00EA30B8"/>
    <w:rsid w:val="00EA356D"/>
    <w:rsid w:val="00EA3BAC"/>
    <w:rsid w:val="00EA4D00"/>
    <w:rsid w:val="00EA4EAC"/>
    <w:rsid w:val="00EA4FA2"/>
    <w:rsid w:val="00EA52B2"/>
    <w:rsid w:val="00EA53BF"/>
    <w:rsid w:val="00EA55C1"/>
    <w:rsid w:val="00EA5737"/>
    <w:rsid w:val="00EA5942"/>
    <w:rsid w:val="00EA5BF4"/>
    <w:rsid w:val="00EA644D"/>
    <w:rsid w:val="00EA6D19"/>
    <w:rsid w:val="00EA7BD7"/>
    <w:rsid w:val="00EB0198"/>
    <w:rsid w:val="00EB04DB"/>
    <w:rsid w:val="00EB0B18"/>
    <w:rsid w:val="00EB1C8A"/>
    <w:rsid w:val="00EB2304"/>
    <w:rsid w:val="00EB3327"/>
    <w:rsid w:val="00EB3B0D"/>
    <w:rsid w:val="00EB6514"/>
    <w:rsid w:val="00EB7191"/>
    <w:rsid w:val="00EB7C6D"/>
    <w:rsid w:val="00EC14D7"/>
    <w:rsid w:val="00EC1BB8"/>
    <w:rsid w:val="00EC1D94"/>
    <w:rsid w:val="00EC24D7"/>
    <w:rsid w:val="00EC2C85"/>
    <w:rsid w:val="00EC2FF5"/>
    <w:rsid w:val="00EC411E"/>
    <w:rsid w:val="00EC5C33"/>
    <w:rsid w:val="00EC60E2"/>
    <w:rsid w:val="00ED012E"/>
    <w:rsid w:val="00ED0294"/>
    <w:rsid w:val="00ED0355"/>
    <w:rsid w:val="00ED03D3"/>
    <w:rsid w:val="00ED0501"/>
    <w:rsid w:val="00ED169B"/>
    <w:rsid w:val="00ED17A9"/>
    <w:rsid w:val="00ED2178"/>
    <w:rsid w:val="00ED2218"/>
    <w:rsid w:val="00ED24D1"/>
    <w:rsid w:val="00ED65D8"/>
    <w:rsid w:val="00ED7B87"/>
    <w:rsid w:val="00EE062C"/>
    <w:rsid w:val="00EE096A"/>
    <w:rsid w:val="00EE1121"/>
    <w:rsid w:val="00EE1B7A"/>
    <w:rsid w:val="00EE1B94"/>
    <w:rsid w:val="00EE2553"/>
    <w:rsid w:val="00EE26D4"/>
    <w:rsid w:val="00EE3CD9"/>
    <w:rsid w:val="00EE54BC"/>
    <w:rsid w:val="00EE5D23"/>
    <w:rsid w:val="00EE6134"/>
    <w:rsid w:val="00EE67B5"/>
    <w:rsid w:val="00EE6E34"/>
    <w:rsid w:val="00EE6F35"/>
    <w:rsid w:val="00EE708B"/>
    <w:rsid w:val="00EE7640"/>
    <w:rsid w:val="00EE7BE6"/>
    <w:rsid w:val="00EF0581"/>
    <w:rsid w:val="00EF270D"/>
    <w:rsid w:val="00EF285D"/>
    <w:rsid w:val="00EF2AB2"/>
    <w:rsid w:val="00EF2D06"/>
    <w:rsid w:val="00EF38E5"/>
    <w:rsid w:val="00EF4F50"/>
    <w:rsid w:val="00EF5624"/>
    <w:rsid w:val="00EF59EC"/>
    <w:rsid w:val="00EF5A94"/>
    <w:rsid w:val="00EF6F36"/>
    <w:rsid w:val="00EF6F91"/>
    <w:rsid w:val="00F000C7"/>
    <w:rsid w:val="00F01628"/>
    <w:rsid w:val="00F016D2"/>
    <w:rsid w:val="00F01A8F"/>
    <w:rsid w:val="00F02419"/>
    <w:rsid w:val="00F0283B"/>
    <w:rsid w:val="00F02AF7"/>
    <w:rsid w:val="00F02BFA"/>
    <w:rsid w:val="00F03B13"/>
    <w:rsid w:val="00F043D3"/>
    <w:rsid w:val="00F047FD"/>
    <w:rsid w:val="00F04C20"/>
    <w:rsid w:val="00F04DE4"/>
    <w:rsid w:val="00F05FF6"/>
    <w:rsid w:val="00F0660F"/>
    <w:rsid w:val="00F06CC8"/>
    <w:rsid w:val="00F10BA6"/>
    <w:rsid w:val="00F10D68"/>
    <w:rsid w:val="00F10E79"/>
    <w:rsid w:val="00F1184A"/>
    <w:rsid w:val="00F1260A"/>
    <w:rsid w:val="00F13892"/>
    <w:rsid w:val="00F13DBA"/>
    <w:rsid w:val="00F1652E"/>
    <w:rsid w:val="00F1679F"/>
    <w:rsid w:val="00F17C95"/>
    <w:rsid w:val="00F204A2"/>
    <w:rsid w:val="00F207DC"/>
    <w:rsid w:val="00F20C72"/>
    <w:rsid w:val="00F21694"/>
    <w:rsid w:val="00F21AAB"/>
    <w:rsid w:val="00F21D3E"/>
    <w:rsid w:val="00F2220A"/>
    <w:rsid w:val="00F22484"/>
    <w:rsid w:val="00F22B9E"/>
    <w:rsid w:val="00F23BD8"/>
    <w:rsid w:val="00F24786"/>
    <w:rsid w:val="00F24D9B"/>
    <w:rsid w:val="00F2511B"/>
    <w:rsid w:val="00F254C7"/>
    <w:rsid w:val="00F255BA"/>
    <w:rsid w:val="00F25CC2"/>
    <w:rsid w:val="00F25CC4"/>
    <w:rsid w:val="00F25D3A"/>
    <w:rsid w:val="00F262BE"/>
    <w:rsid w:val="00F26AF8"/>
    <w:rsid w:val="00F27946"/>
    <w:rsid w:val="00F27D02"/>
    <w:rsid w:val="00F3053E"/>
    <w:rsid w:val="00F30C39"/>
    <w:rsid w:val="00F30FD9"/>
    <w:rsid w:val="00F315C0"/>
    <w:rsid w:val="00F320E8"/>
    <w:rsid w:val="00F32A6C"/>
    <w:rsid w:val="00F32DFF"/>
    <w:rsid w:val="00F330A5"/>
    <w:rsid w:val="00F33110"/>
    <w:rsid w:val="00F3350F"/>
    <w:rsid w:val="00F3409C"/>
    <w:rsid w:val="00F36CF7"/>
    <w:rsid w:val="00F4039A"/>
    <w:rsid w:val="00F40719"/>
    <w:rsid w:val="00F4090A"/>
    <w:rsid w:val="00F40EFB"/>
    <w:rsid w:val="00F417F3"/>
    <w:rsid w:val="00F419D3"/>
    <w:rsid w:val="00F42F5B"/>
    <w:rsid w:val="00F43046"/>
    <w:rsid w:val="00F446C6"/>
    <w:rsid w:val="00F44840"/>
    <w:rsid w:val="00F44964"/>
    <w:rsid w:val="00F44D4D"/>
    <w:rsid w:val="00F451A9"/>
    <w:rsid w:val="00F45390"/>
    <w:rsid w:val="00F455A5"/>
    <w:rsid w:val="00F45F3F"/>
    <w:rsid w:val="00F46F18"/>
    <w:rsid w:val="00F47099"/>
    <w:rsid w:val="00F50981"/>
    <w:rsid w:val="00F5098E"/>
    <w:rsid w:val="00F50EF4"/>
    <w:rsid w:val="00F51762"/>
    <w:rsid w:val="00F51ECA"/>
    <w:rsid w:val="00F522D1"/>
    <w:rsid w:val="00F523BF"/>
    <w:rsid w:val="00F542AC"/>
    <w:rsid w:val="00F54AD2"/>
    <w:rsid w:val="00F5512C"/>
    <w:rsid w:val="00F558A3"/>
    <w:rsid w:val="00F5605A"/>
    <w:rsid w:val="00F563B1"/>
    <w:rsid w:val="00F56428"/>
    <w:rsid w:val="00F571B4"/>
    <w:rsid w:val="00F575E1"/>
    <w:rsid w:val="00F5791D"/>
    <w:rsid w:val="00F605E8"/>
    <w:rsid w:val="00F60E4F"/>
    <w:rsid w:val="00F610DB"/>
    <w:rsid w:val="00F612CF"/>
    <w:rsid w:val="00F61BC3"/>
    <w:rsid w:val="00F63650"/>
    <w:rsid w:val="00F63B20"/>
    <w:rsid w:val="00F63ED3"/>
    <w:rsid w:val="00F641B7"/>
    <w:rsid w:val="00F64887"/>
    <w:rsid w:val="00F64C5E"/>
    <w:rsid w:val="00F64E6D"/>
    <w:rsid w:val="00F650FC"/>
    <w:rsid w:val="00F65282"/>
    <w:rsid w:val="00F655A3"/>
    <w:rsid w:val="00F6580D"/>
    <w:rsid w:val="00F67AEF"/>
    <w:rsid w:val="00F71E7E"/>
    <w:rsid w:val="00F72E4D"/>
    <w:rsid w:val="00F738FE"/>
    <w:rsid w:val="00F73ED2"/>
    <w:rsid w:val="00F74738"/>
    <w:rsid w:val="00F74782"/>
    <w:rsid w:val="00F7525C"/>
    <w:rsid w:val="00F75D96"/>
    <w:rsid w:val="00F76423"/>
    <w:rsid w:val="00F77582"/>
    <w:rsid w:val="00F77820"/>
    <w:rsid w:val="00F80023"/>
    <w:rsid w:val="00F8048F"/>
    <w:rsid w:val="00F80D9B"/>
    <w:rsid w:val="00F81101"/>
    <w:rsid w:val="00F818A5"/>
    <w:rsid w:val="00F81C6A"/>
    <w:rsid w:val="00F84446"/>
    <w:rsid w:val="00F8446E"/>
    <w:rsid w:val="00F8532C"/>
    <w:rsid w:val="00F8570E"/>
    <w:rsid w:val="00F8728A"/>
    <w:rsid w:val="00F905CD"/>
    <w:rsid w:val="00F91047"/>
    <w:rsid w:val="00F91BDC"/>
    <w:rsid w:val="00F91FD0"/>
    <w:rsid w:val="00F9264D"/>
    <w:rsid w:val="00F927E7"/>
    <w:rsid w:val="00F958E4"/>
    <w:rsid w:val="00F95D1B"/>
    <w:rsid w:val="00F95F4E"/>
    <w:rsid w:val="00F96BB6"/>
    <w:rsid w:val="00F97FFD"/>
    <w:rsid w:val="00FA0227"/>
    <w:rsid w:val="00FA05E4"/>
    <w:rsid w:val="00FA208A"/>
    <w:rsid w:val="00FA22DF"/>
    <w:rsid w:val="00FA3ADF"/>
    <w:rsid w:val="00FA559E"/>
    <w:rsid w:val="00FA5F69"/>
    <w:rsid w:val="00FA6C80"/>
    <w:rsid w:val="00FA7043"/>
    <w:rsid w:val="00FB0604"/>
    <w:rsid w:val="00FB221E"/>
    <w:rsid w:val="00FB276F"/>
    <w:rsid w:val="00FB2B9C"/>
    <w:rsid w:val="00FB30C3"/>
    <w:rsid w:val="00FB3C93"/>
    <w:rsid w:val="00FB3D26"/>
    <w:rsid w:val="00FB5BFC"/>
    <w:rsid w:val="00FB7165"/>
    <w:rsid w:val="00FC10EF"/>
    <w:rsid w:val="00FC2E44"/>
    <w:rsid w:val="00FC3597"/>
    <w:rsid w:val="00FC3C6B"/>
    <w:rsid w:val="00FC49DC"/>
    <w:rsid w:val="00FC567B"/>
    <w:rsid w:val="00FC5E4C"/>
    <w:rsid w:val="00FC7323"/>
    <w:rsid w:val="00FC777C"/>
    <w:rsid w:val="00FD054D"/>
    <w:rsid w:val="00FD1087"/>
    <w:rsid w:val="00FD1538"/>
    <w:rsid w:val="00FD24D2"/>
    <w:rsid w:val="00FD2832"/>
    <w:rsid w:val="00FD28BE"/>
    <w:rsid w:val="00FD33BE"/>
    <w:rsid w:val="00FD357D"/>
    <w:rsid w:val="00FD3704"/>
    <w:rsid w:val="00FD3897"/>
    <w:rsid w:val="00FD3F22"/>
    <w:rsid w:val="00FD4B50"/>
    <w:rsid w:val="00FD57E3"/>
    <w:rsid w:val="00FD6151"/>
    <w:rsid w:val="00FD6432"/>
    <w:rsid w:val="00FD6863"/>
    <w:rsid w:val="00FD7B38"/>
    <w:rsid w:val="00FE01AA"/>
    <w:rsid w:val="00FE0501"/>
    <w:rsid w:val="00FE0E36"/>
    <w:rsid w:val="00FE18EA"/>
    <w:rsid w:val="00FE1C9F"/>
    <w:rsid w:val="00FE1DD4"/>
    <w:rsid w:val="00FE1F94"/>
    <w:rsid w:val="00FE3C17"/>
    <w:rsid w:val="00FE53AB"/>
    <w:rsid w:val="00FE5FE3"/>
    <w:rsid w:val="00FE64F2"/>
    <w:rsid w:val="00FE65BA"/>
    <w:rsid w:val="00FE6A2D"/>
    <w:rsid w:val="00FE6A49"/>
    <w:rsid w:val="00FE7124"/>
    <w:rsid w:val="00FF00F7"/>
    <w:rsid w:val="00FF0B50"/>
    <w:rsid w:val="00FF0EE3"/>
    <w:rsid w:val="00FF0F34"/>
    <w:rsid w:val="00FF11BB"/>
    <w:rsid w:val="00FF1394"/>
    <w:rsid w:val="00FF162F"/>
    <w:rsid w:val="00FF25F2"/>
    <w:rsid w:val="00FF2758"/>
    <w:rsid w:val="00FF3007"/>
    <w:rsid w:val="00FF42F1"/>
    <w:rsid w:val="00FF48BA"/>
    <w:rsid w:val="00FF4A5E"/>
    <w:rsid w:val="00FF6061"/>
    <w:rsid w:val="00FF62B6"/>
    <w:rsid w:val="00FF7A1B"/>
    <w:rsid w:val="00FF7B8D"/>
    <w:rsid w:val="03D567B7"/>
    <w:rsid w:val="7EAE4A2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Calibri" w:hAnsi="Calibri" w:eastAsia="宋体" w:cs="Times New Roman"/>
      <w:kern w:val="2"/>
      <w:sz w:val="24"/>
      <w:szCs w:val="21"/>
      <w:lang w:val="en-US" w:eastAsia="zh-CN" w:bidi="ar-SA"/>
    </w:rPr>
  </w:style>
  <w:style w:type="paragraph" w:styleId="2">
    <w:name w:val="heading 1"/>
    <w:basedOn w:val="1"/>
    <w:next w:val="1"/>
    <w:link w:val="22"/>
    <w:qFormat/>
    <w:uiPriority w:val="9"/>
    <w:pPr>
      <w:keepNext/>
      <w:keepLines/>
      <w:pageBreakBefore/>
      <w:numPr>
        <w:ilvl w:val="0"/>
        <w:numId w:val="1"/>
      </w:numPr>
      <w:adjustRightInd w:val="0"/>
      <w:spacing w:before="300" w:after="300" w:line="520" w:lineRule="exact"/>
      <w:ind w:firstLineChars="0"/>
      <w:contextualSpacing/>
      <w:jc w:val="left"/>
      <w:outlineLvl w:val="0"/>
    </w:pPr>
    <w:rPr>
      <w:rFonts w:ascii="Times New Roman" w:hAnsi="Times New Roman" w:eastAsia="黑体"/>
      <w:b/>
      <w:bCs/>
      <w:kern w:val="44"/>
      <w:sz w:val="32"/>
      <w:szCs w:val="32"/>
      <w:lang w:val="zh-CN" w:eastAsia="zh-CN"/>
    </w:rPr>
  </w:style>
  <w:style w:type="paragraph" w:styleId="3">
    <w:name w:val="heading 2"/>
    <w:basedOn w:val="1"/>
    <w:next w:val="1"/>
    <w:link w:val="23"/>
    <w:qFormat/>
    <w:uiPriority w:val="9"/>
    <w:pPr>
      <w:keepNext/>
      <w:keepLines/>
      <w:numPr>
        <w:ilvl w:val="1"/>
        <w:numId w:val="1"/>
      </w:numPr>
      <w:adjustRightInd w:val="0"/>
      <w:spacing w:beforeLines="50" w:afterLines="50"/>
      <w:ind w:firstLine="0" w:firstLineChars="0"/>
      <w:contextualSpacing/>
      <w:jc w:val="left"/>
      <w:textAlignment w:val="baseline"/>
      <w:outlineLvl w:val="1"/>
    </w:pPr>
    <w:rPr>
      <w:rFonts w:eastAsia="黑体"/>
      <w:b/>
      <w:bCs/>
      <w:kern w:val="0"/>
      <w:sz w:val="30"/>
      <w:szCs w:val="32"/>
      <w:lang w:val="zh-CN" w:eastAsia="zh-CN"/>
    </w:rPr>
  </w:style>
  <w:style w:type="paragraph" w:styleId="4">
    <w:name w:val="heading 3"/>
    <w:basedOn w:val="1"/>
    <w:next w:val="1"/>
    <w:link w:val="24"/>
    <w:unhideWhenUsed/>
    <w:qFormat/>
    <w:uiPriority w:val="9"/>
    <w:pPr>
      <w:keepNext/>
      <w:keepLines/>
      <w:numPr>
        <w:ilvl w:val="2"/>
        <w:numId w:val="1"/>
      </w:numPr>
      <w:spacing w:beforeLines="50" w:afterLines="50"/>
      <w:ind w:left="480" w:leftChars="200" w:firstLine="0" w:firstLineChars="0"/>
      <w:contextualSpacing/>
      <w:outlineLvl w:val="2"/>
    </w:pPr>
    <w:rPr>
      <w:rFonts w:ascii="Times New Roman" w:hAnsi="Times New Roman" w:eastAsia="黑体"/>
      <w:b/>
      <w:bCs/>
      <w:szCs w:val="32"/>
      <w:lang w:val="en-GB" w:eastAsia="zh-CN"/>
    </w:rPr>
  </w:style>
  <w:style w:type="character" w:default="1" w:styleId="20">
    <w:name w:val="Default Paragraph Font"/>
    <w:semiHidden/>
    <w:unhideWhenUsed/>
    <w:qFormat/>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5">
    <w:name w:val="Document Map"/>
    <w:basedOn w:val="1"/>
    <w:link w:val="41"/>
    <w:semiHidden/>
    <w:unhideWhenUsed/>
    <w:uiPriority w:val="99"/>
    <w:rPr>
      <w:rFonts w:ascii="宋体"/>
      <w:sz w:val="18"/>
      <w:szCs w:val="18"/>
    </w:rPr>
  </w:style>
  <w:style w:type="paragraph" w:styleId="6">
    <w:name w:val="Body Text"/>
    <w:basedOn w:val="1"/>
    <w:link w:val="36"/>
    <w:semiHidden/>
    <w:unhideWhenUsed/>
    <w:qFormat/>
    <w:uiPriority w:val="99"/>
    <w:pPr>
      <w:spacing w:after="120" w:line="240" w:lineRule="atLeast"/>
    </w:pPr>
    <w:rPr>
      <w:rFonts w:asciiTheme="minorHAnsi" w:hAnsiTheme="minorHAnsi" w:eastAsiaTheme="minorEastAsia" w:cstheme="minorBidi"/>
      <w:sz w:val="21"/>
      <w:szCs w:val="22"/>
    </w:rPr>
  </w:style>
  <w:style w:type="paragraph" w:styleId="7">
    <w:name w:val="toc 3"/>
    <w:basedOn w:val="1"/>
    <w:next w:val="1"/>
    <w:unhideWhenUsed/>
    <w:qFormat/>
    <w:uiPriority w:val="39"/>
    <w:pPr>
      <w:widowControl/>
      <w:spacing w:after="100" w:line="276" w:lineRule="auto"/>
      <w:ind w:left="440" w:firstLine="0" w:firstLineChars="0"/>
      <w:jc w:val="left"/>
    </w:pPr>
    <w:rPr>
      <w:rFonts w:asciiTheme="minorHAnsi" w:hAnsiTheme="minorHAnsi" w:eastAsiaTheme="minorEastAsia" w:cstheme="minorBidi"/>
      <w:kern w:val="0"/>
      <w:sz w:val="22"/>
      <w:szCs w:val="22"/>
    </w:rPr>
  </w:style>
  <w:style w:type="paragraph" w:styleId="8">
    <w:name w:val="Plain Text"/>
    <w:basedOn w:val="1"/>
    <w:link w:val="38"/>
    <w:qFormat/>
    <w:uiPriority w:val="0"/>
    <w:pPr>
      <w:widowControl/>
      <w:spacing w:line="240" w:lineRule="auto"/>
      <w:ind w:firstLine="0" w:firstLineChars="0"/>
    </w:pPr>
    <w:rPr>
      <w:rFonts w:ascii="宋体" w:hAnsi="宋体" w:cs="宋体"/>
      <w:color w:val="000000"/>
      <w:sz w:val="28"/>
    </w:rPr>
  </w:style>
  <w:style w:type="paragraph" w:styleId="9">
    <w:name w:val="Date"/>
    <w:basedOn w:val="1"/>
    <w:next w:val="1"/>
    <w:link w:val="34"/>
    <w:semiHidden/>
    <w:unhideWhenUsed/>
    <w:qFormat/>
    <w:uiPriority w:val="99"/>
    <w:pPr>
      <w:spacing w:line="240" w:lineRule="atLeast"/>
      <w:ind w:left="100" w:leftChars="2500"/>
    </w:pPr>
    <w:rPr>
      <w:rFonts w:asciiTheme="minorHAnsi" w:hAnsiTheme="minorHAnsi" w:eastAsiaTheme="minorEastAsia" w:cstheme="minorBidi"/>
      <w:sz w:val="21"/>
      <w:szCs w:val="22"/>
    </w:rPr>
  </w:style>
  <w:style w:type="paragraph" w:styleId="10">
    <w:name w:val="Body Text Indent 2"/>
    <w:basedOn w:val="1"/>
    <w:link w:val="29"/>
    <w:qFormat/>
    <w:uiPriority w:val="0"/>
    <w:pPr>
      <w:adjustRightInd w:val="0"/>
      <w:ind w:firstLine="560" w:firstLineChars="0"/>
      <w:jc w:val="left"/>
      <w:textAlignment w:val="baseline"/>
    </w:pPr>
    <w:rPr>
      <w:rFonts w:ascii="Times New Roman" w:hAnsi="Times New Roman"/>
      <w:szCs w:val="20"/>
    </w:rPr>
  </w:style>
  <w:style w:type="paragraph" w:styleId="11">
    <w:name w:val="Balloon Text"/>
    <w:basedOn w:val="1"/>
    <w:link w:val="30"/>
    <w:semiHidden/>
    <w:unhideWhenUsed/>
    <w:qFormat/>
    <w:uiPriority w:val="99"/>
    <w:pPr>
      <w:spacing w:line="240" w:lineRule="auto"/>
    </w:pPr>
    <w:rPr>
      <w:sz w:val="18"/>
      <w:szCs w:val="18"/>
    </w:rPr>
  </w:style>
  <w:style w:type="paragraph" w:styleId="12">
    <w:name w:val="footer"/>
    <w:basedOn w:val="1"/>
    <w:link w:val="26"/>
    <w:unhideWhenUsed/>
    <w:qFormat/>
    <w:uiPriority w:val="99"/>
    <w:pPr>
      <w:tabs>
        <w:tab w:val="center" w:pos="4153"/>
        <w:tab w:val="right" w:pos="8306"/>
      </w:tabs>
      <w:snapToGrid w:val="0"/>
      <w:spacing w:line="240" w:lineRule="atLeast"/>
      <w:jc w:val="left"/>
    </w:pPr>
    <w:rPr>
      <w:rFonts w:asciiTheme="minorHAnsi" w:hAnsiTheme="minorHAnsi" w:eastAsiaTheme="minorEastAsia" w:cstheme="minorBidi"/>
      <w:sz w:val="18"/>
      <w:szCs w:val="18"/>
    </w:rPr>
  </w:style>
  <w:style w:type="paragraph" w:styleId="13">
    <w:name w:val="header"/>
    <w:basedOn w:val="1"/>
    <w:link w:val="25"/>
    <w:semiHidden/>
    <w:unhideWhenUsed/>
    <w:qFormat/>
    <w:uiPriority w:val="99"/>
    <w:pPr>
      <w:pBdr>
        <w:bottom w:val="single" w:color="auto" w:sz="6" w:space="1"/>
      </w:pBdr>
      <w:tabs>
        <w:tab w:val="center" w:pos="4153"/>
        <w:tab w:val="right" w:pos="8306"/>
      </w:tabs>
      <w:snapToGrid w:val="0"/>
      <w:spacing w:line="240" w:lineRule="atLeast"/>
      <w:jc w:val="center"/>
    </w:pPr>
    <w:rPr>
      <w:rFonts w:asciiTheme="minorHAnsi" w:hAnsiTheme="minorHAnsi" w:eastAsiaTheme="minorEastAsia" w:cstheme="minorBidi"/>
      <w:sz w:val="18"/>
      <w:szCs w:val="18"/>
    </w:rPr>
  </w:style>
  <w:style w:type="paragraph" w:styleId="14">
    <w:name w:val="toc 1"/>
    <w:basedOn w:val="1"/>
    <w:next w:val="1"/>
    <w:unhideWhenUsed/>
    <w:qFormat/>
    <w:uiPriority w:val="39"/>
    <w:pPr>
      <w:widowControl/>
      <w:tabs>
        <w:tab w:val="right" w:leader="dot" w:pos="8302"/>
      </w:tabs>
      <w:spacing w:after="100" w:line="276" w:lineRule="auto"/>
      <w:ind w:firstLine="0" w:firstLineChars="0"/>
      <w:jc w:val="center"/>
    </w:pPr>
    <w:rPr>
      <w:rFonts w:ascii="Times New Roman" w:hAnsi="Times New Roman" w:eastAsiaTheme="minorEastAsia" w:cstheme="minorBidi"/>
      <w:b/>
      <w:kern w:val="0"/>
      <w:sz w:val="28"/>
      <w:szCs w:val="28"/>
    </w:rPr>
  </w:style>
  <w:style w:type="paragraph" w:styleId="15">
    <w:name w:val="toc 2"/>
    <w:basedOn w:val="1"/>
    <w:next w:val="1"/>
    <w:unhideWhenUsed/>
    <w:qFormat/>
    <w:uiPriority w:val="39"/>
    <w:pPr>
      <w:widowControl/>
      <w:spacing w:after="100" w:line="276" w:lineRule="auto"/>
      <w:ind w:left="220" w:firstLine="0" w:firstLineChars="0"/>
      <w:jc w:val="left"/>
    </w:pPr>
    <w:rPr>
      <w:rFonts w:asciiTheme="minorHAnsi" w:hAnsiTheme="minorHAnsi" w:eastAsiaTheme="minorEastAsia" w:cstheme="minorBidi"/>
      <w:kern w:val="0"/>
      <w:sz w:val="22"/>
      <w:szCs w:val="22"/>
    </w:rPr>
  </w:style>
  <w:style w:type="paragraph" w:styleId="16">
    <w:name w:val="Normal (Web)"/>
    <w:basedOn w:val="1"/>
    <w:semiHidden/>
    <w:unhideWhenUsed/>
    <w:uiPriority w:val="99"/>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17">
    <w:name w:val="Body Text First Indent"/>
    <w:basedOn w:val="6"/>
    <w:link w:val="37"/>
    <w:qFormat/>
    <w:uiPriority w:val="0"/>
    <w:pPr>
      <w:adjustRightInd w:val="0"/>
      <w:spacing w:line="240" w:lineRule="auto"/>
      <w:ind w:firstLine="420" w:firstLineChars="100"/>
      <w:textAlignment w:val="baseline"/>
    </w:pPr>
    <w:rPr>
      <w:rFonts w:ascii="Times New Roman" w:hAnsi="Times New Roman" w:eastAsia="宋体" w:cs="Times New Roman"/>
      <w:szCs w:val="20"/>
    </w:rPr>
  </w:style>
  <w:style w:type="table" w:styleId="19">
    <w:name w:val="Table Grid"/>
    <w:basedOn w:val="18"/>
    <w:qFormat/>
    <w:uiPriority w:val="59"/>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unhideWhenUsed/>
    <w:uiPriority w:val="99"/>
    <w:rPr>
      <w:color w:val="0000FF" w:themeColor="hyperlink"/>
      <w:u w:val="single"/>
      <w14:textFill>
        <w14:solidFill>
          <w14:schemeClr w14:val="hlink"/>
        </w14:solidFill>
      </w14:textFill>
    </w:rPr>
  </w:style>
  <w:style w:type="character" w:customStyle="1" w:styleId="22">
    <w:name w:val="标题 1 Char"/>
    <w:basedOn w:val="20"/>
    <w:link w:val="2"/>
    <w:uiPriority w:val="9"/>
    <w:rPr>
      <w:rFonts w:ascii="Times New Roman" w:hAnsi="Times New Roman" w:eastAsia="黑体" w:cs="Times New Roman"/>
      <w:b/>
      <w:bCs/>
      <w:kern w:val="44"/>
      <w:sz w:val="32"/>
      <w:szCs w:val="32"/>
      <w:lang w:val="zh-CN" w:eastAsia="zh-CN"/>
    </w:rPr>
  </w:style>
  <w:style w:type="character" w:customStyle="1" w:styleId="23">
    <w:name w:val="标题 2 Char"/>
    <w:basedOn w:val="20"/>
    <w:link w:val="3"/>
    <w:uiPriority w:val="9"/>
    <w:rPr>
      <w:rFonts w:ascii="Calibri" w:hAnsi="Calibri" w:eastAsia="黑体" w:cs="Times New Roman"/>
      <w:b/>
      <w:bCs/>
      <w:kern w:val="0"/>
      <w:sz w:val="30"/>
      <w:szCs w:val="32"/>
      <w:lang w:val="zh-CN" w:eastAsia="zh-CN"/>
    </w:rPr>
  </w:style>
  <w:style w:type="character" w:customStyle="1" w:styleId="24">
    <w:name w:val="标题 3 Char"/>
    <w:basedOn w:val="20"/>
    <w:link w:val="4"/>
    <w:uiPriority w:val="9"/>
    <w:rPr>
      <w:rFonts w:ascii="Times New Roman" w:hAnsi="Times New Roman" w:eastAsia="黑体" w:cs="Times New Roman"/>
      <w:b/>
      <w:bCs/>
      <w:sz w:val="24"/>
      <w:szCs w:val="32"/>
      <w:lang w:val="en-GB" w:eastAsia="zh-CN"/>
    </w:rPr>
  </w:style>
  <w:style w:type="character" w:customStyle="1" w:styleId="25">
    <w:name w:val="页眉 Char"/>
    <w:basedOn w:val="20"/>
    <w:link w:val="13"/>
    <w:semiHidden/>
    <w:uiPriority w:val="99"/>
    <w:rPr>
      <w:sz w:val="18"/>
      <w:szCs w:val="18"/>
    </w:rPr>
  </w:style>
  <w:style w:type="character" w:customStyle="1" w:styleId="26">
    <w:name w:val="页脚 Char"/>
    <w:basedOn w:val="20"/>
    <w:link w:val="12"/>
    <w:qFormat/>
    <w:uiPriority w:val="99"/>
    <w:rPr>
      <w:sz w:val="18"/>
      <w:szCs w:val="18"/>
    </w:rPr>
  </w:style>
  <w:style w:type="paragraph" w:customStyle="1" w:styleId="27">
    <w:name w:val="表格"/>
    <w:basedOn w:val="1"/>
    <w:next w:val="1"/>
    <w:qFormat/>
    <w:uiPriority w:val="0"/>
    <w:pPr>
      <w:spacing w:line="240" w:lineRule="auto"/>
      <w:ind w:firstLine="0" w:firstLineChars="0"/>
      <w:jc w:val="center"/>
    </w:pPr>
    <w:rPr>
      <w:rFonts w:ascii="Times New Roman" w:hAnsi="Times New Roman"/>
      <w:sz w:val="21"/>
      <w:szCs w:val="22"/>
      <w:lang w:val="zh-CN"/>
    </w:rPr>
  </w:style>
  <w:style w:type="paragraph" w:customStyle="1" w:styleId="28">
    <w:name w:val="段落"/>
    <w:basedOn w:val="1"/>
    <w:qFormat/>
    <w:uiPriority w:val="0"/>
    <w:pPr>
      <w:spacing w:line="500" w:lineRule="exact"/>
    </w:pPr>
    <w:rPr>
      <w:rFonts w:ascii="Times New Roman" w:hAnsi="Times New Roman"/>
      <w:spacing w:val="10"/>
      <w:sz w:val="28"/>
      <w:szCs w:val="20"/>
    </w:rPr>
  </w:style>
  <w:style w:type="character" w:customStyle="1" w:styleId="29">
    <w:name w:val="正文文本缩进 2 Char"/>
    <w:basedOn w:val="20"/>
    <w:link w:val="10"/>
    <w:qFormat/>
    <w:uiPriority w:val="0"/>
    <w:rPr>
      <w:rFonts w:ascii="Times New Roman" w:hAnsi="Times New Roman" w:eastAsia="宋体" w:cs="Times New Roman"/>
      <w:sz w:val="24"/>
      <w:szCs w:val="20"/>
    </w:rPr>
  </w:style>
  <w:style w:type="character" w:customStyle="1" w:styleId="30">
    <w:name w:val="批注框文本 Char"/>
    <w:basedOn w:val="20"/>
    <w:link w:val="11"/>
    <w:semiHidden/>
    <w:uiPriority w:val="99"/>
    <w:rPr>
      <w:rFonts w:ascii="Calibri" w:hAnsi="Calibri" w:eastAsia="宋体" w:cs="Times New Roman"/>
      <w:sz w:val="18"/>
      <w:szCs w:val="18"/>
    </w:rPr>
  </w:style>
  <w:style w:type="paragraph" w:customStyle="1" w:styleId="31">
    <w:name w:val="Char Char Char Char Char Char1 Char"/>
    <w:basedOn w:val="1"/>
    <w:uiPriority w:val="0"/>
    <w:pPr>
      <w:spacing w:line="240" w:lineRule="auto"/>
      <w:ind w:firstLine="0" w:firstLineChars="0"/>
    </w:pPr>
    <w:rPr>
      <w:rFonts w:ascii="Times New Roman" w:hAnsi="Times New Roman"/>
      <w:sz w:val="21"/>
      <w:szCs w:val="24"/>
    </w:rPr>
  </w:style>
  <w:style w:type="paragraph" w:customStyle="1" w:styleId="32">
    <w:name w:val="表号"/>
    <w:link w:val="33"/>
    <w:uiPriority w:val="0"/>
    <w:pPr>
      <w:adjustRightInd w:val="0"/>
      <w:snapToGrid w:val="0"/>
      <w:spacing w:line="240" w:lineRule="atLeast"/>
      <w:ind w:firstLine="0" w:firstLineChars="0"/>
      <w:jc w:val="both"/>
      <w:outlineLvl w:val="4"/>
    </w:pPr>
    <w:rPr>
      <w:rFonts w:ascii="Times New Roman" w:hAnsi="Times New Roman" w:eastAsia="宋体" w:cs="Times New Roman"/>
      <w:kern w:val="2"/>
      <w:sz w:val="24"/>
      <w:szCs w:val="24"/>
      <w:lang w:val="en-US" w:eastAsia="zh-CN" w:bidi="ar-SA"/>
    </w:rPr>
  </w:style>
  <w:style w:type="character" w:customStyle="1" w:styleId="33">
    <w:name w:val="表号 Char"/>
    <w:link w:val="32"/>
    <w:uiPriority w:val="0"/>
    <w:rPr>
      <w:rFonts w:ascii="Times New Roman" w:hAnsi="Times New Roman" w:eastAsia="宋体" w:cs="Times New Roman"/>
      <w:sz w:val="24"/>
      <w:szCs w:val="24"/>
    </w:rPr>
  </w:style>
  <w:style w:type="character" w:customStyle="1" w:styleId="34">
    <w:name w:val="日期 Char"/>
    <w:basedOn w:val="20"/>
    <w:link w:val="9"/>
    <w:semiHidden/>
    <w:qFormat/>
    <w:uiPriority w:val="99"/>
  </w:style>
  <w:style w:type="paragraph" w:customStyle="1" w:styleId="35">
    <w:name w:val="Default"/>
    <w:uiPriority w:val="0"/>
    <w:pPr>
      <w:widowControl w:val="0"/>
      <w:autoSpaceDE w:val="0"/>
      <w:autoSpaceDN w:val="0"/>
      <w:adjustRightInd w:val="0"/>
      <w:spacing w:line="240" w:lineRule="auto"/>
      <w:ind w:firstLine="0" w:firstLineChars="0"/>
      <w:jc w:val="left"/>
    </w:pPr>
    <w:rPr>
      <w:rFonts w:ascii="宋体" w:hAnsi="Times New Roman" w:eastAsia="宋体" w:cs="Times New Roman"/>
      <w:color w:val="000000"/>
      <w:kern w:val="0"/>
      <w:sz w:val="24"/>
      <w:szCs w:val="20"/>
      <w:lang w:val="en-US" w:eastAsia="zh-CN" w:bidi="ar-SA"/>
    </w:rPr>
  </w:style>
  <w:style w:type="character" w:customStyle="1" w:styleId="36">
    <w:name w:val="正文文本 Char"/>
    <w:basedOn w:val="20"/>
    <w:link w:val="6"/>
    <w:semiHidden/>
    <w:qFormat/>
    <w:uiPriority w:val="99"/>
  </w:style>
  <w:style w:type="character" w:customStyle="1" w:styleId="37">
    <w:name w:val="正文首行缩进 Char"/>
    <w:basedOn w:val="36"/>
    <w:link w:val="17"/>
    <w:qFormat/>
    <w:uiPriority w:val="0"/>
    <w:rPr>
      <w:rFonts w:ascii="Times New Roman" w:hAnsi="Times New Roman" w:eastAsia="宋体" w:cs="Times New Roman"/>
      <w:szCs w:val="20"/>
    </w:rPr>
  </w:style>
  <w:style w:type="character" w:customStyle="1" w:styleId="38">
    <w:name w:val="纯文本 Char"/>
    <w:link w:val="8"/>
    <w:qFormat/>
    <w:uiPriority w:val="0"/>
    <w:rPr>
      <w:rFonts w:ascii="宋体" w:hAnsi="宋体" w:eastAsia="宋体" w:cs="宋体"/>
      <w:color w:val="000000"/>
      <w:sz w:val="28"/>
      <w:szCs w:val="21"/>
    </w:rPr>
  </w:style>
  <w:style w:type="character" w:customStyle="1" w:styleId="39">
    <w:name w:val="纯文本 Char1"/>
    <w:basedOn w:val="20"/>
    <w:semiHidden/>
    <w:uiPriority w:val="99"/>
    <w:rPr>
      <w:rFonts w:ascii="宋体" w:hAnsi="Courier New" w:eastAsia="宋体" w:cs="Courier New"/>
      <w:szCs w:val="21"/>
    </w:rPr>
  </w:style>
  <w:style w:type="paragraph" w:styleId="40">
    <w:name w:val="List Paragraph"/>
    <w:basedOn w:val="1"/>
    <w:qFormat/>
    <w:uiPriority w:val="34"/>
    <w:pPr>
      <w:spacing w:line="480" w:lineRule="exact"/>
      <w:ind w:firstLine="420"/>
    </w:pPr>
    <w:rPr>
      <w:rFonts w:ascii="Times New Roman" w:hAnsi="Times New Roman"/>
      <w:szCs w:val="24"/>
    </w:rPr>
  </w:style>
  <w:style w:type="character" w:customStyle="1" w:styleId="41">
    <w:name w:val="文档结构图 Char"/>
    <w:basedOn w:val="20"/>
    <w:link w:val="5"/>
    <w:semiHidden/>
    <w:uiPriority w:val="99"/>
    <w:rPr>
      <w:rFonts w:ascii="宋体" w:hAnsi="Calibri" w:eastAsia="宋体" w:cs="Times New Roman"/>
      <w:sz w:val="18"/>
      <w:szCs w:val="18"/>
    </w:rPr>
  </w:style>
  <w:style w:type="paragraph" w:customStyle="1" w:styleId="42">
    <w:name w:val="表格文字"/>
    <w:basedOn w:val="1"/>
    <w:next w:val="1"/>
    <w:link w:val="43"/>
    <w:uiPriority w:val="0"/>
    <w:pPr>
      <w:spacing w:line="0" w:lineRule="atLeast"/>
      <w:ind w:firstLine="0" w:firstLineChars="0"/>
      <w:jc w:val="center"/>
    </w:pPr>
    <w:rPr>
      <w:rFonts w:ascii="Times New Roman" w:hAnsi="Times New Roman"/>
      <w:sz w:val="21"/>
      <w:szCs w:val="24"/>
    </w:rPr>
  </w:style>
  <w:style w:type="character" w:customStyle="1" w:styleId="43">
    <w:name w:val="表格文字 Char"/>
    <w:link w:val="42"/>
    <w:uiPriority w:val="0"/>
    <w:rPr>
      <w:rFonts w:ascii="Times New Roman" w:hAnsi="Times New Roman" w:eastAsia="宋体" w:cs="Times New Roman"/>
      <w:szCs w:val="24"/>
    </w:rPr>
  </w:style>
  <w:style w:type="paragraph" w:customStyle="1" w:styleId="44">
    <w:name w:val="TOC Heading"/>
    <w:basedOn w:val="2"/>
    <w:next w:val="1"/>
    <w:semiHidden/>
    <w:unhideWhenUsed/>
    <w:qFormat/>
    <w:uiPriority w:val="39"/>
    <w:pPr>
      <w:pageBreakBefore w:val="0"/>
      <w:widowControl/>
      <w:numPr>
        <w:numId w:val="0"/>
      </w:numPr>
      <w:adjustRightInd/>
      <w:spacing w:before="480" w:after="0" w:line="276" w:lineRule="auto"/>
      <w:contextualSpacing w:val="0"/>
      <w:outlineLvl w:val="9"/>
    </w:pPr>
    <w:rPr>
      <w:rFonts w:asciiTheme="majorHAnsi" w:hAnsiTheme="majorHAnsi" w:eastAsiaTheme="majorEastAsia" w:cstheme="majorBidi"/>
      <w:color w:val="376092" w:themeColor="accent1" w:themeShade="BF"/>
      <w:kern w:val="0"/>
      <w:sz w:val="28"/>
      <w:szCs w:val="28"/>
      <w:lang w:val="en-US" w:eastAsia="zh-CN"/>
    </w:rPr>
  </w:style>
  <w:style w:type="paragraph" w:customStyle="1" w:styleId="45">
    <w:name w:val="Char Char1 Char Char4 Char Char Char Char Char Char Char Char Char Char Char Char Char"/>
    <w:basedOn w:val="1"/>
    <w:next w:val="1"/>
    <w:qFormat/>
    <w:uiPriority w:val="0"/>
    <w:rPr>
      <w:rFonts w:ascii="Times New Roman" w:hAnsi="Times New Roman"/>
      <w:sz w:val="21"/>
      <w:szCs w:val="20"/>
    </w:rPr>
  </w:style>
  <w:style w:type="character" w:customStyle="1" w:styleId="46">
    <w:name w:val="font51"/>
    <w:basedOn w:val="20"/>
    <w:uiPriority w:val="0"/>
    <w:rPr>
      <w:rFonts w:hint="default" w:ascii="Times New Roman" w:hAnsi="Times New Roman" w:cs="Times New Roman"/>
      <w:color w:val="000000"/>
      <w:sz w:val="21"/>
      <w:szCs w:val="21"/>
      <w:u w:val="none"/>
    </w:rPr>
  </w:style>
  <w:style w:type="character" w:customStyle="1" w:styleId="47">
    <w:name w:val="font21"/>
    <w:basedOn w:val="20"/>
    <w:uiPriority w:val="0"/>
    <w:rPr>
      <w:rFonts w:hint="default" w:ascii="Times New Roman" w:hAnsi="Times New Roman" w:cs="Times New Roman"/>
      <w:color w:val="000000"/>
      <w:sz w:val="21"/>
      <w:szCs w:val="21"/>
      <w:u w:val="none"/>
      <w:vertAlign w:val="superscript"/>
    </w:rPr>
  </w:style>
  <w:style w:type="character" w:customStyle="1" w:styleId="48">
    <w:name w:val="font11"/>
    <w:basedOn w:val="20"/>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1.jpeg"/><Relationship Id="rId98" Type="http://schemas.openxmlformats.org/officeDocument/2006/relationships/image" Target="media/image70.GIF"/><Relationship Id="rId97" Type="http://schemas.openxmlformats.org/officeDocument/2006/relationships/image" Target="media/image69.jpeg"/><Relationship Id="rId96" Type="http://schemas.openxmlformats.org/officeDocument/2006/relationships/image" Target="media/image68.wmf"/><Relationship Id="rId95" Type="http://schemas.openxmlformats.org/officeDocument/2006/relationships/image" Target="media/image67.wmf"/><Relationship Id="rId94" Type="http://schemas.openxmlformats.org/officeDocument/2006/relationships/image" Target="media/image66.wmf"/><Relationship Id="rId93" Type="http://schemas.openxmlformats.org/officeDocument/2006/relationships/image" Target="media/image65.wmf"/><Relationship Id="rId92" Type="http://schemas.openxmlformats.org/officeDocument/2006/relationships/oleObject" Target="embeddings/oleObject10.bin"/><Relationship Id="rId91" Type="http://schemas.openxmlformats.org/officeDocument/2006/relationships/image" Target="media/image64.wmf"/><Relationship Id="rId90" Type="http://schemas.openxmlformats.org/officeDocument/2006/relationships/oleObject" Target="embeddings/oleObject9.bin"/><Relationship Id="rId9" Type="http://schemas.openxmlformats.org/officeDocument/2006/relationships/footer" Target="footer2.xml"/><Relationship Id="rId89" Type="http://schemas.openxmlformats.org/officeDocument/2006/relationships/image" Target="media/image63.wmf"/><Relationship Id="rId88" Type="http://schemas.openxmlformats.org/officeDocument/2006/relationships/oleObject" Target="embeddings/oleObject8.bin"/><Relationship Id="rId87" Type="http://schemas.openxmlformats.org/officeDocument/2006/relationships/image" Target="media/image62.wmf"/><Relationship Id="rId86" Type="http://schemas.openxmlformats.org/officeDocument/2006/relationships/oleObject" Target="embeddings/oleObject7.bin"/><Relationship Id="rId85" Type="http://schemas.openxmlformats.org/officeDocument/2006/relationships/image" Target="media/image61.wmf"/><Relationship Id="rId84" Type="http://schemas.openxmlformats.org/officeDocument/2006/relationships/oleObject" Target="embeddings/oleObject6.bin"/><Relationship Id="rId83" Type="http://schemas.openxmlformats.org/officeDocument/2006/relationships/image" Target="media/image60.wmf"/><Relationship Id="rId82" Type="http://schemas.openxmlformats.org/officeDocument/2006/relationships/oleObject" Target="embeddings/oleObject5.bin"/><Relationship Id="rId81" Type="http://schemas.openxmlformats.org/officeDocument/2006/relationships/image" Target="media/image59.wmf"/><Relationship Id="rId80" Type="http://schemas.openxmlformats.org/officeDocument/2006/relationships/oleObject" Target="embeddings/oleObject4.bin"/><Relationship Id="rId8" Type="http://schemas.openxmlformats.org/officeDocument/2006/relationships/footer" Target="footer1.xml"/><Relationship Id="rId79" Type="http://schemas.openxmlformats.org/officeDocument/2006/relationships/image" Target="media/image58.wmf"/><Relationship Id="rId78" Type="http://schemas.openxmlformats.org/officeDocument/2006/relationships/oleObject" Target="embeddings/oleObject3.bin"/><Relationship Id="rId77" Type="http://schemas.openxmlformats.org/officeDocument/2006/relationships/image" Target="media/image57.jpeg"/><Relationship Id="rId76" Type="http://schemas.openxmlformats.org/officeDocument/2006/relationships/image" Target="media/image56.png"/><Relationship Id="rId75" Type="http://schemas.openxmlformats.org/officeDocument/2006/relationships/image" Target="media/image55.wmf"/><Relationship Id="rId74" Type="http://schemas.openxmlformats.org/officeDocument/2006/relationships/oleObject" Target="embeddings/oleObject2.bin"/><Relationship Id="rId73" Type="http://schemas.openxmlformats.org/officeDocument/2006/relationships/image" Target="media/image54.wmf"/><Relationship Id="rId72" Type="http://schemas.openxmlformats.org/officeDocument/2006/relationships/oleObject" Target="embeddings/oleObject1.bin"/><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header" Target="head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wmf"/><Relationship Id="rId66" Type="http://schemas.openxmlformats.org/officeDocument/2006/relationships/image" Target="media/image48.wmf"/><Relationship Id="rId65" Type="http://schemas.openxmlformats.org/officeDocument/2006/relationships/image" Target="media/image47.wmf"/><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wmf"/><Relationship Id="rId51" Type="http://schemas.openxmlformats.org/officeDocument/2006/relationships/image" Target="media/image33.wmf"/><Relationship Id="rId50" Type="http://schemas.openxmlformats.org/officeDocument/2006/relationships/image" Target="media/image32.wmf"/><Relationship Id="rId5" Type="http://schemas.openxmlformats.org/officeDocument/2006/relationships/header" Target="header1.xml"/><Relationship Id="rId49" Type="http://schemas.openxmlformats.org/officeDocument/2006/relationships/image" Target="media/image31.wmf"/><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3" Type="http://schemas.openxmlformats.org/officeDocument/2006/relationships/fontTable" Target="fontTable.xml"/><Relationship Id="rId182" Type="http://schemas.openxmlformats.org/officeDocument/2006/relationships/customXml" Target="../customXml/item2.xml"/><Relationship Id="rId181" Type="http://schemas.openxmlformats.org/officeDocument/2006/relationships/numbering" Target="numbering.xml"/><Relationship Id="rId180" Type="http://schemas.openxmlformats.org/officeDocument/2006/relationships/customXml" Target="../customXml/item1.xml"/><Relationship Id="rId18" Type="http://schemas.openxmlformats.org/officeDocument/2006/relationships/theme" Target="theme/theme1.xml"/><Relationship Id="rId179" Type="http://schemas.openxmlformats.org/officeDocument/2006/relationships/image" Target="media/image145.jpeg"/><Relationship Id="rId178" Type="http://schemas.openxmlformats.org/officeDocument/2006/relationships/image" Target="media/image144.jpeg"/><Relationship Id="rId177" Type="http://schemas.openxmlformats.org/officeDocument/2006/relationships/image" Target="media/image143.jpeg"/><Relationship Id="rId176" Type="http://schemas.openxmlformats.org/officeDocument/2006/relationships/image" Target="media/image142.jpeg"/><Relationship Id="rId175" Type="http://schemas.openxmlformats.org/officeDocument/2006/relationships/image" Target="media/image141.jpeg"/><Relationship Id="rId174" Type="http://schemas.openxmlformats.org/officeDocument/2006/relationships/image" Target="media/image140.jpeg"/><Relationship Id="rId173" Type="http://schemas.openxmlformats.org/officeDocument/2006/relationships/image" Target="media/image139.jpeg"/><Relationship Id="rId172" Type="http://schemas.openxmlformats.org/officeDocument/2006/relationships/image" Target="media/image138.jpeg"/><Relationship Id="rId171" Type="http://schemas.openxmlformats.org/officeDocument/2006/relationships/image" Target="media/image137.jpeg"/><Relationship Id="rId170" Type="http://schemas.openxmlformats.org/officeDocument/2006/relationships/image" Target="media/image136.jpeg"/><Relationship Id="rId17" Type="http://schemas.openxmlformats.org/officeDocument/2006/relationships/footer" Target="footer7.xml"/><Relationship Id="rId169" Type="http://schemas.openxmlformats.org/officeDocument/2006/relationships/image" Target="media/image135.jpeg"/><Relationship Id="rId168" Type="http://schemas.openxmlformats.org/officeDocument/2006/relationships/image" Target="media/image134.jpeg"/><Relationship Id="rId167" Type="http://schemas.openxmlformats.org/officeDocument/2006/relationships/image" Target="media/image133.jpeg"/><Relationship Id="rId166" Type="http://schemas.openxmlformats.org/officeDocument/2006/relationships/image" Target="media/image132.jpeg"/><Relationship Id="rId165" Type="http://schemas.openxmlformats.org/officeDocument/2006/relationships/image" Target="media/image131.jpeg"/><Relationship Id="rId164" Type="http://schemas.openxmlformats.org/officeDocument/2006/relationships/image" Target="media/image130.jpeg"/><Relationship Id="rId163" Type="http://schemas.openxmlformats.org/officeDocument/2006/relationships/image" Target="media/image129.jpeg"/><Relationship Id="rId162" Type="http://schemas.openxmlformats.org/officeDocument/2006/relationships/image" Target="media/image128.jpeg"/><Relationship Id="rId161" Type="http://schemas.openxmlformats.org/officeDocument/2006/relationships/image" Target="media/image127.jpeg"/><Relationship Id="rId160" Type="http://schemas.openxmlformats.org/officeDocument/2006/relationships/image" Target="media/image126.jpeg"/><Relationship Id="rId16" Type="http://schemas.openxmlformats.org/officeDocument/2006/relationships/footer" Target="footer6.xml"/><Relationship Id="rId159" Type="http://schemas.openxmlformats.org/officeDocument/2006/relationships/image" Target="media/image125.jpeg"/><Relationship Id="rId158" Type="http://schemas.openxmlformats.org/officeDocument/2006/relationships/image" Target="media/image124.jpeg"/><Relationship Id="rId157" Type="http://schemas.openxmlformats.org/officeDocument/2006/relationships/image" Target="media/image123.jpeg"/><Relationship Id="rId156" Type="http://schemas.openxmlformats.org/officeDocument/2006/relationships/image" Target="media/image122.jpeg"/><Relationship Id="rId155" Type="http://schemas.openxmlformats.org/officeDocument/2006/relationships/image" Target="media/image121.jpeg"/><Relationship Id="rId154" Type="http://schemas.openxmlformats.org/officeDocument/2006/relationships/image" Target="media/image120.jpeg"/><Relationship Id="rId153" Type="http://schemas.openxmlformats.org/officeDocument/2006/relationships/image" Target="media/image119.jpeg"/><Relationship Id="rId152" Type="http://schemas.openxmlformats.org/officeDocument/2006/relationships/image" Target="media/image118.jpeg"/><Relationship Id="rId151" Type="http://schemas.openxmlformats.org/officeDocument/2006/relationships/image" Target="media/image117.jpeg"/><Relationship Id="rId150" Type="http://schemas.openxmlformats.org/officeDocument/2006/relationships/image" Target="media/image116.jpeg"/><Relationship Id="rId15" Type="http://schemas.openxmlformats.org/officeDocument/2006/relationships/footer" Target="footer5.xml"/><Relationship Id="rId149" Type="http://schemas.openxmlformats.org/officeDocument/2006/relationships/image" Target="media/image115.jpeg"/><Relationship Id="rId148" Type="http://schemas.openxmlformats.org/officeDocument/2006/relationships/image" Target="media/image114.jpeg"/><Relationship Id="rId147" Type="http://schemas.openxmlformats.org/officeDocument/2006/relationships/image" Target="media/image113.jpeg"/><Relationship Id="rId146" Type="http://schemas.openxmlformats.org/officeDocument/2006/relationships/image" Target="media/image112.jpeg"/><Relationship Id="rId145" Type="http://schemas.openxmlformats.org/officeDocument/2006/relationships/image" Target="media/image111.jpeg"/><Relationship Id="rId144" Type="http://schemas.openxmlformats.org/officeDocument/2006/relationships/image" Target="media/image110.jpeg"/><Relationship Id="rId143" Type="http://schemas.openxmlformats.org/officeDocument/2006/relationships/image" Target="media/image109.jpeg"/><Relationship Id="rId142" Type="http://schemas.openxmlformats.org/officeDocument/2006/relationships/image" Target="media/image108.jpeg"/><Relationship Id="rId141" Type="http://schemas.openxmlformats.org/officeDocument/2006/relationships/image" Target="media/image107.jpeg"/><Relationship Id="rId140" Type="http://schemas.openxmlformats.org/officeDocument/2006/relationships/image" Target="media/image106.jpeg"/><Relationship Id="rId14" Type="http://schemas.openxmlformats.org/officeDocument/2006/relationships/header" Target="header6.xml"/><Relationship Id="rId139" Type="http://schemas.openxmlformats.org/officeDocument/2006/relationships/image" Target="media/image105.jpeg"/><Relationship Id="rId138" Type="http://schemas.openxmlformats.org/officeDocument/2006/relationships/image" Target="media/image104.jpeg"/><Relationship Id="rId137" Type="http://schemas.openxmlformats.org/officeDocument/2006/relationships/image" Target="media/image103.jpeg"/><Relationship Id="rId136" Type="http://schemas.openxmlformats.org/officeDocument/2006/relationships/image" Target="media/image102.jpeg"/><Relationship Id="rId135" Type="http://schemas.openxmlformats.org/officeDocument/2006/relationships/image" Target="media/image101.jpeg"/><Relationship Id="rId134" Type="http://schemas.openxmlformats.org/officeDocument/2006/relationships/image" Target="media/image100.jpeg"/><Relationship Id="rId133" Type="http://schemas.openxmlformats.org/officeDocument/2006/relationships/image" Target="media/image99.jpeg"/><Relationship Id="rId132" Type="http://schemas.openxmlformats.org/officeDocument/2006/relationships/image" Target="media/image98.jpeg"/><Relationship Id="rId131" Type="http://schemas.openxmlformats.org/officeDocument/2006/relationships/image" Target="media/image97.jpeg"/><Relationship Id="rId130" Type="http://schemas.openxmlformats.org/officeDocument/2006/relationships/image" Target="media/image96.jpeg"/><Relationship Id="rId13" Type="http://schemas.openxmlformats.org/officeDocument/2006/relationships/header" Target="header5.xml"/><Relationship Id="rId129" Type="http://schemas.openxmlformats.org/officeDocument/2006/relationships/image" Target="media/image95.jpeg"/><Relationship Id="rId128" Type="http://schemas.openxmlformats.org/officeDocument/2006/relationships/image" Target="media/image94.jpeg"/><Relationship Id="rId127" Type="http://schemas.openxmlformats.org/officeDocument/2006/relationships/image" Target="media/image93.jpeg"/><Relationship Id="rId126" Type="http://schemas.openxmlformats.org/officeDocument/2006/relationships/image" Target="media/image92.jpeg"/><Relationship Id="rId125" Type="http://schemas.openxmlformats.org/officeDocument/2006/relationships/image" Target="media/image91.jpeg"/><Relationship Id="rId124" Type="http://schemas.openxmlformats.org/officeDocument/2006/relationships/image" Target="media/image90.jpeg"/><Relationship Id="rId123" Type="http://schemas.openxmlformats.org/officeDocument/2006/relationships/image" Target="media/image89.jpeg"/><Relationship Id="rId122" Type="http://schemas.openxmlformats.org/officeDocument/2006/relationships/image" Target="media/image88.jpeg"/><Relationship Id="rId121" Type="http://schemas.openxmlformats.org/officeDocument/2006/relationships/image" Target="media/image87.jpeg"/><Relationship Id="rId120" Type="http://schemas.openxmlformats.org/officeDocument/2006/relationships/image" Target="media/image86.jpeg"/><Relationship Id="rId12" Type="http://schemas.openxmlformats.org/officeDocument/2006/relationships/header" Target="header4.xml"/><Relationship Id="rId119" Type="http://schemas.openxmlformats.org/officeDocument/2006/relationships/image" Target="media/image85.jpeg"/><Relationship Id="rId118" Type="http://schemas.openxmlformats.org/officeDocument/2006/relationships/image" Target="media/image84.jpeg"/><Relationship Id="rId117" Type="http://schemas.openxmlformats.org/officeDocument/2006/relationships/image" Target="media/image83.jpeg"/><Relationship Id="rId116" Type="http://schemas.openxmlformats.org/officeDocument/2006/relationships/image" Target="media/image82.jpeg"/><Relationship Id="rId115" Type="http://schemas.openxmlformats.org/officeDocument/2006/relationships/image" Target="media/image81.jpeg"/><Relationship Id="rId114" Type="http://schemas.openxmlformats.org/officeDocument/2006/relationships/image" Target="media/image80.jpeg"/><Relationship Id="rId113" Type="http://schemas.openxmlformats.org/officeDocument/2006/relationships/image" Target="media/image79.jpeg"/><Relationship Id="rId112" Type="http://schemas.openxmlformats.org/officeDocument/2006/relationships/image" Target="media/image78.jpeg"/><Relationship Id="rId111" Type="http://schemas.openxmlformats.org/officeDocument/2006/relationships/image" Target="media/image77.wmf"/><Relationship Id="rId110" Type="http://schemas.openxmlformats.org/officeDocument/2006/relationships/oleObject" Target="embeddings/oleObject16.bin"/><Relationship Id="rId11" Type="http://schemas.openxmlformats.org/officeDocument/2006/relationships/footer" Target="footer4.xml"/><Relationship Id="rId109" Type="http://schemas.openxmlformats.org/officeDocument/2006/relationships/image" Target="media/image76.wmf"/><Relationship Id="rId108" Type="http://schemas.openxmlformats.org/officeDocument/2006/relationships/oleObject" Target="embeddings/oleObject15.bin"/><Relationship Id="rId107" Type="http://schemas.openxmlformats.org/officeDocument/2006/relationships/image" Target="media/image75.wmf"/><Relationship Id="rId106" Type="http://schemas.openxmlformats.org/officeDocument/2006/relationships/oleObject" Target="embeddings/oleObject14.bin"/><Relationship Id="rId105" Type="http://schemas.openxmlformats.org/officeDocument/2006/relationships/image" Target="media/image74.wmf"/><Relationship Id="rId104" Type="http://schemas.openxmlformats.org/officeDocument/2006/relationships/oleObject" Target="embeddings/oleObject13.bin"/><Relationship Id="rId103" Type="http://schemas.openxmlformats.org/officeDocument/2006/relationships/image" Target="media/image73.wmf"/><Relationship Id="rId102" Type="http://schemas.openxmlformats.org/officeDocument/2006/relationships/oleObject" Target="embeddings/oleObject12.bin"/><Relationship Id="rId101" Type="http://schemas.openxmlformats.org/officeDocument/2006/relationships/image" Target="media/image72.wmf"/><Relationship Id="rId100" Type="http://schemas.openxmlformats.org/officeDocument/2006/relationships/oleObject" Target="embeddings/oleObject11.bin"/><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FAA2DF-2AF1-42C2-B65E-9807CA5D0A84}">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Pages>
  <Words>19337</Words>
  <Characters>110222</Characters>
  <Lines>918</Lines>
  <Paragraphs>258</Paragraphs>
  <TotalTime>124</TotalTime>
  <ScaleCrop>false</ScaleCrop>
  <LinksUpToDate>false</LinksUpToDate>
  <CharactersWithSpaces>129301</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2019-01-14T08:52:00Z</dcterms:created>
  <dc:creator>ZH</dc:creator>
  <cp:lastModifiedBy>暖洋洋 </cp:lastModifiedBy>
  <cp:lastPrinted>2019-02-23T05:23:00Z</cp:lastPrinted>
  <dcterms:modified xsi:type="dcterms:W3CDTF">2021-07-13T07:26:48Z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6F8BA9BF11B849C9A90D474091BDB46B</vt:lpwstr>
  </property>
</Properties>
</file>